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kern w:val="0"/>
          <w:sz w:val="0"/>
          <w:szCs w:val="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黑体" w:hAnsi="黑体" w:eastAsia="黑体" w:cs="黑体"/>
          <w:i w:val="0"/>
          <w:iCs w:val="0"/>
          <w:caps w:val="0"/>
          <w:color w:val="333333"/>
          <w:spacing w:val="0"/>
          <w:sz w:val="48"/>
          <w:szCs w:val="48"/>
        </w:rPr>
      </w:pPr>
      <w:r>
        <w:rPr>
          <w:rFonts w:hint="eastAsia" w:ascii="黑体" w:hAnsi="黑体" w:eastAsia="黑体" w:cs="黑体"/>
          <w:i w:val="0"/>
          <w:iCs w:val="0"/>
          <w:caps w:val="0"/>
          <w:color w:val="333333"/>
          <w:spacing w:val="0"/>
          <w:kern w:val="0"/>
          <w:sz w:val="48"/>
          <w:szCs w:val="48"/>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黑体" w:hAnsi="黑体" w:eastAsia="黑体" w:cs="黑体"/>
          <w:sz w:val="48"/>
          <w:szCs w:val="48"/>
        </w:rPr>
      </w:pPr>
      <w:r>
        <w:rPr>
          <w:rFonts w:hint="eastAsia" w:ascii="黑体" w:hAnsi="黑体" w:eastAsia="黑体" w:cs="黑体"/>
          <w:i w:val="0"/>
          <w:iCs w:val="0"/>
          <w:caps w:val="0"/>
          <w:color w:val="333333"/>
          <w:spacing w:val="0"/>
          <w:kern w:val="0"/>
          <w:sz w:val="48"/>
          <w:szCs w:val="48"/>
          <w:lang w:val="en-US" w:eastAsia="zh-CN" w:bidi="ar"/>
        </w:rPr>
        <w:t>2024年度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黑体" w:hAnsi="黑体" w:eastAsia="黑体" w:cs="黑体"/>
          <w:sz w:val="48"/>
          <w:szCs w:val="48"/>
        </w:rPr>
      </w:pP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黑体" w:hAnsi="黑体" w:eastAsia="黑体" w:cs="黑体"/>
          <w:sz w:val="48"/>
          <w:szCs w:val="48"/>
          <w:lang w:val="en-US" w:eastAsia="zh-CN"/>
        </w:rPr>
      </w:pPr>
      <w:r>
        <w:rPr>
          <w:rFonts w:hint="eastAsia" w:ascii="黑体" w:hAnsi="黑体" w:eastAsia="黑体" w:cs="黑体"/>
          <w:i w:val="0"/>
          <w:iCs w:val="0"/>
          <w:caps w:val="0"/>
          <w:color w:val="333333"/>
          <w:spacing w:val="0"/>
          <w:kern w:val="0"/>
          <w:sz w:val="48"/>
          <w:szCs w:val="48"/>
          <w:lang w:val="en-US" w:eastAsia="zh-CN" w:bidi="ar"/>
        </w:rPr>
        <w:t>长汀县庵杰乡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黑体" w:hAnsi="黑体" w:eastAsia="黑体" w:cs="黑体"/>
          <w:sz w:val="48"/>
          <w:szCs w:val="48"/>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黑体" w:hAnsi="黑体" w:eastAsia="黑体" w:cs="黑体"/>
          <w:sz w:val="48"/>
          <w:szCs w:val="48"/>
        </w:rPr>
      </w:pPr>
      <w:r>
        <w:rPr>
          <w:rFonts w:hint="eastAsia" w:ascii="黑体" w:hAnsi="黑体" w:eastAsia="黑体" w:cs="黑体"/>
          <w:i w:val="0"/>
          <w:iCs w:val="0"/>
          <w:caps w:val="0"/>
          <w:color w:val="333333"/>
          <w:spacing w:val="0"/>
          <w:kern w:val="0"/>
          <w:sz w:val="48"/>
          <w:szCs w:val="48"/>
          <w:lang w:val="en-US" w:eastAsia="zh-CN" w:bidi="ar"/>
        </w:rPr>
        <w:t>人民政府部门预算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sz w:val="24"/>
          <w:szCs w:val="24"/>
        </w:rPr>
      </w:pPr>
      <w:r>
        <w:rPr>
          <w:rFonts w:hint="eastAsia" w:ascii="宋体" w:hAnsi="宋体" w:eastAsia="宋体" w:cs="宋体"/>
          <w:b/>
          <w:bCs/>
          <w:i w:val="0"/>
          <w:iCs w:val="0"/>
          <w:caps w:val="0"/>
          <w:color w:val="333333"/>
          <w:spacing w:val="0"/>
          <w:sz w:val="24"/>
          <w:szCs w:val="24"/>
        </w:rPr>
        <w:t>第一部分 部门概况…………………………………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一、部门主要职责…………………………………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二、部门预算单位构成……………………………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三、部门主要工作任务……………………………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sz w:val="24"/>
          <w:szCs w:val="24"/>
        </w:rPr>
      </w:pPr>
      <w:r>
        <w:rPr>
          <w:rFonts w:hint="eastAsia" w:ascii="宋体" w:hAnsi="宋体" w:eastAsia="宋体" w:cs="宋体"/>
          <w:b/>
          <w:bCs/>
          <w:i w:val="0"/>
          <w:iCs w:val="0"/>
          <w:caps w:val="0"/>
          <w:color w:val="333333"/>
          <w:spacing w:val="0"/>
          <w:sz w:val="24"/>
          <w:szCs w:val="24"/>
        </w:rPr>
        <w:t>第二部分 2024年度部门预算表</w:t>
      </w:r>
      <w:r>
        <w:rPr>
          <w:rFonts w:hint="eastAsia" w:ascii="宋体" w:hAnsi="宋体" w:eastAsia="宋体" w:cs="宋体"/>
          <w:i w:val="0"/>
          <w:iCs w:val="0"/>
          <w:caps w:val="0"/>
          <w:color w:val="333333"/>
          <w:spacing w:val="0"/>
          <w:sz w:val="24"/>
          <w:szCs w:val="24"/>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一、收支预算总表…………………………………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二、收入预算总表…………………………………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三、支出预算总表…………………………………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四、财政拨款收支预算总表………………………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五、一般公共预算拨款支出预算表………………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六、政府性基金预算拨款支出预算表……………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七、国有资本经营预算拨款支出预算表…………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八、一般公共预算支出经济分类情况表…………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九、一般公共预算基本支出经济分类情况表……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十、一般公共预算“三公”经费支出预算表……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sz w:val="24"/>
          <w:szCs w:val="24"/>
        </w:rPr>
        <w:t>十一、部门专项资金管理清单目录………………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sz w:val="24"/>
          <w:szCs w:val="24"/>
        </w:rPr>
      </w:pPr>
      <w:r>
        <w:rPr>
          <w:rFonts w:hint="eastAsia" w:ascii="宋体" w:hAnsi="宋体" w:eastAsia="宋体" w:cs="宋体"/>
          <w:b/>
          <w:bCs/>
          <w:i w:val="0"/>
          <w:iCs w:val="0"/>
          <w:caps w:val="0"/>
          <w:color w:val="333333"/>
          <w:spacing w:val="0"/>
          <w:kern w:val="0"/>
          <w:sz w:val="24"/>
          <w:szCs w:val="24"/>
          <w:lang w:val="en-US" w:eastAsia="zh-CN" w:bidi="ar"/>
        </w:rPr>
        <w:t>第三部分 2024年度部门预算情况说明</w:t>
      </w:r>
      <w:r>
        <w:rPr>
          <w:rFonts w:hint="eastAsia" w:ascii="宋体" w:hAnsi="宋体" w:eastAsia="宋体" w:cs="宋体"/>
          <w:i w:val="0"/>
          <w:iCs w:val="0"/>
          <w:caps w:val="0"/>
          <w:color w:val="333333"/>
          <w:spacing w:val="0"/>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一、预算收支总体情况……………………………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二、一般公共预算拨款支出情况…………………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三、政府性基金预算拨款支出情况………………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四、国有资本经营预算拨款支出情况……………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五、财政拨款预算基本支出情况…………………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六、一般公共预算“三公”经费支出情况………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七、预算绩效目标情况……………………………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36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八、其他重要事项说明……………………………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480" w:lineRule="atLeast"/>
        <w:ind w:left="0" w:right="0"/>
        <w:jc w:val="both"/>
        <w:rPr>
          <w:sz w:val="24"/>
          <w:szCs w:val="24"/>
        </w:rPr>
      </w:pPr>
      <w:r>
        <w:rPr>
          <w:rFonts w:hint="eastAsia" w:ascii="宋体" w:hAnsi="宋体" w:eastAsia="宋体" w:cs="宋体"/>
          <w:b/>
          <w:bCs/>
          <w:i w:val="0"/>
          <w:iCs w:val="0"/>
          <w:caps w:val="0"/>
          <w:color w:val="333333"/>
          <w:spacing w:val="0"/>
          <w:sz w:val="24"/>
          <w:szCs w:val="24"/>
        </w:rPr>
        <w:t>第四部分 名词解释</w:t>
      </w:r>
      <w:r>
        <w:rPr>
          <w:rFonts w:hint="eastAsia" w:ascii="宋体" w:hAnsi="宋体" w:eastAsia="宋体" w:cs="宋体"/>
          <w:i w:val="0"/>
          <w:iCs w:val="0"/>
          <w:caps w:val="0"/>
          <w:color w:val="333333"/>
          <w:spacing w:val="0"/>
          <w:sz w:val="24"/>
          <w:szCs w:val="24"/>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sz w:val="24"/>
          <w:szCs w:val="24"/>
        </w:rPr>
        <w:t>第一部分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部门概况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sz w:val="24"/>
          <w:szCs w:val="24"/>
        </w:rPr>
      </w:pPr>
      <w:r>
        <w:rPr>
          <w:rFonts w:hint="eastAsia" w:ascii="宋体" w:hAnsi="宋体" w:eastAsia="宋体" w:cs="宋体"/>
          <w:i w:val="0"/>
          <w:iCs w:val="0"/>
          <w:caps w:val="0"/>
          <w:color w:val="333333"/>
          <w:spacing w:val="0"/>
          <w:sz w:val="24"/>
          <w:szCs w:val="24"/>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sz w:val="24"/>
          <w:szCs w:val="24"/>
        </w:rPr>
      </w:pPr>
      <w:r>
        <w:rPr>
          <w:rFonts w:hint="eastAsia" w:ascii="宋体" w:hAnsi="宋体" w:eastAsia="宋体" w:cs="宋体"/>
          <w:i w:val="0"/>
          <w:iCs w:val="0"/>
          <w:caps w:val="0"/>
          <w:color w:val="333333"/>
          <w:spacing w:val="0"/>
          <w:sz w:val="24"/>
          <w:szCs w:val="24"/>
        </w:rPr>
        <w:t>一、部门主要职责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长汀县庵杰乡人民政府主要职责：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（一）负责管理本行政区域的教育、科技、文化、卫生、体育事业和财政、民政、综治、司法行政、民族宗教、优生优育、统计、监察等工作；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（二）负责本行政区域规划、建设、土地、交通、环保等工作；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（三）领导、管理政府各机构和所属单位；监督他们执行国家法律、法规和行政纪律；加强廉政勤政建设，保证政令畅通；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（四）负责全乡范围内安全生产、防火、防汛工作，负责突发性事件、重大事件以及抢险救灾的报告、部署和指挥。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sz w:val="24"/>
          <w:szCs w:val="24"/>
        </w:rPr>
      </w:pPr>
      <w:r>
        <w:rPr>
          <w:rFonts w:hint="eastAsia" w:ascii="宋体" w:hAnsi="宋体" w:eastAsia="宋体" w:cs="宋体"/>
          <w:i w:val="0"/>
          <w:iCs w:val="0"/>
          <w:caps w:val="0"/>
          <w:color w:val="333333"/>
          <w:spacing w:val="0"/>
          <w:sz w:val="24"/>
          <w:szCs w:val="24"/>
        </w:rPr>
        <w:t>二、部门预算单位构成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从预算单位构成看，长汀县庵杰乡人民政府包括1个机关行政单位，其中：列入2024年部门预算编制范围的单位详细情况见下表:</w:t>
      </w:r>
    </w:p>
    <w:tbl>
      <w:tblPr>
        <w:tblStyle w:val="3"/>
        <w:tblW w:w="8106"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830"/>
        <w:gridCol w:w="2189"/>
        <w:gridCol w:w="208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83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sz w:val="24"/>
                <w:szCs w:val="24"/>
              </w:rPr>
            </w:pPr>
            <w:r>
              <w:rPr>
                <w:rFonts w:ascii="仿宋" w:hAnsi="仿宋" w:eastAsia="仿宋" w:cs="仿宋"/>
                <w:kern w:val="0"/>
                <w:sz w:val="24"/>
                <w:szCs w:val="24"/>
                <w:lang w:val="en-US" w:eastAsia="zh-CN" w:bidi="ar"/>
              </w:rPr>
              <w:t>单位名称</w:t>
            </w:r>
          </w:p>
        </w:tc>
        <w:tc>
          <w:tcPr>
            <w:tcW w:w="2189"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sz w:val="24"/>
                <w:szCs w:val="24"/>
              </w:rPr>
            </w:pPr>
            <w:r>
              <w:rPr>
                <w:rFonts w:hint="eastAsia" w:ascii="仿宋" w:hAnsi="仿宋" w:eastAsia="仿宋" w:cs="仿宋"/>
                <w:kern w:val="0"/>
                <w:sz w:val="24"/>
                <w:szCs w:val="24"/>
                <w:lang w:val="en-US" w:eastAsia="zh-CN" w:bidi="ar"/>
              </w:rPr>
              <w:t>经费性质</w:t>
            </w:r>
          </w:p>
        </w:tc>
        <w:tc>
          <w:tcPr>
            <w:tcW w:w="2087"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sz w:val="24"/>
                <w:szCs w:val="24"/>
              </w:rPr>
            </w:pPr>
            <w:r>
              <w:rPr>
                <w:rFonts w:hint="eastAsia" w:ascii="仿宋" w:hAnsi="仿宋" w:eastAsia="仿宋" w:cs="仿宋"/>
                <w:kern w:val="0"/>
                <w:sz w:val="24"/>
                <w:szCs w:val="24"/>
                <w:lang w:val="en-US" w:eastAsia="zh-CN" w:bidi="ar"/>
              </w:rPr>
              <w:t>在职人数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383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sz w:val="24"/>
                <w:szCs w:val="24"/>
              </w:rPr>
            </w:pPr>
            <w:r>
              <w:rPr>
                <w:rFonts w:hint="eastAsia" w:ascii="仿宋" w:hAnsi="仿宋" w:eastAsia="仿宋" w:cs="仿宋"/>
                <w:kern w:val="0"/>
                <w:sz w:val="24"/>
                <w:szCs w:val="24"/>
                <w:lang w:val="en-US" w:eastAsia="zh-CN" w:bidi="ar"/>
              </w:rPr>
              <w:t>长汀县庵杰乡人民政府</w:t>
            </w:r>
          </w:p>
        </w:tc>
        <w:tc>
          <w:tcPr>
            <w:tcW w:w="2189"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sz w:val="24"/>
                <w:szCs w:val="24"/>
              </w:rPr>
            </w:pPr>
            <w:r>
              <w:rPr>
                <w:rFonts w:hint="eastAsia" w:ascii="仿宋" w:hAnsi="仿宋" w:eastAsia="仿宋" w:cs="仿宋"/>
                <w:kern w:val="0"/>
                <w:sz w:val="24"/>
                <w:szCs w:val="24"/>
                <w:lang w:val="en-US" w:eastAsia="zh-CN" w:bidi="ar"/>
              </w:rPr>
              <w:t>财政核拨</w:t>
            </w:r>
          </w:p>
        </w:tc>
        <w:tc>
          <w:tcPr>
            <w:tcW w:w="208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eastAsiaTheme="minorEastAsia"/>
                <w:sz w:val="24"/>
                <w:szCs w:val="24"/>
                <w:lang w:val="en-US" w:eastAsia="zh-CN"/>
              </w:rPr>
            </w:pPr>
            <w:r>
              <w:rPr>
                <w:rFonts w:hint="eastAsia"/>
                <w:sz w:val="24"/>
                <w:szCs w:val="24"/>
                <w:lang w:val="en-US" w:eastAsia="zh-CN"/>
              </w:rPr>
              <w:t>32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383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sz w:val="24"/>
                <w:szCs w:val="24"/>
              </w:rPr>
            </w:pPr>
            <w:r>
              <w:rPr>
                <w:rFonts w:hint="eastAsia" w:ascii="仿宋" w:hAnsi="仿宋" w:eastAsia="仿宋" w:cs="仿宋"/>
                <w:kern w:val="0"/>
                <w:sz w:val="24"/>
                <w:szCs w:val="24"/>
                <w:lang w:val="en-US" w:eastAsia="zh-CN" w:bidi="ar"/>
              </w:rPr>
              <w:t> </w:t>
            </w:r>
          </w:p>
        </w:tc>
        <w:tc>
          <w:tcPr>
            <w:tcW w:w="2189"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sz w:val="24"/>
                <w:szCs w:val="24"/>
              </w:rPr>
            </w:pPr>
            <w:r>
              <w:rPr>
                <w:rFonts w:hint="eastAsia" w:ascii="仿宋" w:hAnsi="仿宋" w:eastAsia="仿宋" w:cs="仿宋"/>
                <w:kern w:val="0"/>
                <w:sz w:val="24"/>
                <w:szCs w:val="24"/>
                <w:lang w:val="en-US" w:eastAsia="zh-CN" w:bidi="ar"/>
              </w:rPr>
              <w:t> </w:t>
            </w:r>
          </w:p>
        </w:tc>
        <w:tc>
          <w:tcPr>
            <w:tcW w:w="208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sz w:val="24"/>
                <w:szCs w:val="24"/>
              </w:rPr>
            </w:pPr>
            <w:r>
              <w:rPr>
                <w:rFonts w:hint="eastAsia" w:ascii="仿宋" w:hAnsi="仿宋" w:eastAsia="仿宋" w:cs="仿宋"/>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383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sz w:val="24"/>
                <w:szCs w:val="24"/>
              </w:rPr>
            </w:pPr>
            <w:r>
              <w:rPr>
                <w:rFonts w:hint="eastAsia" w:ascii="仿宋" w:hAnsi="仿宋" w:eastAsia="仿宋" w:cs="仿宋"/>
                <w:kern w:val="0"/>
                <w:sz w:val="24"/>
                <w:szCs w:val="24"/>
                <w:lang w:val="en-US" w:eastAsia="zh-CN" w:bidi="ar"/>
              </w:rPr>
              <w:t> </w:t>
            </w:r>
          </w:p>
        </w:tc>
        <w:tc>
          <w:tcPr>
            <w:tcW w:w="2189"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sz w:val="24"/>
                <w:szCs w:val="24"/>
              </w:rPr>
            </w:pPr>
            <w:r>
              <w:rPr>
                <w:rFonts w:hint="eastAsia" w:ascii="仿宋" w:hAnsi="仿宋" w:eastAsia="仿宋" w:cs="仿宋"/>
                <w:kern w:val="0"/>
                <w:sz w:val="24"/>
                <w:szCs w:val="24"/>
                <w:lang w:val="en-US" w:eastAsia="zh-CN" w:bidi="ar"/>
              </w:rPr>
              <w:t> </w:t>
            </w:r>
          </w:p>
        </w:tc>
        <w:tc>
          <w:tcPr>
            <w:tcW w:w="208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sz w:val="24"/>
                <w:szCs w:val="24"/>
              </w:rPr>
            </w:pPr>
            <w:r>
              <w:rPr>
                <w:rFonts w:hint="eastAsia" w:ascii="仿宋" w:hAnsi="仿宋" w:eastAsia="仿宋" w:cs="仿宋"/>
                <w:kern w:val="0"/>
                <w:sz w:val="24"/>
                <w:szCs w:val="24"/>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三、部门主要工作任务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2024年，长汀县庵杰乡人民政府主要任务是：根据县委、县政府的安排部署，推动本辖区经济、社会、文化发展，围绕上述任务，重点抓好以下工作：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（一）全力锻造“出发地小镇”，强化项目支撑，优化智慧文旅，深化异地联动。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（二）</w:t>
      </w:r>
      <w:r>
        <w:rPr>
          <w:rFonts w:hint="eastAsia" w:ascii="宋体" w:hAnsi="宋体" w:eastAsia="宋体" w:cs="宋体"/>
          <w:b w:val="0"/>
          <w:bCs w:val="0"/>
          <w:i w:val="0"/>
          <w:iCs w:val="0"/>
          <w:caps w:val="0"/>
          <w:color w:val="333333"/>
          <w:spacing w:val="0"/>
          <w:kern w:val="0"/>
          <w:sz w:val="24"/>
          <w:szCs w:val="24"/>
          <w:lang w:val="en-US" w:eastAsia="zh-CN" w:bidi="ar"/>
        </w:rPr>
        <w:t>深入开展农村人居环境整治综合提升专项行动，进一步提升庵杰乡河水质，</w:t>
      </w:r>
      <w:r>
        <w:rPr>
          <w:rFonts w:hint="eastAsia" w:ascii="宋体" w:hAnsi="宋体" w:eastAsia="宋体" w:cs="宋体"/>
          <w:i w:val="0"/>
          <w:iCs w:val="0"/>
          <w:caps w:val="0"/>
          <w:color w:val="333333"/>
          <w:spacing w:val="0"/>
          <w:kern w:val="0"/>
          <w:sz w:val="24"/>
          <w:szCs w:val="24"/>
          <w:lang w:val="en-US" w:eastAsia="zh-CN" w:bidi="ar"/>
        </w:rPr>
        <w:t>推动森林质量精准提升，加强林分改造、施肥改良等工作，调整树种结构和实施沃土工程，高质量推进林分结构优化任务和森林抚育工程，对重点二沿一环进行生态修复。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（三）因地施策运用拆除复垦、永农补划、进出平衡、农转报批等方式，销号存量图斑。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spacing w:before="0" w:beforeAutospacing="0" w:after="0" w:afterAutospacing="0"/>
        <w:ind w:left="0" w:right="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sz w:val="24"/>
          <w:szCs w:val="24"/>
        </w:rPr>
        <w:t>第二部分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sz w:val="24"/>
          <w:szCs w:val="24"/>
        </w:rPr>
      </w:pPr>
      <w:r>
        <w:rPr>
          <w:rFonts w:hint="eastAsia" w:ascii="宋体" w:hAnsi="宋体" w:eastAsia="宋体" w:cs="宋体"/>
          <w:i w:val="0"/>
          <w:iCs w:val="0"/>
          <w:caps w:val="0"/>
          <w:color w:val="333333"/>
          <w:spacing w:val="0"/>
          <w:sz w:val="24"/>
          <w:szCs w:val="24"/>
        </w:rPr>
        <w:t>2024年度部门预算表</w:t>
      </w:r>
    </w:p>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一、收支预算总表</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3"/>
        <w:gridCol w:w="2114"/>
        <w:gridCol w:w="2045"/>
        <w:gridCol w:w="2240"/>
        <w:gridCol w:w="20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5000" w:type="pct"/>
            <w:gridSpan w:val="5"/>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ascii="方正小标宋简体" w:hAnsi="方正小标宋简体" w:eastAsia="方正小标宋简体" w:cs="方正小标宋简体"/>
                <w:kern w:val="0"/>
                <w:sz w:val="24"/>
                <w:szCs w:val="24"/>
                <w:lang w:val="en-US" w:eastAsia="zh-CN" w:bidi="ar"/>
              </w:rPr>
              <w:t>202</w:t>
            </w:r>
            <w:r>
              <w:rPr>
                <w:rFonts w:hint="eastAsia" w:ascii="方正小标宋简体" w:hAnsi="方正小标宋简体" w:eastAsia="方正小标宋简体" w:cs="方正小标宋简体"/>
                <w:kern w:val="0"/>
                <w:sz w:val="24"/>
                <w:szCs w:val="24"/>
                <w:lang w:val="en-US" w:eastAsia="zh-CN" w:bidi="ar"/>
              </w:rPr>
              <w:t>4年度收支预算总表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5000" w:type="pct"/>
            <w:gridSpan w:val="5"/>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2441" w:type="pct"/>
            <w:gridSpan w:val="2"/>
            <w:tcBorders>
              <w:top w:val="single" w:color="000000" w:sz="8" w:space="0"/>
              <w:left w:val="single" w:color="000000" w:sz="8" w:space="0"/>
              <w:bottom w:val="single" w:color="000000" w:sz="8" w:space="0"/>
              <w:right w:val="single" w:color="FFFFFF" w:sz="4"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收  入</w:t>
            </w:r>
          </w:p>
        </w:tc>
        <w:tc>
          <w:tcPr>
            <w:tcW w:w="2515"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 xml:space="preserve">         项目</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预算数</w:t>
            </w: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 xml:space="preserve">        项目</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一、一般公共预算拨款收入</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571.02</w:t>
            </w: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一、一般公共服务支出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692.04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二、政府性基金预算拨款收入</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二、外交支出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三、国有资本经营预算拨款收入</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三、国防支出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四、财政专户管理资金收入</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四、公共安全支出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五、事业收入</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五、教育支出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六、事业单位经营收入</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六、科学技术支出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七、上级补助收入</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七、文化旅游体育与传媒支出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八、附属单位上缴收入</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八、社会保障和就业支出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九、其他收入</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300.00</w:t>
            </w: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九、卫生健康支出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340"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十、上年结转结余</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十、节能环保支出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十一、城乡社区支出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十二、农林水支出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十三、交通运输支出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十四、资源勘探工业信息等支出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十五、商业服务业等支出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十六、金融支出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十七、援助其他地区支出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十八、自然资源海洋气象等支出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十九、住房保障支出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二十、粮油物资储备支出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二十一、国有资本经营预算支出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二十二、灾害防治及应急管理支出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二十三、其他支出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二十四、债务还本支出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二十五、债务付息支出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28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二十六、债务发行费用支出</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43" w:type="pct"/>
          <w:trHeight w:val="525" w:hRule="exact"/>
        </w:trPr>
        <w:tc>
          <w:tcPr>
            <w:tcW w:w="124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收入合计</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871.02</w:t>
            </w:r>
          </w:p>
        </w:tc>
        <w:tc>
          <w:tcPr>
            <w:tcW w:w="131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支出合计</w:t>
            </w:r>
          </w:p>
        </w:tc>
        <w:tc>
          <w:tcPr>
            <w:tcW w:w="120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871.02</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宋体" w:hAnsi="宋体" w:eastAsia="宋体" w:cs="宋体"/>
          <w:i w:val="0"/>
          <w:iCs w:val="0"/>
          <w:caps w:val="0"/>
          <w:color w:val="FF0000"/>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宋体" w:hAnsi="宋体" w:eastAsia="宋体" w:cs="宋体"/>
          <w:i w:val="0"/>
          <w:iCs w:val="0"/>
          <w:caps w:val="0"/>
          <w:color w:val="FF0000"/>
          <w:spacing w:val="0"/>
          <w:kern w:val="0"/>
          <w:sz w:val="24"/>
          <w:szCs w:val="24"/>
          <w:lang w:val="en-US" w:eastAsia="zh-CN" w:bidi="ar"/>
        </w:rPr>
      </w:pPr>
    </w:p>
    <w:p>
      <w:pPr>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br w:type="page"/>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sectPr>
          <w:pgSz w:w="11906" w:h="16838"/>
          <w:pgMar w:top="1440" w:right="1800" w:bottom="1440" w:left="1800" w:header="851" w:footer="992" w:gutter="0"/>
          <w:cols w:space="425" w:num="1"/>
          <w:docGrid w:type="lines" w:linePitch="312" w:charSpace="0"/>
        </w:sect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二、收入预算总表</w:t>
      </w:r>
    </w:p>
    <w:tbl>
      <w:tblPr>
        <w:tblStyle w:val="3"/>
        <w:tblW w:w="139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49"/>
        <w:gridCol w:w="91"/>
        <w:gridCol w:w="1160"/>
        <w:gridCol w:w="1017"/>
        <w:gridCol w:w="1134"/>
        <w:gridCol w:w="1134"/>
        <w:gridCol w:w="1134"/>
        <w:gridCol w:w="1134"/>
        <w:gridCol w:w="993"/>
        <w:gridCol w:w="992"/>
        <w:gridCol w:w="992"/>
        <w:gridCol w:w="992"/>
        <w:gridCol w:w="993"/>
        <w:gridCol w:w="9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2" w:hRule="atLeast"/>
        </w:trPr>
        <w:tc>
          <w:tcPr>
            <w:tcW w:w="13907" w:type="dxa"/>
            <w:gridSpan w:val="14"/>
            <w:tcBorders>
              <w:top w:val="nil"/>
              <w:left w:val="nil"/>
              <w:bottom w:val="nil"/>
              <w:right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方正小标宋简体" w:hAnsi="方正小标宋简体" w:eastAsia="方正小标宋简体" w:cs="方正小标宋简体"/>
                <w:kern w:val="0"/>
                <w:sz w:val="24"/>
                <w:szCs w:val="24"/>
                <w:lang w:val="en-US" w:eastAsia="zh-CN" w:bidi="ar"/>
              </w:rPr>
              <w:t>2024年度收入预算总表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240" w:type="dxa"/>
            <w:gridSpan w:val="2"/>
            <w:tcBorders>
              <w:top w:val="nil"/>
              <w:left w:val="nil"/>
              <w:bottom w:val="single" w:color="auto" w:sz="8" w:space="0"/>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60" w:type="dxa"/>
            <w:tcBorders>
              <w:top w:val="nil"/>
              <w:left w:val="nil"/>
              <w:bottom w:val="single" w:color="auto" w:sz="8" w:space="0"/>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017" w:type="dxa"/>
            <w:tcBorders>
              <w:top w:val="nil"/>
              <w:left w:val="nil"/>
              <w:bottom w:val="single" w:color="auto" w:sz="8" w:space="0"/>
              <w:right w:val="nil"/>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ascii="黑体" w:hAnsi="宋体" w:eastAsia="黑体" w:cs="黑体"/>
                <w:kern w:val="0"/>
                <w:sz w:val="24"/>
                <w:szCs w:val="24"/>
                <w:lang w:val="en-US" w:eastAsia="zh-CN" w:bidi="ar"/>
              </w:rPr>
              <w:t> </w:t>
            </w:r>
          </w:p>
        </w:tc>
        <w:tc>
          <w:tcPr>
            <w:tcW w:w="1134" w:type="dxa"/>
            <w:tcBorders>
              <w:top w:val="nil"/>
              <w:left w:val="nil"/>
              <w:bottom w:val="single" w:color="auto" w:sz="8" w:space="0"/>
              <w:right w:val="nil"/>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nil"/>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993" w:type="dxa"/>
            <w:tcBorders>
              <w:top w:val="nil"/>
              <w:left w:val="nil"/>
              <w:bottom w:val="single" w:color="auto" w:sz="8" w:space="0"/>
              <w:right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985" w:type="dxa"/>
            <w:gridSpan w:val="2"/>
            <w:tcBorders>
              <w:top w:val="nil"/>
              <w:left w:val="nil"/>
              <w:bottom w:val="single" w:color="auto" w:sz="8" w:space="0"/>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37" w:hRule="atLeast"/>
        </w:trPr>
        <w:tc>
          <w:tcPr>
            <w:tcW w:w="11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科目编码</w:t>
            </w:r>
          </w:p>
        </w:tc>
        <w:tc>
          <w:tcPr>
            <w:tcW w:w="125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科目名称</w:t>
            </w:r>
          </w:p>
        </w:tc>
        <w:tc>
          <w:tcPr>
            <w:tcW w:w="101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总计</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一般公共预算拨款收入</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政府性基金预算拨款收入</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国有资本经营预算拨款收入</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财政专户管理资金收入</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事业收入</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事业单位经营收入</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上级补助收入</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附属单位上缴收入</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其他收入</w:t>
            </w:r>
          </w:p>
        </w:tc>
        <w:tc>
          <w:tcPr>
            <w:tcW w:w="99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trPr>
        <w:tc>
          <w:tcPr>
            <w:tcW w:w="2400" w:type="dxa"/>
            <w:gridSpan w:val="3"/>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合计</w:t>
            </w:r>
          </w:p>
        </w:tc>
        <w:tc>
          <w:tcPr>
            <w:tcW w:w="101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b/>
                <w:bCs/>
                <w:kern w:val="0"/>
                <w:sz w:val="24"/>
                <w:szCs w:val="24"/>
                <w:lang w:val="en-US" w:eastAsia="zh-CN" w:bidi="ar"/>
              </w:rPr>
              <w:t>871.02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b/>
                <w:bCs/>
                <w:kern w:val="0"/>
                <w:sz w:val="24"/>
                <w:szCs w:val="24"/>
                <w:lang w:val="en-US" w:eastAsia="zh-CN" w:bidi="ar"/>
              </w:rPr>
              <w:t>571.02</w:t>
            </w: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color w:val="000000"/>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color w:val="000000"/>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color w:val="000000"/>
                <w:kern w:val="0"/>
                <w:sz w:val="24"/>
                <w:szCs w:val="24"/>
                <w:lang w:val="en-US" w:eastAsia="zh-CN" w:bidi="ar"/>
              </w:rPr>
              <w:t> </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3"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eastAsiaTheme="minorEastAsia"/>
                <w:sz w:val="24"/>
                <w:szCs w:val="24"/>
                <w:lang w:val="en-US" w:eastAsia="zh-CN"/>
              </w:rPr>
            </w:pPr>
            <w:r>
              <w:rPr>
                <w:rFonts w:hint="eastAsia"/>
                <w:b/>
                <w:bCs/>
                <w:sz w:val="24"/>
                <w:szCs w:val="24"/>
                <w:lang w:val="en-US" w:eastAsia="zh-CN"/>
              </w:rPr>
              <w:t>300</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color w:val="00000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1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25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01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25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01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251" w:type="dxa"/>
            <w:gridSpan w:val="2"/>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01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3"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92"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i w:val="0"/>
          <w:iCs w:val="0"/>
          <w:caps w:val="0"/>
          <w:color w:val="FF0000"/>
          <w:spacing w:val="0"/>
          <w:kern w:val="0"/>
          <w:sz w:val="24"/>
          <w:szCs w:val="24"/>
          <w:lang w:val="en-US" w:eastAsia="zh-CN" w:bidi="ar"/>
        </w:rPr>
      </w:pPr>
      <w:r>
        <w:rPr>
          <w:rFonts w:hint="eastAsia" w:ascii="宋体" w:hAnsi="宋体" w:eastAsia="宋体" w:cs="宋体"/>
          <w:i w:val="0"/>
          <w:iCs w:val="0"/>
          <w:caps w:val="0"/>
          <w:color w:val="FF0000"/>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i w:val="0"/>
          <w:iCs w:val="0"/>
          <w:caps w:val="0"/>
          <w:color w:val="FF0000"/>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三、支出预算总表</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716"/>
        <w:gridCol w:w="2787"/>
        <w:gridCol w:w="1049"/>
        <w:gridCol w:w="1857"/>
        <w:gridCol w:w="2123"/>
        <w:gridCol w:w="1165"/>
        <w:gridCol w:w="1210"/>
        <w:gridCol w:w="12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6" w:hRule="atLeast"/>
        </w:trPr>
        <w:tc>
          <w:tcPr>
            <w:tcW w:w="5000" w:type="pct"/>
            <w:gridSpan w:val="8"/>
            <w:tcBorders>
              <w:top w:val="nil"/>
              <w:left w:val="nil"/>
              <w:bottom w:val="single" w:color="auto" w:sz="8" w:space="0"/>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sz w:val="24"/>
                <w:szCs w:val="24"/>
              </w:rPr>
            </w:pPr>
            <w:r>
              <w:rPr>
                <w:rFonts w:hint="eastAsia" w:ascii="方正小标宋简体" w:hAnsi="方正小标宋简体" w:eastAsia="方正小标宋简体" w:cs="方正小标宋简体"/>
                <w:kern w:val="0"/>
                <w:sz w:val="24"/>
                <w:szCs w:val="24"/>
                <w:lang w:val="en-US" w:eastAsia="zh-CN" w:bidi="ar"/>
              </w:rPr>
              <w:t>2024年度支出预算总表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jc w:val="right"/>
              <w:rPr>
                <w:sz w:val="24"/>
                <w:szCs w:val="24"/>
              </w:rPr>
            </w:pPr>
            <w:r>
              <w:rPr>
                <w:rFonts w:hint="eastAsia" w:ascii="宋体" w:hAnsi="宋体" w:eastAsia="宋体" w:cs="宋体"/>
                <w:kern w:val="0"/>
                <w:sz w:val="24"/>
                <w:szCs w:val="24"/>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科目编码</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科目名称</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合计</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基本支出</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项目支出</w:t>
            </w: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事业单位经营支出</w:t>
            </w: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上缴上级支出</w:t>
            </w: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1</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2</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3</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4</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5</w:t>
            </w: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6</w:t>
            </w: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7</w:t>
            </w: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合计</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871.02</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571.02</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300.00</w:t>
            </w: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201</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一般公共服务支出</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692.04</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392.04</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300.00</w:t>
            </w: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20103</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政府办公厅（室）及相关机构事务</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692.04</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392.04</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300.00</w:t>
            </w: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2010301</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行政运行</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267.85</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267.85</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2010350</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事业运行</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124.19</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124.19</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2010399</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其他政府办公厅（室）及相关机构事务支出</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300.00</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300.00</w:t>
            </w: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208</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社会保障和就业支出</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20805</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行政事业单位养老支出</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2080505</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机关事业单位基本养老保险缴费支出</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210</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卫生健康支出</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30.15</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30.15</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21011</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行政事业单位医疗</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30.15</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30.15</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2101101</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行政单位医疗</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17.67</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17.67</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2101102</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事业单位医疗</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12.48</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12.48</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213</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农林水支出</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21307</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农村综合改革</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2130705</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对村民委员会和村党支部的补助</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221</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住房保障支出</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22102</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住房改革支出</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trPr>
        <w:tc>
          <w:tcPr>
            <w:tcW w:w="95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2210201</w:t>
            </w:r>
          </w:p>
        </w:tc>
        <w:tc>
          <w:tcPr>
            <w:tcW w:w="98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住房公积金</w:t>
            </w:r>
          </w:p>
        </w:tc>
        <w:tc>
          <w:tcPr>
            <w:tcW w:w="370"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655"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74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411"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2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443"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sectPr>
          <w:pgSz w:w="16838" w:h="11906" w:orient="landscape"/>
          <w:pgMar w:top="1800" w:right="1440" w:bottom="1800" w:left="1440" w:header="851" w:footer="992" w:gutter="0"/>
          <w:cols w:space="425" w:num="1"/>
          <w:docGrid w:type="lines" w:linePitch="312" w:charSpace="0"/>
        </w:sect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四、财政拨款收支预算总表</w:t>
      </w:r>
    </w:p>
    <w:tbl>
      <w:tblPr>
        <w:tblStyle w:val="3"/>
        <w:tblW w:w="4951" w:type="pct"/>
        <w:tblInd w:w="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310"/>
        <w:gridCol w:w="1701"/>
        <w:gridCol w:w="2187"/>
        <w:gridCol w:w="2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000" w:type="pct"/>
            <w:gridSpan w:val="4"/>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方正小标宋简体" w:hAnsi="方正小标宋简体" w:eastAsia="方正小标宋简体" w:cs="方正小标宋简体"/>
                <w:kern w:val="0"/>
                <w:sz w:val="24"/>
                <w:szCs w:val="24"/>
                <w:lang w:val="en-US" w:eastAsia="zh-CN" w:bidi="ar"/>
              </w:rPr>
              <w:t>2024年度财政拨款收支预算总表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5000" w:type="pct"/>
            <w:gridSpan w:val="4"/>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2377" w:type="pct"/>
            <w:gridSpan w:val="2"/>
            <w:tcBorders>
              <w:top w:val="single" w:color="000000" w:sz="8" w:space="0"/>
              <w:left w:val="single" w:color="000000" w:sz="8" w:space="0"/>
              <w:bottom w:val="single" w:color="000000" w:sz="8" w:space="0"/>
              <w:right w:val="single" w:color="FFFFFF" w:sz="4"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收  入</w:t>
            </w:r>
          </w:p>
        </w:tc>
        <w:tc>
          <w:tcPr>
            <w:tcW w:w="2622"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 xml:space="preserve">         项目</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预算数</w:t>
            </w: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 xml:space="preserve">        项目</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一、一般公共预算拨款收入</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571.02</w:t>
            </w: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一、一般公共服务支出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392.04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二、政府性基金预算拨款收入</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二、外交支出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三、国有资本经营预算拨款收入</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三、国防支出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四、公共安全支出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五、教育支出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六、科学技术支出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七、文化旅游体育与传媒支出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八、社会保障和就业支出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九、卫生健康支出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十、节能环保支出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十一、城乡社区支出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十二、农林水支出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十三、交通运输支出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十四、资源勘探工业信息等支出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十五、商业服务业等支出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十六、金融支出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十七、援助其他地区支出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十八、自然资源海洋气象等支出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十九、住房保障支出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二十、粮油物资储备支出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二十一、国有资本经营预算支出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二十二、灾害防治及应急管理支出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二十三、其他支出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二十四、债务还本支出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二十五、债务付息支出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二十六、债务发行费用支出</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exact"/>
        </w:trPr>
        <w:tc>
          <w:tcPr>
            <w:tcW w:w="1369"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收入合计</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571.02</w:t>
            </w:r>
          </w:p>
        </w:tc>
        <w:tc>
          <w:tcPr>
            <w:tcW w:w="129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支出合计</w:t>
            </w:r>
          </w:p>
        </w:tc>
        <w:tc>
          <w:tcPr>
            <w:tcW w:w="132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571.02</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五、一般公共预算拨款支出预算表</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
        <w:gridCol w:w="1020"/>
        <w:gridCol w:w="2563"/>
        <w:gridCol w:w="1663"/>
        <w:gridCol w:w="1503"/>
        <w:gridCol w:w="17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5000" w:type="pct"/>
            <w:gridSpan w:val="6"/>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方正小标宋简体" w:hAnsi="方正小标宋简体" w:eastAsia="方正小标宋简体" w:cs="方正小标宋简体"/>
                <w:kern w:val="0"/>
                <w:sz w:val="24"/>
                <w:szCs w:val="24"/>
                <w:lang w:val="en-US" w:eastAsia="zh-CN" w:bidi="ar"/>
              </w:rPr>
              <w:t>2024年度一般公共预算拨款支出预算表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0" w:hRule="atLeast"/>
        </w:trPr>
        <w:tc>
          <w:tcPr>
            <w:tcW w:w="5000" w:type="pct"/>
            <w:gridSpan w:val="6"/>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0" w:firstLineChars="3000"/>
              <w:jc w:val="both"/>
              <w:rPr>
                <w:sz w:val="24"/>
                <w:szCs w:val="24"/>
                <w:shd w:val="clear" w:color="auto" w:fill="auto"/>
              </w:rPr>
            </w:pPr>
            <w:r>
              <w:rPr>
                <w:rFonts w:hint="eastAsia" w:ascii="宋体" w:hAnsi="宋体" w:eastAsia="宋体" w:cs="宋体"/>
                <w:kern w:val="0"/>
                <w:sz w:val="24"/>
                <w:szCs w:val="24"/>
                <w:shd w:val="clear" w:color="auto" w:fill="auto"/>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31" w:type="pct"/>
          <w:trHeight w:val="285" w:hRule="exact"/>
        </w:trPr>
        <w:tc>
          <w:tcPr>
            <w:tcW w:w="598" w:type="pct"/>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科目编码</w:t>
            </w:r>
          </w:p>
        </w:tc>
        <w:tc>
          <w:tcPr>
            <w:tcW w:w="1504" w:type="pct"/>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科目名称</w:t>
            </w:r>
          </w:p>
        </w:tc>
        <w:tc>
          <w:tcPr>
            <w:tcW w:w="976" w:type="pct"/>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合计</w:t>
            </w:r>
          </w:p>
        </w:tc>
        <w:tc>
          <w:tcPr>
            <w:tcW w:w="1889"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345" w:hRule="exact"/>
        </w:trPr>
        <w:tc>
          <w:tcPr>
            <w:tcW w:w="598" w:type="pct"/>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eastAsia" w:ascii="宋体" w:hAnsi="宋体" w:eastAsia="宋体"/>
                <w:sz w:val="18"/>
                <w:szCs w:val="24"/>
              </w:rPr>
            </w:pPr>
          </w:p>
        </w:tc>
        <w:tc>
          <w:tcPr>
            <w:tcW w:w="1504" w:type="pct"/>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eastAsia" w:ascii="宋体" w:hAnsi="宋体" w:eastAsia="宋体"/>
                <w:sz w:val="18"/>
                <w:szCs w:val="24"/>
              </w:rPr>
            </w:pPr>
          </w:p>
        </w:tc>
        <w:tc>
          <w:tcPr>
            <w:tcW w:w="976" w:type="pct"/>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eastAsia" w:ascii="宋体" w:hAnsi="宋体" w:eastAsia="宋体"/>
                <w:sz w:val="18"/>
                <w:szCs w:val="24"/>
              </w:rPr>
            </w:pP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基本支出</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1</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2</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3</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4</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合计</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center"/>
              <w:rPr>
                <w:rFonts w:hint="default"/>
                <w:sz w:val="24"/>
                <w:szCs w:val="24"/>
              </w:rPr>
            </w:pP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571.02</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571.02</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201</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一般公共服务支出</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392.04</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392.04</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20103</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政府办公厅（室）及相关机构事务</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392.04</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392.04</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2010301</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行政运行</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267.85</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267.85</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2010350</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事业运行</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124.19</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124.19</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208</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社会保障和就业支出</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20805</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行政事业单位养老支出</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2080505</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机关事业单位基本养老保险缴费支出</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210</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卫生健康支出</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30.15</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30.15</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21011</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行政事业单位医疗</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30.15</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30.15</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2101101</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行政单位医疗</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17.67</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17.67</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2101102</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事业单位医疗</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12.48</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12.48</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213</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农林水支出</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21307</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农村综合改革</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2130705</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对村民委员会和村党支部的补助</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75.90</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221</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住房保障支出</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22102</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住房改革支出</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31" w:type="pct"/>
          <w:trHeight w:val="285" w:hRule="exact"/>
        </w:trPr>
        <w:tc>
          <w:tcPr>
            <w:tcW w:w="598"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2210201</w:t>
            </w:r>
          </w:p>
        </w:tc>
        <w:tc>
          <w:tcPr>
            <w:tcW w:w="1504"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320"/>
              <w:rPr>
                <w:rFonts w:hint="eastAsia" w:ascii="宋体" w:hAnsi="宋体" w:eastAsia="宋体"/>
                <w:sz w:val="18"/>
                <w:szCs w:val="24"/>
              </w:rPr>
            </w:pPr>
            <w:r>
              <w:rPr>
                <w:rFonts w:hint="eastAsia" w:ascii="宋体" w:hAnsi="宋体" w:eastAsia="宋体"/>
                <w:sz w:val="18"/>
                <w:szCs w:val="24"/>
              </w:rPr>
              <w:t>住房公积金</w:t>
            </w:r>
          </w:p>
        </w:tc>
        <w:tc>
          <w:tcPr>
            <w:tcW w:w="976"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882"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c>
          <w:tcPr>
            <w:tcW w:w="1007" w:type="pc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bl>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六、政府性基金预算拨款支出预算表</w:t>
      </w:r>
    </w:p>
    <w:tbl>
      <w:tblPr>
        <w:tblStyle w:val="3"/>
        <w:tblW w:w="82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49"/>
        <w:gridCol w:w="2552"/>
        <w:gridCol w:w="1559"/>
        <w:gridCol w:w="1559"/>
        <w:gridCol w:w="14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9" w:hRule="atLeast"/>
        </w:trPr>
        <w:tc>
          <w:tcPr>
            <w:tcW w:w="8237" w:type="dxa"/>
            <w:gridSpan w:val="5"/>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方正小标宋简体" w:hAnsi="方正小标宋简体" w:eastAsia="方正小标宋简体" w:cs="方正小标宋简体"/>
                <w:kern w:val="0"/>
                <w:sz w:val="24"/>
                <w:szCs w:val="24"/>
                <w:lang w:val="en-US" w:eastAsia="zh-CN" w:bidi="ar"/>
              </w:rPr>
              <w:t>2024年度政府性基金预算拨款支出预算表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8237" w:type="dxa"/>
            <w:gridSpan w:val="5"/>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firstLine="6720" w:firstLineChars="2800"/>
              <w:jc w:val="left"/>
              <w:rPr>
                <w:sz w:val="24"/>
                <w:szCs w:val="24"/>
              </w:rPr>
            </w:pPr>
            <w:r>
              <w:rPr>
                <w:rFonts w:hint="eastAsia" w:ascii="宋体" w:hAnsi="宋体" w:eastAsia="宋体" w:cs="宋体"/>
                <w:kern w:val="0"/>
                <w:sz w:val="24"/>
                <w:szCs w:val="24"/>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vMerge w:val="restart"/>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科目编码</w:t>
            </w:r>
          </w:p>
        </w:tc>
        <w:tc>
          <w:tcPr>
            <w:tcW w:w="2552" w:type="dxa"/>
            <w:vMerge w:val="restart"/>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科目名称</w:t>
            </w:r>
          </w:p>
        </w:tc>
        <w:tc>
          <w:tcPr>
            <w:tcW w:w="1559" w:type="dxa"/>
            <w:vMerge w:val="restart"/>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合计</w:t>
            </w:r>
          </w:p>
        </w:tc>
        <w:tc>
          <w:tcPr>
            <w:tcW w:w="2977" w:type="dxa"/>
            <w:gridSpan w:val="2"/>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vMerge w:val="continue"/>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pPr>
              <w:rPr>
                <w:rFonts w:hint="eastAsia" w:ascii="宋体"/>
                <w:sz w:val="24"/>
                <w:szCs w:val="24"/>
              </w:rPr>
            </w:pPr>
          </w:p>
        </w:tc>
        <w:tc>
          <w:tcPr>
            <w:tcW w:w="2552" w:type="dxa"/>
            <w:vMerge w:val="continue"/>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rPr>
                <w:rFonts w:hint="eastAsia" w:ascii="宋体"/>
                <w:sz w:val="24"/>
                <w:szCs w:val="24"/>
              </w:rPr>
            </w:pPr>
          </w:p>
        </w:tc>
        <w:tc>
          <w:tcPr>
            <w:tcW w:w="1559" w:type="dxa"/>
            <w:vMerge w:val="continue"/>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rPr>
                <w:rFonts w:hint="eastAsia" w:ascii="宋体"/>
                <w:sz w:val="24"/>
                <w:szCs w:val="24"/>
              </w:rPr>
            </w:pP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基本支出</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3701" w:type="dxa"/>
            <w:gridSpan w:val="2"/>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合计</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注：本部门没有政府性基金预算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七、国有资本经营预算拨款支出预算表</w:t>
      </w:r>
    </w:p>
    <w:tbl>
      <w:tblPr>
        <w:tblStyle w:val="3"/>
        <w:tblW w:w="82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49"/>
        <w:gridCol w:w="2552"/>
        <w:gridCol w:w="1559"/>
        <w:gridCol w:w="1559"/>
        <w:gridCol w:w="14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9" w:hRule="atLeast"/>
        </w:trPr>
        <w:tc>
          <w:tcPr>
            <w:tcW w:w="8237" w:type="dxa"/>
            <w:gridSpan w:val="5"/>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方正小标宋简体" w:hAnsi="方正小标宋简体" w:eastAsia="方正小标宋简体" w:cs="方正小标宋简体"/>
                <w:kern w:val="0"/>
                <w:sz w:val="24"/>
                <w:szCs w:val="24"/>
                <w:lang w:val="en-US" w:eastAsia="zh-CN" w:bidi="ar"/>
              </w:rPr>
              <w:t>2024年度国有资本经营预算拨款支出预算表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1149" w:type="dxa"/>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vMerge w:val="restart"/>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科目编码</w:t>
            </w:r>
          </w:p>
        </w:tc>
        <w:tc>
          <w:tcPr>
            <w:tcW w:w="2552" w:type="dxa"/>
            <w:vMerge w:val="restart"/>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科目名称</w:t>
            </w:r>
          </w:p>
        </w:tc>
        <w:tc>
          <w:tcPr>
            <w:tcW w:w="1559" w:type="dxa"/>
            <w:vMerge w:val="restart"/>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合计</w:t>
            </w:r>
          </w:p>
        </w:tc>
        <w:tc>
          <w:tcPr>
            <w:tcW w:w="2977" w:type="dxa"/>
            <w:gridSpan w:val="2"/>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vMerge w:val="continue"/>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pPr>
              <w:rPr>
                <w:rFonts w:hint="eastAsia" w:ascii="宋体"/>
                <w:sz w:val="24"/>
                <w:szCs w:val="24"/>
              </w:rPr>
            </w:pPr>
          </w:p>
        </w:tc>
        <w:tc>
          <w:tcPr>
            <w:tcW w:w="2552" w:type="dxa"/>
            <w:vMerge w:val="continue"/>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rPr>
                <w:rFonts w:hint="eastAsia" w:ascii="宋体"/>
                <w:sz w:val="24"/>
                <w:szCs w:val="24"/>
              </w:rPr>
            </w:pPr>
          </w:p>
        </w:tc>
        <w:tc>
          <w:tcPr>
            <w:tcW w:w="1559" w:type="dxa"/>
            <w:vMerge w:val="continue"/>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rPr>
                <w:rFonts w:hint="eastAsia" w:ascii="宋体"/>
                <w:sz w:val="24"/>
                <w:szCs w:val="24"/>
              </w:rPr>
            </w:pP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基本支出</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3701" w:type="dxa"/>
            <w:gridSpan w:val="2"/>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合计</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2552"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559"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418"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注：本部门没有国有资本经营预算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八、一般公共预算支出经济分类情况表</w:t>
      </w:r>
    </w:p>
    <w:tbl>
      <w:tblPr>
        <w:tblStyle w:val="3"/>
        <w:tblW w:w="82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575"/>
        <w:gridCol w:w="3969"/>
        <w:gridCol w:w="26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3" w:hRule="atLeast"/>
        </w:trPr>
        <w:tc>
          <w:tcPr>
            <w:tcW w:w="8237" w:type="dxa"/>
            <w:gridSpan w:val="3"/>
            <w:tcBorders>
              <w:top w:val="nil"/>
              <w:left w:val="nil"/>
              <w:bottom w:val="nil"/>
              <w:right w:val="nil"/>
            </w:tcBorders>
            <w:shd w:val="clear" w:color="auto" w:fill="FFFFFF"/>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方正小标宋简体" w:hAnsi="方正小标宋简体" w:eastAsia="方正小标宋简体" w:cs="方正小标宋简体"/>
                <w:kern w:val="0"/>
                <w:sz w:val="24"/>
                <w:szCs w:val="24"/>
                <w:lang w:val="en-US" w:eastAsia="zh-CN" w:bidi="ar"/>
              </w:rPr>
              <w:t>2024年度一般公共预算支出经济分类情况表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575" w:type="dxa"/>
            <w:tcBorders>
              <w:top w:val="nil"/>
              <w:left w:val="nil"/>
              <w:bottom w:val="nil"/>
              <w:right w:val="nil"/>
            </w:tcBorders>
            <w:shd w:val="clear" w:color="auto" w:fill="FFFFFF"/>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color w:val="000000"/>
                <w:kern w:val="0"/>
                <w:sz w:val="24"/>
                <w:szCs w:val="24"/>
                <w:lang w:val="en-US" w:eastAsia="zh-CN" w:bidi="ar"/>
              </w:rPr>
              <w:t>　</w:t>
            </w:r>
          </w:p>
        </w:tc>
        <w:tc>
          <w:tcPr>
            <w:tcW w:w="3969"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2693" w:type="dxa"/>
            <w:tcBorders>
              <w:top w:val="nil"/>
              <w:left w:val="nil"/>
              <w:bottom w:val="nil"/>
              <w:right w:val="nil"/>
            </w:tcBorders>
            <w:shd w:val="clear" w:color="auto" w:fill="FFFFFF"/>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color w:val="000000"/>
                <w:kern w:val="0"/>
                <w:sz w:val="24"/>
                <w:szCs w:val="24"/>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575"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jc w:val="center"/>
              <w:rPr>
                <w:sz w:val="24"/>
                <w:szCs w:val="24"/>
              </w:rPr>
            </w:pPr>
            <w:r>
              <w:rPr>
                <w:rFonts w:hint="eastAsia" w:ascii="宋体" w:hAnsi="宋体" w:eastAsia="宋体"/>
                <w:sz w:val="18"/>
                <w:szCs w:val="24"/>
              </w:rPr>
              <w:t>科目编码</w:t>
            </w:r>
          </w:p>
        </w:tc>
        <w:tc>
          <w:tcPr>
            <w:tcW w:w="3969" w:type="dxa"/>
            <w:tcBorders>
              <w:top w:val="single" w:color="000000" w:sz="8" w:space="0"/>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line="225" w:lineRule="exact"/>
              <w:ind w:left="20" w:leftChars="0"/>
              <w:jc w:val="center"/>
              <w:rPr>
                <w:sz w:val="24"/>
                <w:szCs w:val="24"/>
              </w:rPr>
            </w:pPr>
            <w:r>
              <w:rPr>
                <w:rFonts w:hint="eastAsia" w:ascii="宋体" w:hAnsi="宋体" w:eastAsia="宋体"/>
                <w:sz w:val="18"/>
                <w:szCs w:val="24"/>
              </w:rPr>
              <w:t>科目名称</w:t>
            </w:r>
          </w:p>
        </w:tc>
        <w:tc>
          <w:tcPr>
            <w:tcW w:w="2693" w:type="dxa"/>
            <w:tcBorders>
              <w:top w:val="single" w:color="000000" w:sz="8" w:space="0"/>
              <w:left w:val="nil"/>
              <w:bottom w:val="single" w:color="auto" w:sz="4" w:space="0"/>
              <w:right w:val="single" w:color="000000" w:sz="8" w:space="0"/>
            </w:tcBorders>
            <w:shd w:val="clear" w:color="auto" w:fill="auto"/>
            <w:noWrap/>
            <w:tcMar>
              <w:left w:w="108" w:type="dxa"/>
              <w:right w:w="108" w:type="dxa"/>
            </w:tcMar>
            <w:vAlign w:val="center"/>
          </w:tcPr>
          <w:p>
            <w:pPr>
              <w:spacing w:beforeLines="0" w:afterLines="0" w:line="225" w:lineRule="exact"/>
              <w:ind w:left="20" w:leftChars="0"/>
              <w:jc w:val="center"/>
              <w:rPr>
                <w:sz w:val="24"/>
                <w:szCs w:val="24"/>
              </w:rPr>
            </w:pPr>
            <w:r>
              <w:rPr>
                <w:rFonts w:hint="eastAsia" w:ascii="宋体" w:hAnsi="宋体" w:eastAsia="宋体"/>
                <w:sz w:val="18"/>
                <w:szCs w:val="24"/>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noWrap/>
            <w:tcMar>
              <w:left w:w="108" w:type="dxa"/>
              <w:right w:w="108" w:type="dxa"/>
            </w:tcMar>
            <w:vAlign w:val="center"/>
          </w:tcPr>
          <w:p>
            <w:pPr>
              <w:spacing w:beforeLines="0" w:afterLines="0" w:line="225" w:lineRule="exact"/>
              <w:ind w:left="20" w:leftChars="0"/>
              <w:jc w:val="center"/>
              <w:rPr>
                <w:sz w:val="24"/>
                <w:szCs w:val="24"/>
              </w:rPr>
            </w:pPr>
            <w:r>
              <w:rPr>
                <w:rFonts w:hint="eastAsia" w:ascii="宋体" w:hAnsi="宋体" w:eastAsia="宋体"/>
                <w:sz w:val="18"/>
                <w:szCs w:val="24"/>
              </w:rPr>
              <w:t>1</w:t>
            </w:r>
          </w:p>
        </w:tc>
        <w:tc>
          <w:tcPr>
            <w:tcW w:w="3969" w:type="dxa"/>
            <w:tcBorders>
              <w:top w:val="nil"/>
              <w:left w:val="single" w:color="000000" w:sz="8" w:space="0"/>
              <w:bottom w:val="single" w:color="000000" w:sz="8" w:space="0"/>
              <w:right w:val="single" w:color="auto" w:sz="4" w:space="0"/>
            </w:tcBorders>
            <w:shd w:val="clear" w:color="auto" w:fill="auto"/>
            <w:noWrap/>
            <w:tcMar>
              <w:left w:w="108" w:type="dxa"/>
              <w:right w:w="108" w:type="dxa"/>
            </w:tcMar>
            <w:vAlign w:val="center"/>
          </w:tcPr>
          <w:p>
            <w:pPr>
              <w:spacing w:beforeLines="0" w:afterLines="0" w:line="225" w:lineRule="exact"/>
              <w:ind w:left="20" w:leftChars="0"/>
              <w:jc w:val="center"/>
            </w:pPr>
            <w:r>
              <w:rPr>
                <w:rFonts w:hint="eastAsia" w:ascii="宋体" w:hAnsi="宋体" w:eastAsia="宋体"/>
                <w:sz w:val="18"/>
                <w:szCs w:val="24"/>
              </w:rPr>
              <w:t>2</w:t>
            </w:r>
          </w:p>
        </w:tc>
        <w:tc>
          <w:tcPr>
            <w:tcW w:w="2693"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pPr>
              <w:spacing w:beforeLines="0" w:afterLines="0" w:line="225" w:lineRule="exact"/>
              <w:ind w:left="20" w:leftChars="0"/>
              <w:jc w:val="center"/>
              <w:rPr>
                <w:rFonts w:hint="default"/>
                <w:sz w:val="24"/>
                <w:szCs w:val="24"/>
                <w:lang w:val="en-US"/>
              </w:rPr>
            </w:pPr>
            <w:r>
              <w:rPr>
                <w:rFonts w:hint="eastAsia" w:ascii="宋体" w:hAnsi="宋体" w:eastAsia="宋体"/>
                <w:sz w:val="18"/>
                <w:szCs w:val="24"/>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合计</w:t>
            </w:r>
          </w:p>
        </w:tc>
        <w:tc>
          <w:tcPr>
            <w:tcW w:w="3969" w:type="dxa"/>
            <w:tcBorders>
              <w:top w:val="nil"/>
              <w:left w:val="nil"/>
              <w:bottom w:val="single" w:color="000000" w:sz="8" w:space="0"/>
              <w:right w:val="single" w:color="000000" w:sz="8" w:space="0"/>
            </w:tcBorders>
            <w:shd w:val="clear" w:color="auto" w:fill="auto"/>
            <w:tcMar>
              <w:left w:w="108" w:type="dxa"/>
              <w:right w:w="108" w:type="dxa"/>
            </w:tcMar>
            <w:vAlign w:val="center"/>
          </w:tcPr>
          <w:p>
            <w:pPr>
              <w:spacing w:beforeLines="0" w:afterLines="0"/>
              <w:rPr>
                <w:sz w:val="24"/>
                <w:szCs w:val="24"/>
              </w:rPr>
            </w:pPr>
          </w:p>
        </w:tc>
        <w:tc>
          <w:tcPr>
            <w:tcW w:w="2693" w:type="dxa"/>
            <w:tcBorders>
              <w:top w:val="single" w:color="auto" w:sz="4" w:space="0"/>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line="225" w:lineRule="exact"/>
              <w:ind w:right="20" w:rightChars="0"/>
              <w:jc w:val="right"/>
              <w:rPr>
                <w:rFonts w:hint="default" w:eastAsiaTheme="minorEastAsia"/>
                <w:sz w:val="24"/>
                <w:szCs w:val="24"/>
                <w:lang w:val="en-US" w:eastAsia="zh-CN"/>
              </w:rPr>
            </w:pPr>
            <w:r>
              <w:rPr>
                <w:rFonts w:hint="eastAsia" w:ascii="宋体" w:hAnsi="宋体" w:eastAsia="宋体"/>
                <w:sz w:val="18"/>
                <w:szCs w:val="24"/>
              </w:rPr>
              <w:t>571.02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301</w:t>
            </w:r>
          </w:p>
        </w:tc>
        <w:tc>
          <w:tcPr>
            <w:tcW w:w="3969" w:type="dxa"/>
            <w:tcBorders>
              <w:top w:val="nil"/>
              <w:left w:val="nil"/>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工资福利支出</w:t>
            </w:r>
          </w:p>
        </w:tc>
        <w:tc>
          <w:tcPr>
            <w:tcW w:w="2693" w:type="dxa"/>
            <w:tcBorders>
              <w:top w:val="nil"/>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line="225" w:lineRule="exact"/>
              <w:ind w:right="20" w:rightChars="0"/>
              <w:jc w:val="right"/>
              <w:rPr>
                <w:rFonts w:hint="default" w:eastAsiaTheme="minorEastAsia"/>
                <w:sz w:val="24"/>
                <w:szCs w:val="24"/>
                <w:lang w:val="en-US" w:eastAsia="zh-CN"/>
              </w:rPr>
            </w:pPr>
            <w:r>
              <w:rPr>
                <w:rFonts w:hint="eastAsia" w:ascii="宋体" w:hAnsi="宋体" w:eastAsia="宋体"/>
                <w:sz w:val="18"/>
                <w:szCs w:val="24"/>
              </w:rPr>
              <w:t>436.50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302</w:t>
            </w:r>
          </w:p>
        </w:tc>
        <w:tc>
          <w:tcPr>
            <w:tcW w:w="3969" w:type="dxa"/>
            <w:tcBorders>
              <w:top w:val="nil"/>
              <w:left w:val="nil"/>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商品和服务支出</w:t>
            </w:r>
          </w:p>
        </w:tc>
        <w:tc>
          <w:tcPr>
            <w:tcW w:w="2693" w:type="dxa"/>
            <w:tcBorders>
              <w:top w:val="nil"/>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line="225" w:lineRule="exact"/>
              <w:ind w:right="20" w:rightChars="0"/>
              <w:jc w:val="right"/>
              <w:rPr>
                <w:rFonts w:hint="default"/>
                <w:sz w:val="24"/>
                <w:szCs w:val="24"/>
                <w:lang w:val="en-US"/>
              </w:rPr>
            </w:pPr>
            <w:r>
              <w:rPr>
                <w:rFonts w:hint="eastAsia" w:ascii="宋体" w:hAnsi="宋体" w:eastAsia="宋体"/>
                <w:sz w:val="18"/>
                <w:szCs w:val="24"/>
              </w:rPr>
              <w:t>86.50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303</w:t>
            </w:r>
          </w:p>
        </w:tc>
        <w:tc>
          <w:tcPr>
            <w:tcW w:w="3969" w:type="dxa"/>
            <w:tcBorders>
              <w:top w:val="nil"/>
              <w:left w:val="nil"/>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对个人和家庭的补助</w:t>
            </w:r>
          </w:p>
        </w:tc>
        <w:tc>
          <w:tcPr>
            <w:tcW w:w="2693" w:type="dxa"/>
            <w:tcBorders>
              <w:top w:val="nil"/>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line="225" w:lineRule="exact"/>
              <w:ind w:right="20" w:rightChars="0"/>
              <w:jc w:val="right"/>
              <w:rPr>
                <w:sz w:val="24"/>
                <w:szCs w:val="24"/>
              </w:rPr>
            </w:pPr>
            <w:r>
              <w:rPr>
                <w:rFonts w:hint="eastAsia" w:ascii="宋体" w:hAnsi="宋体" w:eastAsia="宋体"/>
                <w:sz w:val="18"/>
                <w:szCs w:val="24"/>
              </w:rPr>
              <w:t>48.02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307</w:t>
            </w:r>
          </w:p>
        </w:tc>
        <w:tc>
          <w:tcPr>
            <w:tcW w:w="3969" w:type="dxa"/>
            <w:tcBorders>
              <w:top w:val="nil"/>
              <w:left w:val="nil"/>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债务利息及费用支出</w:t>
            </w:r>
          </w:p>
        </w:tc>
        <w:tc>
          <w:tcPr>
            <w:tcW w:w="2693" w:type="dxa"/>
            <w:tcBorders>
              <w:top w:val="nil"/>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jc w:val="right"/>
              <w:rPr>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309</w:t>
            </w:r>
          </w:p>
        </w:tc>
        <w:tc>
          <w:tcPr>
            <w:tcW w:w="3969" w:type="dxa"/>
            <w:tcBorders>
              <w:top w:val="nil"/>
              <w:left w:val="nil"/>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资本性支出（基本建设）</w:t>
            </w:r>
          </w:p>
        </w:tc>
        <w:tc>
          <w:tcPr>
            <w:tcW w:w="2693" w:type="dxa"/>
            <w:tcBorders>
              <w:top w:val="nil"/>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jc w:val="right"/>
              <w:rPr>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310</w:t>
            </w:r>
          </w:p>
        </w:tc>
        <w:tc>
          <w:tcPr>
            <w:tcW w:w="3969" w:type="dxa"/>
            <w:tcBorders>
              <w:top w:val="nil"/>
              <w:left w:val="nil"/>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资本性支出</w:t>
            </w:r>
          </w:p>
        </w:tc>
        <w:tc>
          <w:tcPr>
            <w:tcW w:w="2693" w:type="dxa"/>
            <w:tcBorders>
              <w:top w:val="nil"/>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jc w:val="right"/>
              <w:rPr>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311</w:t>
            </w:r>
          </w:p>
        </w:tc>
        <w:tc>
          <w:tcPr>
            <w:tcW w:w="3969" w:type="dxa"/>
            <w:tcBorders>
              <w:top w:val="nil"/>
              <w:left w:val="nil"/>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对企业补助（基本建设）</w:t>
            </w:r>
          </w:p>
        </w:tc>
        <w:tc>
          <w:tcPr>
            <w:tcW w:w="2693" w:type="dxa"/>
            <w:tcBorders>
              <w:top w:val="nil"/>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jc w:val="right"/>
              <w:rPr>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312</w:t>
            </w:r>
          </w:p>
        </w:tc>
        <w:tc>
          <w:tcPr>
            <w:tcW w:w="3969" w:type="dxa"/>
            <w:tcBorders>
              <w:top w:val="nil"/>
              <w:left w:val="nil"/>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对企业补助</w:t>
            </w:r>
          </w:p>
        </w:tc>
        <w:tc>
          <w:tcPr>
            <w:tcW w:w="2693" w:type="dxa"/>
            <w:tcBorders>
              <w:top w:val="nil"/>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jc w:val="right"/>
              <w:rPr>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575" w:type="dxa"/>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313</w:t>
            </w:r>
          </w:p>
        </w:tc>
        <w:tc>
          <w:tcPr>
            <w:tcW w:w="3969" w:type="dxa"/>
            <w:tcBorders>
              <w:top w:val="nil"/>
              <w:left w:val="nil"/>
              <w:bottom w:val="single" w:color="000000" w:sz="8" w:space="0"/>
              <w:right w:val="single" w:color="000000" w:sz="8" w:space="0"/>
            </w:tcBorders>
            <w:shd w:val="clear" w:color="auto" w:fill="auto"/>
            <w:tcMar>
              <w:left w:w="108" w:type="dxa"/>
              <w:right w:w="108" w:type="dxa"/>
            </w:tcMar>
            <w:vAlign w:val="center"/>
          </w:tcPr>
          <w:p>
            <w:pPr>
              <w:spacing w:beforeLines="0" w:afterLines="0" w:line="225" w:lineRule="exact"/>
              <w:ind w:left="20" w:leftChars="0"/>
              <w:rPr>
                <w:sz w:val="24"/>
                <w:szCs w:val="24"/>
              </w:rPr>
            </w:pPr>
            <w:r>
              <w:rPr>
                <w:rFonts w:hint="eastAsia" w:ascii="宋体" w:hAnsi="宋体" w:eastAsia="宋体"/>
                <w:sz w:val="18"/>
                <w:szCs w:val="24"/>
              </w:rPr>
              <w:t>对社会保障基金补助</w:t>
            </w:r>
          </w:p>
        </w:tc>
        <w:tc>
          <w:tcPr>
            <w:tcW w:w="2693" w:type="dxa"/>
            <w:tcBorders>
              <w:top w:val="nil"/>
              <w:left w:val="nil"/>
              <w:bottom w:val="single" w:color="000000" w:sz="8" w:space="0"/>
              <w:right w:val="single" w:color="000000" w:sz="8" w:space="0"/>
            </w:tcBorders>
            <w:shd w:val="clear" w:color="auto" w:fill="auto"/>
            <w:noWrap/>
            <w:tcMar>
              <w:left w:w="108" w:type="dxa"/>
              <w:right w:w="108" w:type="dxa"/>
            </w:tcMar>
            <w:vAlign w:val="center"/>
          </w:tcPr>
          <w:p>
            <w:pPr>
              <w:spacing w:beforeLines="0" w:afterLines="0"/>
              <w:jc w:val="right"/>
              <w:rPr>
                <w:sz w:val="24"/>
                <w:szCs w:val="24"/>
              </w:rPr>
            </w:pPr>
          </w:p>
        </w:tc>
      </w:tr>
    </w:tbl>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九、一般公共预算基本支出经济分类情况表</w:t>
      </w:r>
    </w:p>
    <w:tbl>
      <w:tblPr>
        <w:tblStyle w:val="3"/>
        <w:tblW w:w="482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8"/>
        <w:gridCol w:w="5"/>
        <w:gridCol w:w="13"/>
        <w:gridCol w:w="953"/>
        <w:gridCol w:w="940"/>
        <w:gridCol w:w="79"/>
        <w:gridCol w:w="3337"/>
        <w:gridCol w:w="887"/>
        <w:gridCol w:w="423"/>
        <w:gridCol w:w="15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5000" w:type="pct"/>
            <w:gridSpan w:val="10"/>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方正小标宋简体" w:hAnsi="方正小标宋简体" w:eastAsia="方正小标宋简体" w:cs="方正小标宋简体"/>
                <w:color w:val="000000"/>
                <w:kern w:val="0"/>
                <w:sz w:val="24"/>
                <w:szCs w:val="24"/>
                <w:lang w:val="en-US" w:eastAsia="zh-CN" w:bidi="ar"/>
              </w:rPr>
              <w:t>2024年度一般公共预算基本支出经济分类情况表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644" w:type="pct"/>
            <w:gridSpan w:val="4"/>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ascii="Arial" w:hAnsi="Arial" w:cs="Arial" w:eastAsiaTheme="minorEastAsia"/>
                <w:color w:val="000000"/>
                <w:kern w:val="0"/>
                <w:sz w:val="24"/>
                <w:szCs w:val="24"/>
                <w:lang w:val="en-US" w:eastAsia="zh-CN" w:bidi="ar"/>
              </w:rPr>
              <w:t> </w:t>
            </w:r>
          </w:p>
        </w:tc>
        <w:tc>
          <w:tcPr>
            <w:tcW w:w="2647" w:type="pct"/>
            <w:gridSpan w:val="3"/>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796" w:type="pct"/>
            <w:gridSpan w:val="2"/>
            <w:tcBorders>
              <w:top w:val="nil"/>
              <w:left w:val="nil"/>
              <w:bottom w:val="nil"/>
              <w:right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911" w:type="pct"/>
            <w:tcBorders>
              <w:top w:val="nil"/>
              <w:left w:val="nil"/>
              <w:bottom w:val="nil"/>
              <w:right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480"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科目编码</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科目名称</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1</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2</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jc w:val="center"/>
              <w:rPr>
                <w:rFonts w:hint="eastAsia" w:ascii="宋体" w:hAnsi="宋体" w:eastAsia="宋体"/>
                <w:sz w:val="18"/>
                <w:szCs w:val="24"/>
              </w:rPr>
            </w:pPr>
            <w:r>
              <w:rPr>
                <w:rFonts w:hint="eastAsia" w:ascii="宋体" w:hAnsi="宋体" w:eastAsia="宋体"/>
                <w:sz w:val="18"/>
                <w:szCs w:val="24"/>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合计</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rPr>
                <w:rFonts w:hint="default"/>
                <w:sz w:val="24"/>
                <w:szCs w:val="24"/>
              </w:rPr>
            </w:pP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571.02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301</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工资福利支出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436.50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30101</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基本工资</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114.26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30102</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津贴补贴</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57.70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30103</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奖金</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115.51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30106</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伙食补助费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30107</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绩效工资</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30108</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机关事业单位基本养老保险缴费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30109</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职业年金缴费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30110</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职工基本医疗保险缴费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30111</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公务员医疗补助缴费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30112</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其他社会保障缴费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30113</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住房公积金</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24.43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30114</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医疗费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30199</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其他工资福利支出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302</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商品和服务支出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86.50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30201</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办公费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lang w:val="en-US" w:eastAsia="zh-CN"/>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30202</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印刷费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30203</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咨询费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30204</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手续费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30205</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水费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30206</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电费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30207</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邮电费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30208</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取暖费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30209</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物业管理费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30211</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差旅费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30212</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因公出国（境）费用</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30213</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维修(护)费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30214</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租赁费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30215</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会议费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30216</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培训费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30217</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公务接待费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tabs>
                <w:tab w:val="left" w:pos="298"/>
              </w:tabs>
              <w:spacing w:beforeLines="0" w:afterLines="0"/>
              <w:jc w:val="left"/>
              <w:rPr>
                <w:rFonts w:hint="default" w:eastAsiaTheme="minorEastAsia"/>
                <w:sz w:val="24"/>
                <w:szCs w:val="24"/>
                <w:lang w:val="en-US" w:eastAsia="zh-CN"/>
              </w:rPr>
            </w:pPr>
            <w:r>
              <w:rPr>
                <w:rFonts w:hint="eastAsia"/>
                <w:sz w:val="24"/>
                <w:szCs w:val="24"/>
                <w:lang w:eastAsia="zh-CN"/>
              </w:rPr>
              <w:tab/>
            </w:r>
            <w:r>
              <w:rPr>
                <w:rFonts w:hint="eastAsia"/>
                <w:sz w:val="24"/>
                <w:szCs w:val="24"/>
                <w:lang w:val="en-US" w:eastAsia="zh-CN"/>
              </w:rPr>
              <w:t xml:space="preserv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30218</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专用材料费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30224</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被装购置费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30225</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专用燃料费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30226</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劳务费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30227</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委托业务费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30228</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工会经费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30229</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福利费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161"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30231</w:t>
            </w:r>
          </w:p>
        </w:tc>
        <w:tc>
          <w:tcPr>
            <w:tcW w:w="2615"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公务用车运行维护费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eastAsia" w:eastAsiaTheme="minorEastAsia"/>
                <w:sz w:val="24"/>
                <w:szCs w:val="24"/>
                <w:lang w:val="en-US" w:eastAsia="zh-CN"/>
              </w:rPr>
            </w:pPr>
            <w:r>
              <w:rPr>
                <w:rFonts w:hint="eastAsia"/>
                <w:sz w:val="24"/>
                <w:szCs w:val="24"/>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324" w:hRule="exact"/>
        </w:trPr>
        <w:tc>
          <w:tcPr>
            <w:tcW w:w="1209" w:type="pct"/>
            <w:gridSpan w:val="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30239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其他交通费用</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209" w:type="pct"/>
            <w:gridSpan w:val="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30240</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税金及附加费用</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209" w:type="pct"/>
            <w:gridSpan w:val="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30299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其他商品和服务支出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37.50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209" w:type="pct"/>
            <w:gridSpan w:val="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303</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对个人和家庭的补助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209" w:type="pct"/>
            <w:gridSpan w:val="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30301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离休费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209" w:type="pct"/>
            <w:gridSpan w:val="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30302</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退休费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209" w:type="pct"/>
            <w:gridSpan w:val="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30303</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退职（役）费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209" w:type="pct"/>
            <w:gridSpan w:val="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30304</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抚恤金</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1"/>
          <w:wBefore w:w="54" w:type="pct"/>
          <w:trHeight w:val="285" w:hRule="exact"/>
        </w:trPr>
        <w:tc>
          <w:tcPr>
            <w:tcW w:w="1209" w:type="pct"/>
            <w:gridSpan w:val="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30305</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生活补助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right="20"/>
              <w:jc w:val="right"/>
              <w:rPr>
                <w:rFonts w:hint="eastAsia" w:ascii="宋体" w:hAnsi="宋体" w:eastAsia="宋体"/>
                <w:sz w:val="18"/>
                <w:szCs w:val="24"/>
              </w:rPr>
            </w:pPr>
            <w:r>
              <w:rPr>
                <w:rFonts w:hint="eastAsia" w:ascii="宋体" w:hAnsi="宋体" w:eastAsia="宋体"/>
                <w:sz w:val="18"/>
                <w:szCs w:val="24"/>
              </w:rPr>
              <w:t>48.02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30306</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救济费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30307</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医疗费补助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30308</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助学金</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30309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奖励金</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30310</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个人农业生产补贴</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30311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代缴社会保险费</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30399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其他对个人和家庭的补助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307</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债务利息及费用支出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30701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国内债务付息</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30702</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国外债务付息</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30703</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国内债务发行费用</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30704</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国外债务发行费用</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309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资本性支出（基本建设）</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30901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房屋建筑物购建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30902</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办公设备购置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30903</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专用设备购置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30905</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基础设施建设</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30906</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大型修缮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30907</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信息网络及软件购置更新</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30908</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物资储备</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30913</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公务用车购置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30919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其他交通工具购置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30921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文物和陈列品购置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30922</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无形资产购置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30999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其他基本建设支出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310</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资本性支出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31001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房屋建筑物购建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31002</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办公设备购置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31003</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专用设备购置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31005</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基础设施建设</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31006</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大型修缮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31007</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信息网络及软件购置更新</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31008</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物资储备</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31009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土地补偿</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31010</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安置补助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31011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地上附着物和青苗补偿</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31012</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拆迁补偿</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31013</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公务用车购置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31019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其他交通工具购置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31021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文物和陈列品购置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31022</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无形资产购置</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31099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其他资本性支出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311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对企业补助（基本建设）</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31101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资本金注入（基本建设）</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31199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其他对企业补助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312</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对企业补助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31201</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资本金注入</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31203</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政府投资基金股权投资</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31204</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费用补贴</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31205</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利息补贴</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31206</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其他资本性补助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31299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其他对企业补助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313</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对社会保障基金补助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31302</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对社会保险基金补助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31303</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补充全国社会保障基金</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2"/>
          <w:wBefore w:w="57" w:type="pct"/>
          <w:trHeight w:val="285" w:hRule="exact"/>
        </w:trPr>
        <w:tc>
          <w:tcPr>
            <w:tcW w:w="1206" w:type="pct"/>
            <w:gridSpan w:val="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31304</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对机关事业单位职业年金的补助</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3"/>
          <w:wBefore w:w="65" w:type="pct"/>
          <w:trHeight w:val="285" w:hRule="exact"/>
        </w:trPr>
        <w:tc>
          <w:tcPr>
            <w:tcW w:w="1198"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399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20"/>
              <w:rPr>
                <w:rFonts w:hint="eastAsia" w:ascii="宋体" w:hAnsi="宋体" w:eastAsia="宋体"/>
                <w:sz w:val="18"/>
                <w:szCs w:val="24"/>
              </w:rPr>
            </w:pPr>
            <w:r>
              <w:rPr>
                <w:rFonts w:hint="eastAsia" w:ascii="宋体" w:hAnsi="宋体" w:eastAsia="宋体"/>
                <w:sz w:val="18"/>
                <w:szCs w:val="24"/>
              </w:rPr>
              <w:t>其他支出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3"/>
          <w:wBefore w:w="65" w:type="pct"/>
          <w:trHeight w:val="285" w:hRule="exact"/>
        </w:trPr>
        <w:tc>
          <w:tcPr>
            <w:tcW w:w="1198"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39907</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国家赔偿费用支出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3"/>
          <w:wBefore w:w="65" w:type="pct"/>
          <w:trHeight w:val="285" w:hRule="exact"/>
        </w:trPr>
        <w:tc>
          <w:tcPr>
            <w:tcW w:w="1198"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39908</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对民间非营利组织和群众性自治组织补贴</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3"/>
          <w:wBefore w:w="65" w:type="pct"/>
          <w:trHeight w:val="285" w:hRule="exact"/>
        </w:trPr>
        <w:tc>
          <w:tcPr>
            <w:tcW w:w="1198"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39909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经常性赠与</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3"/>
          <w:wBefore w:w="65" w:type="pct"/>
          <w:trHeight w:val="285" w:hRule="exact"/>
        </w:trPr>
        <w:tc>
          <w:tcPr>
            <w:tcW w:w="1198"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39910</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资本性赠与</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Before w:val="3"/>
          <w:wBefore w:w="65" w:type="pct"/>
          <w:trHeight w:val="285" w:hRule="exact"/>
        </w:trPr>
        <w:tc>
          <w:tcPr>
            <w:tcW w:w="1198" w:type="pct"/>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39999</w:t>
            </w:r>
          </w:p>
        </w:tc>
        <w:tc>
          <w:tcPr>
            <w:tcW w:w="2567"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line="225" w:lineRule="exact"/>
              <w:ind w:left="160"/>
              <w:rPr>
                <w:rFonts w:hint="eastAsia" w:ascii="宋体" w:hAnsi="宋体" w:eastAsia="宋体"/>
                <w:sz w:val="18"/>
                <w:szCs w:val="24"/>
              </w:rPr>
            </w:pPr>
            <w:r>
              <w:rPr>
                <w:rFonts w:hint="eastAsia" w:ascii="宋体" w:hAnsi="宋体" w:eastAsia="宋体"/>
                <w:sz w:val="18"/>
                <w:szCs w:val="24"/>
              </w:rPr>
              <w:t>其他支出</w:t>
            </w:r>
          </w:p>
        </w:tc>
        <w:tc>
          <w:tcPr>
            <w:tcW w:w="1168" w:type="pct"/>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beforeLines="0" w:afterLines="0"/>
              <w:jc w:val="right"/>
              <w:rPr>
                <w:rFonts w:hint="default"/>
                <w:sz w:val="24"/>
                <w:szCs w:val="24"/>
              </w:rPr>
            </w:pP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十、一般公共预算“三公”经费支出预算表</w:t>
      </w:r>
    </w:p>
    <w:tbl>
      <w:tblPr>
        <w:tblStyle w:val="3"/>
        <w:tblW w:w="84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600"/>
        <w:gridCol w:w="3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3" w:hRule="atLeast"/>
        </w:trPr>
        <w:tc>
          <w:tcPr>
            <w:tcW w:w="8460" w:type="dxa"/>
            <w:gridSpan w:val="2"/>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方正小标宋简体" w:hAnsi="方正小标宋简体" w:eastAsia="方正小标宋简体" w:cs="方正小标宋简体"/>
                <w:kern w:val="0"/>
                <w:sz w:val="24"/>
                <w:szCs w:val="24"/>
                <w:lang w:val="en-US" w:eastAsia="zh-CN" w:bidi="ar"/>
              </w:rPr>
              <w:t>2024年度一般公共预算“三公”经费支出预算表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8" w:hRule="atLeast"/>
        </w:trPr>
        <w:tc>
          <w:tcPr>
            <w:tcW w:w="4600" w:type="dxa"/>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ascii="楷体_GB2312" w:eastAsia="楷体_GB2312" w:cs="楷体_GB2312" w:hAnsiTheme="minorHAnsi"/>
                <w:kern w:val="0"/>
                <w:sz w:val="24"/>
                <w:szCs w:val="24"/>
                <w:lang w:val="en-US" w:eastAsia="zh-CN" w:bidi="ar"/>
              </w:rPr>
              <w:t> </w:t>
            </w:r>
          </w:p>
        </w:tc>
        <w:tc>
          <w:tcPr>
            <w:tcW w:w="3860" w:type="dxa"/>
            <w:tcBorders>
              <w:top w:val="nil"/>
              <w:left w:val="nil"/>
              <w:bottom w:val="nil"/>
              <w:right w:val="nil"/>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4600" w:type="dxa"/>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项目</w:t>
            </w:r>
          </w:p>
        </w:tc>
        <w:tc>
          <w:tcPr>
            <w:tcW w:w="3860"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6" w:hRule="atLeast"/>
        </w:trPr>
        <w:tc>
          <w:tcPr>
            <w:tcW w:w="460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kern w:val="0"/>
                <w:sz w:val="24"/>
                <w:szCs w:val="24"/>
                <w:lang w:val="en-US" w:eastAsia="zh-CN" w:bidi="ar"/>
              </w:rPr>
              <w:t>合计</w:t>
            </w:r>
          </w:p>
        </w:tc>
        <w:tc>
          <w:tcPr>
            <w:tcW w:w="386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460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1、因公出国（境）费用</w:t>
            </w:r>
          </w:p>
        </w:tc>
        <w:tc>
          <w:tcPr>
            <w:tcW w:w="386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460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2、公务接待费</w:t>
            </w:r>
          </w:p>
        </w:tc>
        <w:tc>
          <w:tcPr>
            <w:tcW w:w="386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sz w:val="24"/>
                <w:szCs w:val="24"/>
                <w:lang w:val="en-US"/>
              </w:rPr>
            </w:pPr>
            <w:r>
              <w:rPr>
                <w:rFonts w:hint="eastAsia" w:ascii="宋体" w:hAnsi="宋体" w:eastAsia="宋体" w:cs="宋体"/>
                <w:kern w:val="0"/>
                <w:sz w:val="24"/>
                <w:szCs w:val="24"/>
                <w:lang w:val="en-US" w:eastAsia="zh-CN" w:bidi="ar"/>
              </w:rPr>
              <w:t>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460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3、公务用车购置及运行费</w:t>
            </w:r>
          </w:p>
        </w:tc>
        <w:tc>
          <w:tcPr>
            <w:tcW w:w="386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sz w:val="24"/>
                <w:szCs w:val="24"/>
                <w:lang w:val="en-US"/>
              </w:rPr>
            </w:pPr>
            <w:r>
              <w:rPr>
                <w:rFonts w:hint="eastAsia" w:ascii="宋体" w:hAnsi="宋体" w:eastAsia="宋体" w:cs="宋体"/>
                <w:kern w:val="0"/>
                <w:sz w:val="24"/>
                <w:szCs w:val="24"/>
                <w:lang w:val="en-US" w:eastAsia="zh-CN" w:bidi="ar"/>
              </w:rPr>
              <w:t>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46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40"/>
              <w:jc w:val="left"/>
              <w:rPr>
                <w:sz w:val="24"/>
                <w:szCs w:val="24"/>
              </w:rPr>
            </w:pPr>
            <w:r>
              <w:rPr>
                <w:rFonts w:hint="eastAsia" w:ascii="宋体" w:hAnsi="宋体" w:eastAsia="宋体" w:cs="宋体"/>
                <w:kern w:val="0"/>
                <w:sz w:val="24"/>
                <w:szCs w:val="24"/>
                <w:lang w:val="en-US" w:eastAsia="zh-CN" w:bidi="ar"/>
              </w:rPr>
              <w:t>其中：（1）公务用车购置费</w:t>
            </w:r>
          </w:p>
        </w:tc>
        <w:tc>
          <w:tcPr>
            <w:tcW w:w="386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8" w:hRule="atLeast"/>
        </w:trPr>
        <w:tc>
          <w:tcPr>
            <w:tcW w:w="460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（2）公务用车运行费</w:t>
            </w:r>
          </w:p>
        </w:tc>
        <w:tc>
          <w:tcPr>
            <w:tcW w:w="3860" w:type="dxa"/>
            <w:tcBorders>
              <w:top w:val="nil"/>
              <w:left w:val="nil"/>
              <w:bottom w:val="single" w:color="auto" w:sz="8" w:space="0"/>
              <w:right w:val="single" w:color="auto" w:sz="8" w:space="0"/>
            </w:tcBorders>
            <w:shd w:val="clear" w:color="auto" w:fill="auto"/>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3</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宋体" w:hAnsi="宋体" w:eastAsia="宋体" w:cs="宋体"/>
          <w:i w:val="0"/>
          <w:iCs w:val="0"/>
          <w:caps w:val="0"/>
          <w:color w:val="333333"/>
          <w:spacing w:val="0"/>
          <w:kern w:val="0"/>
          <w:sz w:val="24"/>
          <w:szCs w:val="24"/>
          <w:lang w:val="en-US" w:eastAsia="zh-CN" w:bidi="ar"/>
        </w:rPr>
        <w:sectPr>
          <w:pgSz w:w="11906" w:h="16838"/>
          <w:pgMar w:top="1440" w:right="1800" w:bottom="1440" w:left="1800" w:header="851" w:footer="992" w:gutter="0"/>
          <w:cols w:space="425" w:num="1"/>
          <w:docGrid w:type="lines" w:linePitch="312" w:charSpace="0"/>
        </w:sect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十一、部门专项资金管理清单目录</w:t>
      </w:r>
    </w:p>
    <w:tbl>
      <w:tblPr>
        <w:tblStyle w:val="3"/>
        <w:tblW w:w="139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49"/>
        <w:gridCol w:w="1354"/>
        <w:gridCol w:w="1056"/>
        <w:gridCol w:w="1134"/>
        <w:gridCol w:w="1134"/>
        <w:gridCol w:w="1134"/>
        <w:gridCol w:w="1134"/>
        <w:gridCol w:w="1040"/>
        <w:gridCol w:w="1200"/>
        <w:gridCol w:w="1200"/>
        <w:gridCol w:w="1188"/>
        <w:gridCol w:w="1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13998" w:type="dxa"/>
            <w:gridSpan w:val="12"/>
            <w:tcBorders>
              <w:top w:val="nil"/>
              <w:left w:val="nil"/>
              <w:bottom w:val="nil"/>
              <w:right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方正小标宋简体" w:hAnsi="方正小标宋简体" w:eastAsia="方正小标宋简体" w:cs="方正小标宋简体"/>
                <w:kern w:val="0"/>
                <w:sz w:val="24"/>
                <w:szCs w:val="24"/>
                <w:lang w:val="en-US" w:eastAsia="zh-CN" w:bidi="ar"/>
              </w:rPr>
              <w:t>2024年度部门专项资金管理清单目录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1149"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354"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056"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040"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200"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200"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88"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 </w:t>
            </w:r>
          </w:p>
        </w:tc>
        <w:tc>
          <w:tcPr>
            <w:tcW w:w="1275" w:type="dxa"/>
            <w:tcBorders>
              <w:top w:val="nil"/>
              <w:left w:val="nil"/>
              <w:bottom w:val="nil"/>
              <w:right w:val="nil"/>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sz w:val="24"/>
                <w:szCs w:val="24"/>
              </w:rPr>
            </w:pPr>
            <w:r>
              <w:rPr>
                <w:rFonts w:hint="eastAsia" w:ascii="宋体" w:hAnsi="宋体" w:eastAsia="宋体" w:cs="宋体"/>
                <w:kern w:val="0"/>
                <w:sz w:val="24"/>
                <w:szCs w:val="24"/>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1" w:hRule="atLeast"/>
        </w:trPr>
        <w:tc>
          <w:tcPr>
            <w:tcW w:w="1149" w:type="dxa"/>
            <w:vMerge w:val="restart"/>
            <w:tcBorders>
              <w:top w:val="single" w:color="auto" w:sz="8" w:space="0"/>
              <w:left w:val="single" w:color="auto" w:sz="8" w:space="0"/>
              <w:bottom w:val="single" w:color="000000"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主管部门名称</w:t>
            </w:r>
          </w:p>
        </w:tc>
        <w:tc>
          <w:tcPr>
            <w:tcW w:w="1354" w:type="dxa"/>
            <w:vMerge w:val="restart"/>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专项资金立项项目名称</w:t>
            </w:r>
          </w:p>
        </w:tc>
        <w:tc>
          <w:tcPr>
            <w:tcW w:w="1056" w:type="dxa"/>
            <w:vMerge w:val="restart"/>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立项依据</w:t>
            </w:r>
          </w:p>
        </w:tc>
        <w:tc>
          <w:tcPr>
            <w:tcW w:w="1134" w:type="dxa"/>
            <w:vMerge w:val="restart"/>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执行年限</w:t>
            </w:r>
          </w:p>
        </w:tc>
        <w:tc>
          <w:tcPr>
            <w:tcW w:w="1134" w:type="dxa"/>
            <w:vMerge w:val="restart"/>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实施规划</w:t>
            </w:r>
          </w:p>
        </w:tc>
        <w:tc>
          <w:tcPr>
            <w:tcW w:w="1134" w:type="dxa"/>
            <w:vMerge w:val="restart"/>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总体绩效目标</w:t>
            </w:r>
          </w:p>
        </w:tc>
        <w:tc>
          <w:tcPr>
            <w:tcW w:w="1134" w:type="dxa"/>
            <w:vMerge w:val="restart"/>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支出级次</w:t>
            </w:r>
          </w:p>
        </w:tc>
        <w:tc>
          <w:tcPr>
            <w:tcW w:w="4628" w:type="dxa"/>
            <w:gridSpan w:val="4"/>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资金拼盘</w:t>
            </w:r>
          </w:p>
        </w:tc>
        <w:tc>
          <w:tcPr>
            <w:tcW w:w="1275" w:type="dxa"/>
            <w:vMerge w:val="restart"/>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资金分配办法及支出标准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1149" w:type="dxa"/>
            <w:vMerge w:val="continue"/>
            <w:tcBorders>
              <w:top w:val="single" w:color="auto" w:sz="8" w:space="0"/>
              <w:left w:val="single" w:color="auto" w:sz="8" w:space="0"/>
              <w:bottom w:val="single" w:color="000000"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54" w:type="dxa"/>
            <w:vMerge w:val="continue"/>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056" w:type="dxa"/>
            <w:vMerge w:val="continue"/>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134" w:type="dxa"/>
            <w:vMerge w:val="continue"/>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134" w:type="dxa"/>
            <w:vMerge w:val="continue"/>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134" w:type="dxa"/>
            <w:vMerge w:val="continue"/>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134" w:type="dxa"/>
            <w:vMerge w:val="continue"/>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04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小计</w:t>
            </w:r>
          </w:p>
        </w:tc>
        <w:tc>
          <w:tcPr>
            <w:tcW w:w="120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一般公共预算</w:t>
            </w:r>
          </w:p>
        </w:tc>
        <w:tc>
          <w:tcPr>
            <w:tcW w:w="120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color w:val="000000"/>
                <w:kern w:val="0"/>
                <w:sz w:val="24"/>
                <w:szCs w:val="24"/>
                <w:lang w:val="en-US" w:eastAsia="zh-CN" w:bidi="ar"/>
              </w:rPr>
              <w:t>政府性基金预算</w:t>
            </w:r>
          </w:p>
        </w:tc>
        <w:tc>
          <w:tcPr>
            <w:tcW w:w="1188"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b/>
                <w:bCs/>
                <w:color w:val="000000"/>
                <w:kern w:val="0"/>
                <w:sz w:val="24"/>
                <w:szCs w:val="24"/>
                <w:lang w:val="en-US" w:eastAsia="zh-CN" w:bidi="ar"/>
              </w:rPr>
              <w:t>国有资本经营预算</w:t>
            </w:r>
          </w:p>
        </w:tc>
        <w:tc>
          <w:tcPr>
            <w:tcW w:w="1275" w:type="dxa"/>
            <w:vMerge w:val="continue"/>
            <w:tcBorders>
              <w:top w:val="single" w:color="auto" w:sz="8" w:space="0"/>
              <w:left w:val="nil"/>
              <w:bottom w:val="single" w:color="000000" w:sz="8" w:space="0"/>
              <w:right w:val="single" w:color="auto" w:sz="8" w:space="0"/>
            </w:tcBorders>
            <w:shd w:val="clear" w:color="auto" w:fill="auto"/>
            <w:tcMar>
              <w:left w:w="108"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354"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056"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040"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200"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200"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88"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275"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1149"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354"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056"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34"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040"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200"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200"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188"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c>
          <w:tcPr>
            <w:tcW w:w="1275" w:type="dxa"/>
            <w:tcBorders>
              <w:top w:val="nil"/>
              <w:left w:val="nil"/>
              <w:bottom w:val="single" w:color="auto" w:sz="8" w:space="0"/>
              <w:right w:val="single" w:color="auto" w:sz="8" w:space="0"/>
            </w:tcBorders>
            <w:shd w:val="clear" w:color="auto" w:fill="auto"/>
            <w:noWrap/>
            <w:tcMar>
              <w:left w:w="108" w:type="dxa"/>
              <w:right w:w="108" w:type="dxa"/>
            </w:tcMar>
            <w:vAlign w:val="bottom"/>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kern w:val="0"/>
                <w:sz w:val="24"/>
                <w:szCs w:val="24"/>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备注：本部门2024年度没有由本部门管理的专项资金。</w:t>
      </w:r>
    </w:p>
    <w:p>
      <w:pPr>
        <w:keepNext w:val="0"/>
        <w:keepLines w:val="0"/>
        <w:widowControl/>
        <w:suppressLineNumbers w:val="0"/>
        <w:spacing w:before="0" w:beforeAutospacing="0" w:after="0" w:afterAutospacing="0"/>
        <w:ind w:left="0" w:right="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宋体" w:hAnsi="宋体" w:eastAsia="宋体" w:cs="宋体"/>
          <w:i w:val="0"/>
          <w:iCs w:val="0"/>
          <w:caps w:val="0"/>
          <w:color w:val="333333"/>
          <w:spacing w:val="0"/>
          <w:sz w:val="24"/>
          <w:szCs w:val="24"/>
        </w:rPr>
        <w:sectPr>
          <w:pgSz w:w="16838" w:h="11906" w:orient="landscape"/>
          <w:pgMar w:top="1800" w:right="1440" w:bottom="1800" w:left="1440"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sz w:val="24"/>
          <w:szCs w:val="24"/>
        </w:rPr>
        <w:t>第三部分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sz w:val="24"/>
          <w:szCs w:val="24"/>
        </w:rPr>
        <w:t>2024年度部门预算情况说明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一、预算收支总体情况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按照综合预算的原则，部门所有收入和支出均纳入部门预算管理。2024年，长汀县庵杰乡人民政府收入预算为871.02万元，比上年增加238.02万元，主要原因是业务费（其他资金）增加。其中：一般公共预算拨款收入571.02万元，其他收入300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相应安排支出预算871.02万元，比上年增加238.02万元，主要原因是业务费（其他资金）增加。其中：基本支出871.02万元。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二、一般公共预算拨款支出情况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2024年度一般公共预算拨款支出571.02万元，比上年增加31.02万元，增加5.7%，主要原因是人员经费增加，主要支出项目(按项级科目分类统计)包括：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（一）2210201-住房公积金24.43万元。主要用于住房公积金支出。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（二）2130705-对村民委员会和党支部的补助75.9万元。主要用于村级办公经费、村干部工资及农田水利设施支出。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（三）2101101-行政单位医疗30.15万元。主要用于医疗保险缴费支出。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（四）2080505-机关事业单位基本养老保险缴费支出48.5万元。主要用于养老保险缴费支出。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（五）2010301-行政运行（政府办公厅（室）及相关机构事务）392.04万元。主要用于行政人员经费和办公经费支出。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三、政府性基金预算拨款支出情况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本部门2024年度没有使用政府性基金预算拨款安排的支出。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四、国有资本经营预算拨款支出情况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本部门2024年度没有使用国有资本经营预算拨款安排的支出。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五、一般公共预算拨款基本支出情况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2024年度一般公共预算拨款基本支出571.02万元，其中：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一）人员经费436.5万元，主要包括：基本工资、津贴补贴、奖金、伙食补助费、绩效工资、机关事业单位基本养老保险缴费、职工基本医疗保险缴费、公务员医疗补助缴费、其他社会保障缴费、住房公积金、医疗费、生活补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（二）公用经费134.52万元，主要包括：办公费、公务接待费、公务用车运行维护费、其他交通费用、其他商品和服务支出。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六、一般公共预算“三公”经费支出情况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60"/>
        <w:jc w:val="both"/>
        <w:rPr>
          <w:sz w:val="24"/>
          <w:szCs w:val="24"/>
        </w:rPr>
      </w:pPr>
      <w:r>
        <w:rPr>
          <w:rFonts w:hint="eastAsia" w:ascii="宋体" w:hAnsi="宋体" w:eastAsia="宋体" w:cs="宋体"/>
          <w:b/>
          <w:bCs/>
          <w:i w:val="0"/>
          <w:iCs w:val="0"/>
          <w:caps w:val="0"/>
          <w:color w:val="000000"/>
          <w:spacing w:val="0"/>
          <w:kern w:val="0"/>
          <w:sz w:val="24"/>
          <w:szCs w:val="24"/>
          <w:lang w:val="en-US" w:eastAsia="zh-CN" w:bidi="ar"/>
        </w:rPr>
        <w:t>（一）公务接待费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6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2024年预算安排6万元，与上年持平。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sz w:val="24"/>
          <w:szCs w:val="24"/>
        </w:rPr>
      </w:pPr>
      <w:r>
        <w:rPr>
          <w:rFonts w:hint="eastAsia" w:ascii="宋体" w:hAnsi="宋体" w:eastAsia="宋体" w:cs="宋体"/>
          <w:b/>
          <w:bCs/>
          <w:i w:val="0"/>
          <w:iCs w:val="0"/>
          <w:caps w:val="0"/>
          <w:color w:val="333333"/>
          <w:spacing w:val="0"/>
          <w:kern w:val="0"/>
          <w:sz w:val="24"/>
          <w:szCs w:val="24"/>
          <w:lang w:val="en-US" w:eastAsia="zh-CN" w:bidi="ar"/>
        </w:rPr>
        <w:t>（三）公务用车购置及运行费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2024年预算安排3万元，其中：公务用车运行费3万元，与上年持平。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七、其他重要事项说明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sz w:val="24"/>
          <w:szCs w:val="24"/>
        </w:rPr>
      </w:pPr>
      <w:r>
        <w:rPr>
          <w:rFonts w:hint="eastAsia" w:ascii="宋体" w:hAnsi="宋体" w:eastAsia="宋体" w:cs="宋体"/>
          <w:b/>
          <w:bCs/>
          <w:i w:val="0"/>
          <w:iCs w:val="0"/>
          <w:caps w:val="0"/>
          <w:color w:val="333333"/>
          <w:spacing w:val="0"/>
          <w:kern w:val="0"/>
          <w:sz w:val="24"/>
          <w:szCs w:val="24"/>
          <w:lang w:val="en-US" w:eastAsia="zh-CN" w:bidi="ar"/>
        </w:rPr>
        <w:t>（一）机关运行经费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2024年，长汀县庵杰乡人民政府一般公共预算拨款安排的机关运行经费支出37万元，与上年持平。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sz w:val="24"/>
          <w:szCs w:val="24"/>
        </w:rPr>
      </w:pPr>
      <w:r>
        <w:rPr>
          <w:rFonts w:hint="eastAsia" w:ascii="宋体" w:hAnsi="宋体" w:eastAsia="宋体" w:cs="宋体"/>
          <w:b/>
          <w:bCs/>
          <w:i w:val="0"/>
          <w:iCs w:val="0"/>
          <w:caps w:val="0"/>
          <w:color w:val="333333"/>
          <w:spacing w:val="0"/>
          <w:kern w:val="0"/>
          <w:sz w:val="24"/>
          <w:szCs w:val="24"/>
          <w:lang w:val="en-US" w:eastAsia="zh-CN" w:bidi="ar"/>
        </w:rPr>
        <w:t>（二）政府采购情况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2024年，长汀县庵杰乡人民政府政府采购预算总额10万元，其中：政府采购货物预算10万元、政府采购工程预算0万元、政府采购服务预算0万元。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sz w:val="24"/>
          <w:szCs w:val="24"/>
        </w:rPr>
      </w:pPr>
      <w:r>
        <w:rPr>
          <w:rFonts w:hint="eastAsia" w:ascii="宋体" w:hAnsi="宋体" w:eastAsia="宋体" w:cs="宋体"/>
          <w:b/>
          <w:bCs/>
          <w:i w:val="0"/>
          <w:iCs w:val="0"/>
          <w:caps w:val="0"/>
          <w:color w:val="333333"/>
          <w:spacing w:val="0"/>
          <w:kern w:val="0"/>
          <w:sz w:val="24"/>
          <w:szCs w:val="24"/>
          <w:lang w:val="en-US" w:eastAsia="zh-CN" w:bidi="ar"/>
        </w:rPr>
        <w:t>（三）国有资产占用使用情况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截至2023年12月31日，长汀县庵杰乡人民政府共有车辆2辆，其中：省部级领导干部用车0辆、机要通信用车0辆、应急保障用车0辆、执法执勤用车0辆、特种专业技术用车0辆、其他用车2辆（科级领导干部用车2辆、环卫车0辆、摩托车0辆）。单位价值50万元以上通用设备0台（套），单位价值100万元以上专用设备0台（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2024年部门预算安排购置车辆0辆，其中：省部级领导干部用车0辆、机要通信用车0辆、应急保障用车0辆、执法执勤用车0辆、特种专业技术用车0辆、其他用车0辆；单位价值50万元以上通用设备0台（套），单位价值100万元以上专用设备0台（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sz w:val="24"/>
          <w:szCs w:val="24"/>
        </w:rPr>
      </w:pPr>
      <w:r>
        <w:rPr>
          <w:rFonts w:hint="eastAsia" w:ascii="宋体" w:hAnsi="宋体" w:eastAsia="宋体" w:cs="宋体"/>
          <w:i w:val="0"/>
          <w:iCs w:val="0"/>
          <w:caps w:val="0"/>
          <w:color w:val="333333"/>
          <w:spacing w:val="0"/>
          <w:kern w:val="0"/>
          <w:sz w:val="24"/>
          <w:szCs w:val="24"/>
          <w:lang w:val="en-US" w:eastAsia="zh-CN" w:bidi="ar"/>
        </w:rPr>
        <w:t>第四部分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iCs w:val="0"/>
          <w:caps w:val="0"/>
          <w:color w:val="333333"/>
          <w:spacing w:val="0"/>
          <w:kern w:val="0"/>
          <w:sz w:val="24"/>
          <w:szCs w:val="24"/>
          <w:lang w:val="en-US" w:eastAsia="zh-CN" w:bidi="ar"/>
        </w:rPr>
        <w:t>名词解释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b/>
          <w:bCs/>
          <w:i w:val="0"/>
          <w:iCs w:val="0"/>
          <w:caps w:val="0"/>
          <w:color w:val="333333"/>
          <w:spacing w:val="0"/>
          <w:kern w:val="0"/>
          <w:sz w:val="24"/>
          <w:szCs w:val="24"/>
          <w:lang w:val="en-US" w:eastAsia="zh-CN" w:bidi="ar"/>
        </w:rPr>
        <w:t> </w:t>
      </w:r>
    </w:p>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10"/>
        <w:jc w:val="both"/>
        <w:rPr>
          <w:sz w:val="24"/>
          <w:szCs w:val="24"/>
        </w:rPr>
      </w:pPr>
      <w:r>
        <w:rPr>
          <w:rFonts w:hint="eastAsia" w:ascii="宋体" w:hAnsi="宋体" w:eastAsia="宋体" w:cs="宋体"/>
          <w:b/>
          <w:bCs/>
          <w:i w:val="0"/>
          <w:iCs w:val="0"/>
          <w:caps w:val="0"/>
          <w:color w:val="000000"/>
          <w:spacing w:val="0"/>
          <w:kern w:val="0"/>
          <w:sz w:val="24"/>
          <w:szCs w:val="24"/>
          <w:lang w:val="en-US" w:eastAsia="zh-CN" w:bidi="ar"/>
        </w:rPr>
        <w:t>一、财政拨款收入：</w:t>
      </w:r>
      <w:r>
        <w:rPr>
          <w:rFonts w:hint="eastAsia" w:ascii="宋体" w:hAnsi="宋体" w:eastAsia="宋体" w:cs="宋体"/>
          <w:i w:val="0"/>
          <w:iCs w:val="0"/>
          <w:caps w:val="0"/>
          <w:color w:val="000000"/>
          <w:spacing w:val="0"/>
          <w:kern w:val="0"/>
          <w:sz w:val="24"/>
          <w:szCs w:val="24"/>
          <w:lang w:val="en-US" w:eastAsia="zh-CN" w:bidi="ar"/>
        </w:rPr>
        <w:t>指财政当年拨付的资金，包括一般公共预算拨款收入、政府性基金预算拨款收入、国有资本经营预算拨款收入。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10"/>
        <w:jc w:val="both"/>
        <w:rPr>
          <w:sz w:val="24"/>
          <w:szCs w:val="24"/>
        </w:rPr>
      </w:pPr>
      <w:r>
        <w:rPr>
          <w:rFonts w:hint="eastAsia" w:ascii="宋体" w:hAnsi="宋体" w:eastAsia="宋体" w:cs="宋体"/>
          <w:b/>
          <w:bCs/>
          <w:i w:val="0"/>
          <w:iCs w:val="0"/>
          <w:caps w:val="0"/>
          <w:color w:val="000000"/>
          <w:spacing w:val="0"/>
          <w:kern w:val="0"/>
          <w:sz w:val="24"/>
          <w:szCs w:val="24"/>
          <w:lang w:val="en-US" w:eastAsia="zh-CN" w:bidi="ar"/>
        </w:rPr>
        <w:t>二、事业收入：</w:t>
      </w:r>
      <w:r>
        <w:rPr>
          <w:rFonts w:hint="eastAsia" w:ascii="宋体" w:hAnsi="宋体" w:eastAsia="宋体" w:cs="宋体"/>
          <w:i w:val="0"/>
          <w:iCs w:val="0"/>
          <w:caps w:val="0"/>
          <w:color w:val="000000"/>
          <w:spacing w:val="0"/>
          <w:kern w:val="0"/>
          <w:sz w:val="24"/>
          <w:szCs w:val="24"/>
          <w:lang w:val="en-US" w:eastAsia="zh-CN" w:bidi="ar"/>
        </w:rPr>
        <w:t>指事业单位开展专业业务活动及辅助活动所取得的收入。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10"/>
        <w:jc w:val="both"/>
        <w:rPr>
          <w:sz w:val="24"/>
          <w:szCs w:val="24"/>
        </w:rPr>
      </w:pPr>
      <w:r>
        <w:rPr>
          <w:rFonts w:hint="eastAsia" w:ascii="宋体" w:hAnsi="宋体" w:eastAsia="宋体" w:cs="宋体"/>
          <w:b/>
          <w:bCs/>
          <w:i w:val="0"/>
          <w:iCs w:val="0"/>
          <w:caps w:val="0"/>
          <w:color w:val="000000"/>
          <w:spacing w:val="0"/>
          <w:kern w:val="0"/>
          <w:sz w:val="24"/>
          <w:szCs w:val="24"/>
          <w:lang w:val="en-US" w:eastAsia="zh-CN" w:bidi="ar"/>
        </w:rPr>
        <w:t>三、事业单位经营收入：</w:t>
      </w:r>
      <w:r>
        <w:rPr>
          <w:rFonts w:hint="eastAsia" w:ascii="宋体" w:hAnsi="宋体" w:eastAsia="宋体" w:cs="宋体"/>
          <w:i w:val="0"/>
          <w:iCs w:val="0"/>
          <w:caps w:val="0"/>
          <w:color w:val="000000"/>
          <w:spacing w:val="0"/>
          <w:kern w:val="0"/>
          <w:sz w:val="24"/>
          <w:szCs w:val="24"/>
          <w:lang w:val="en-US" w:eastAsia="zh-CN" w:bidi="ar"/>
        </w:rPr>
        <w:t>指事业单位在专业业务活动及其辅助活动之外开展非独立核算经营活动取得的收入。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10"/>
        <w:jc w:val="both"/>
        <w:rPr>
          <w:sz w:val="24"/>
          <w:szCs w:val="24"/>
        </w:rPr>
      </w:pPr>
      <w:r>
        <w:rPr>
          <w:rFonts w:hint="eastAsia" w:ascii="宋体" w:hAnsi="宋体" w:eastAsia="宋体" w:cs="宋体"/>
          <w:b/>
          <w:bCs/>
          <w:i w:val="0"/>
          <w:iCs w:val="0"/>
          <w:caps w:val="0"/>
          <w:color w:val="000000"/>
          <w:spacing w:val="0"/>
          <w:kern w:val="0"/>
          <w:sz w:val="24"/>
          <w:szCs w:val="24"/>
          <w:lang w:val="en-US" w:eastAsia="zh-CN" w:bidi="ar"/>
        </w:rPr>
        <w:t>四、其他收入：</w:t>
      </w:r>
      <w:r>
        <w:rPr>
          <w:rFonts w:hint="eastAsia" w:ascii="宋体" w:hAnsi="宋体" w:eastAsia="宋体" w:cs="宋体"/>
          <w:i w:val="0"/>
          <w:iCs w:val="0"/>
          <w:caps w:val="0"/>
          <w:color w:val="000000"/>
          <w:spacing w:val="0"/>
          <w:kern w:val="0"/>
          <w:sz w:val="24"/>
          <w:szCs w:val="24"/>
          <w:lang w:val="en-US" w:eastAsia="zh-CN" w:bidi="ar"/>
        </w:rPr>
        <w:t>指除上述“财政拨款收入”、“事业收入”、“事业单位经营收入”等以外的收入。主要是事业单位固定资产出租收入、存款利息收入等。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sz w:val="24"/>
          <w:szCs w:val="24"/>
        </w:rPr>
      </w:pPr>
      <w:r>
        <w:rPr>
          <w:rFonts w:hint="eastAsia" w:ascii="宋体" w:hAnsi="宋体" w:eastAsia="宋体" w:cs="宋体"/>
          <w:b/>
          <w:bCs/>
          <w:i w:val="0"/>
          <w:iCs w:val="0"/>
          <w:caps w:val="0"/>
          <w:color w:val="000000"/>
          <w:spacing w:val="0"/>
          <w:kern w:val="0"/>
          <w:sz w:val="24"/>
          <w:szCs w:val="24"/>
          <w:lang w:val="en-US" w:eastAsia="zh-CN" w:bidi="ar"/>
        </w:rPr>
        <w:t>五、结转结余资金：</w:t>
      </w:r>
      <w:r>
        <w:rPr>
          <w:rFonts w:hint="eastAsia" w:ascii="宋体" w:hAnsi="宋体" w:eastAsia="宋体" w:cs="宋体"/>
          <w:i w:val="0"/>
          <w:iCs w:val="0"/>
          <w:caps w:val="0"/>
          <w:color w:val="000000"/>
          <w:spacing w:val="0"/>
          <w:kern w:val="0"/>
          <w:sz w:val="24"/>
          <w:szCs w:val="24"/>
          <w:lang w:val="en-US" w:eastAsia="zh-CN" w:bidi="ar"/>
        </w:rPr>
        <w:t>指以前年度尚未完成、结转到本年仍按原规定用途继续使用的资金，或项目已完成等产生的结余资金。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b/>
          <w:bCs/>
          <w:i w:val="0"/>
          <w:iCs w:val="0"/>
          <w:caps w:val="0"/>
          <w:color w:val="000000"/>
          <w:spacing w:val="0"/>
          <w:sz w:val="24"/>
          <w:szCs w:val="24"/>
        </w:rPr>
        <w:t>六、基本支出：</w:t>
      </w:r>
      <w:r>
        <w:rPr>
          <w:rFonts w:hint="eastAsia" w:ascii="宋体" w:hAnsi="宋体" w:eastAsia="宋体" w:cs="宋体"/>
          <w:i w:val="0"/>
          <w:iCs w:val="0"/>
          <w:caps w:val="0"/>
          <w:color w:val="000000"/>
          <w:spacing w:val="0"/>
          <w:sz w:val="24"/>
          <w:szCs w:val="24"/>
        </w:rPr>
        <w:t>指为保障机构正常运转、完成日常工作任务而发生的人员支出和公用支出。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b/>
          <w:bCs/>
          <w:i w:val="0"/>
          <w:iCs w:val="0"/>
          <w:caps w:val="0"/>
          <w:color w:val="000000"/>
          <w:spacing w:val="0"/>
          <w:sz w:val="24"/>
          <w:szCs w:val="24"/>
        </w:rPr>
        <w:t>七、项目支出：</w:t>
      </w:r>
      <w:r>
        <w:rPr>
          <w:rFonts w:hint="eastAsia" w:ascii="宋体" w:hAnsi="宋体" w:eastAsia="宋体" w:cs="宋体"/>
          <w:i w:val="0"/>
          <w:iCs w:val="0"/>
          <w:caps w:val="0"/>
          <w:color w:val="000000"/>
          <w:spacing w:val="0"/>
          <w:sz w:val="24"/>
          <w:szCs w:val="24"/>
        </w:rPr>
        <w:t>指在基本支出之外为完成特定行政任务或事业发展目标所发生的支出。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b/>
          <w:bCs/>
          <w:i w:val="0"/>
          <w:iCs w:val="0"/>
          <w:caps w:val="0"/>
          <w:color w:val="000000"/>
          <w:spacing w:val="0"/>
          <w:sz w:val="24"/>
          <w:szCs w:val="24"/>
        </w:rPr>
        <w:t>八、事业单位经营支出：</w:t>
      </w:r>
      <w:r>
        <w:rPr>
          <w:rFonts w:hint="eastAsia" w:ascii="宋体" w:hAnsi="宋体" w:eastAsia="宋体" w:cs="宋体"/>
          <w:i w:val="0"/>
          <w:iCs w:val="0"/>
          <w:caps w:val="0"/>
          <w:color w:val="000000"/>
          <w:spacing w:val="0"/>
          <w:sz w:val="24"/>
          <w:szCs w:val="24"/>
        </w:rPr>
        <w:t>指事业单位在专业业务活动及其辅助活动之外开展非独立核算经营活动发生的支出。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b/>
          <w:bCs/>
          <w:i w:val="0"/>
          <w:iCs w:val="0"/>
          <w:caps w:val="0"/>
          <w:color w:val="000000"/>
          <w:spacing w:val="0"/>
          <w:sz w:val="24"/>
          <w:szCs w:val="24"/>
        </w:rPr>
        <w:t>九、上缴上级支出：</w:t>
      </w:r>
      <w:r>
        <w:rPr>
          <w:rFonts w:hint="eastAsia" w:ascii="宋体" w:hAnsi="宋体" w:eastAsia="宋体" w:cs="宋体"/>
          <w:i w:val="0"/>
          <w:iCs w:val="0"/>
          <w:caps w:val="0"/>
          <w:color w:val="000000"/>
          <w:spacing w:val="0"/>
          <w:sz w:val="24"/>
          <w:szCs w:val="24"/>
        </w:rPr>
        <w:t>指下级单位上缴上级的支出。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b/>
          <w:bCs/>
          <w:i w:val="0"/>
          <w:iCs w:val="0"/>
          <w:caps w:val="0"/>
          <w:color w:val="000000"/>
          <w:spacing w:val="0"/>
          <w:sz w:val="24"/>
          <w:szCs w:val="24"/>
        </w:rPr>
        <w:t>十、对附属单位补助支出：</w:t>
      </w:r>
      <w:r>
        <w:rPr>
          <w:rFonts w:hint="eastAsia" w:ascii="宋体" w:hAnsi="宋体" w:eastAsia="宋体" w:cs="宋体"/>
          <w:i w:val="0"/>
          <w:iCs w:val="0"/>
          <w:caps w:val="0"/>
          <w:color w:val="000000"/>
          <w:spacing w:val="0"/>
          <w:sz w:val="24"/>
          <w:szCs w:val="24"/>
        </w:rPr>
        <w:t>指对下级单位补助发送的支出。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sz w:val="24"/>
          <w:szCs w:val="24"/>
        </w:rPr>
      </w:pPr>
      <w:r>
        <w:rPr>
          <w:rFonts w:hint="eastAsia" w:ascii="宋体" w:hAnsi="宋体" w:eastAsia="宋体" w:cs="宋体"/>
          <w:b/>
          <w:bCs/>
          <w:i w:val="0"/>
          <w:iCs w:val="0"/>
          <w:caps w:val="0"/>
          <w:color w:val="000000"/>
          <w:spacing w:val="0"/>
          <w:sz w:val="24"/>
          <w:szCs w:val="24"/>
        </w:rPr>
        <w:t>十一、“三公”经费：</w:t>
      </w:r>
      <w:r>
        <w:rPr>
          <w:rFonts w:hint="eastAsia" w:ascii="宋体" w:hAnsi="宋体" w:eastAsia="宋体" w:cs="宋体"/>
          <w:i w:val="0"/>
          <w:iCs w:val="0"/>
          <w:caps w:val="0"/>
          <w:color w:val="000000"/>
          <w:spacing w:val="0"/>
          <w:sz w:val="24"/>
          <w:szCs w:val="24"/>
        </w:rPr>
        <w:t>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含车辆购置税、牌照费)及燃料费、维修费、过桥过路费、保险费、安全奖励费用等支出；公务接待费反映单位按规定开支的各类公务接待（含外宾接待）支出。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3"/>
        <w:jc w:val="left"/>
        <w:rPr>
          <w:sz w:val="24"/>
          <w:szCs w:val="24"/>
        </w:rPr>
      </w:pPr>
      <w:r>
        <w:rPr>
          <w:rFonts w:hint="eastAsia" w:ascii="宋体" w:hAnsi="宋体" w:eastAsia="宋体" w:cs="宋体"/>
          <w:b/>
          <w:bCs/>
          <w:i w:val="0"/>
          <w:iCs w:val="0"/>
          <w:caps w:val="0"/>
          <w:color w:val="333333"/>
          <w:spacing w:val="0"/>
          <w:kern w:val="0"/>
          <w:sz w:val="24"/>
          <w:szCs w:val="24"/>
          <w:lang w:val="en-US" w:eastAsia="zh-CN" w:bidi="ar"/>
        </w:rPr>
        <w:t>十二、机关运行经费：</w:t>
      </w:r>
      <w:r>
        <w:rPr>
          <w:rFonts w:hint="eastAsia" w:ascii="宋体" w:hAnsi="宋体" w:eastAsia="宋体" w:cs="宋体"/>
          <w:i w:val="0"/>
          <w:iCs w:val="0"/>
          <w:caps w:val="0"/>
          <w:color w:val="333333"/>
          <w:spacing w:val="0"/>
          <w:kern w:val="0"/>
          <w:sz w:val="24"/>
          <w:szCs w:val="24"/>
          <w:lang w:val="en-US" w:eastAsia="zh-CN" w:bidi="ar"/>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hYjhkNGQ4YzJlYjk0YTY3ZTA2OTc0ZTk1MzIyMDgifQ=="/>
  </w:docVars>
  <w:rsids>
    <w:rsidRoot w:val="00000000"/>
    <w:rsid w:val="00555CF6"/>
    <w:rsid w:val="00B413AD"/>
    <w:rsid w:val="05C64451"/>
    <w:rsid w:val="0A0C1573"/>
    <w:rsid w:val="13B443D4"/>
    <w:rsid w:val="1FCF0C21"/>
    <w:rsid w:val="2C611198"/>
    <w:rsid w:val="35BA77E8"/>
    <w:rsid w:val="3982272F"/>
    <w:rsid w:val="39D20E0F"/>
    <w:rsid w:val="48581F6D"/>
    <w:rsid w:val="494616A5"/>
    <w:rsid w:val="4F035942"/>
    <w:rsid w:val="4F0E2E8E"/>
    <w:rsid w:val="5572469F"/>
    <w:rsid w:val="68D721D1"/>
    <w:rsid w:val="71CC75E7"/>
    <w:rsid w:val="7DE16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5965</Words>
  <Characters>7272</Characters>
  <Lines>0</Lines>
  <Paragraphs>0</Paragraphs>
  <TotalTime>55</TotalTime>
  <ScaleCrop>false</ScaleCrop>
  <LinksUpToDate>false</LinksUpToDate>
  <CharactersWithSpaces>7638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2024-05-20T13:44:00Z</dcterms:created>
  <dc:creator>Administrator</dc:creator>
  <cp:lastModifiedBy>臥龍先生</cp:lastModifiedBy>
  <cp:lastPrinted>2024-05-22T09:05:00Z</cp:lastPrinted>
  <dcterms:modified xsi:type="dcterms:W3CDTF">2024-06-04T07:36:27Z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22106AA25190415899D692105796648A_12</vt:lpwstr>
  </property>
</Properties>
</file>