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财政法治建设经费：当坑村法治文化长廊建设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财政法治建设经费：当坑村法治文化长廊建设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已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1)补助资金金额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1)法治公园新增法治宣传牌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处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2)资金补助涉及项目数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2)资金拨付合规率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3)资金使用合规率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1)资金使用重大违规违纪问题数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1)法治长廊新增法治宣传物料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1)对象满意率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