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2023年农业生产发展及基础设施建设资金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2023年农业生产发展及基础设施建设资金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2)平均年收益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该项目已通过审核并达到支付要求，因2024年县财政局预算资金不足未进行支出，该资金已于2025年一月完成支付。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对工程方面依旧保证保质保量完成，根据财政预算计划做拨付方的解释工作。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