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县级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2023年第三批市级财政衔接推进乡村振兴等资金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2023年第三批市级财政衔接推进乡村振兴等资金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95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10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9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1)补助资金金额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2)资金实际支出率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1)购置环卫三轮车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1)资金拨付合规率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11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11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2)资金使用合规率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1)资金拨付到位率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2)资金拨付及时率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1)资金使用重大违规违纪问题数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1)更换破旧垃圾桶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1)对象满意率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