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策武镇2023年度“进出平衡”整改资金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策武镇2023年度“进出平衡”整改资金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85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9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1)下达资金金额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143.3264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3)资金实际支出率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1)受益行政村数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1)资金发放合规率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1)资金发放及时率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2)资金拨付到位率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1)资金发放重大违规违纪问题数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该笔33万的整改资金为先行拨付的28%。根据汀政办[2023]69号文件要求需在整改完成验收入库后根据标准进行结算拨付，确认进出平衡整改完成面积的通知（汀自然资[2025]4号）于2025年1月10日才下发至各乡镇。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根据政策要求对资金进行拨付，且待拨付条件满足时及时按照规定进行拨付，保证资金及时足额发放到位。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