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2023年第二期枯死松树清理除治费用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2023年第二期枯死松树清理除治费用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1)补助资金金额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2)资金实际支出率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1)预计平均每枯死木清理费用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元/株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350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350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2)用于监管的费用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元/株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3)此笔资金下拨乡镇数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1)资金使用重大违规违纪问题数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1)清理枯死木数量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20000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1)对象满意率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