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2023年第二批道路交通安全隐患治理市级补助资金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2023年第二批道路交通安全隐患治理市级补助资金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1)补助资金金额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0.9823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0.9823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2)资金数支出率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1)进行四必上建设行政村数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2)建设的四必上工程数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1)资金发放合规性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2)验收通过率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1)资金使用重大违规违纪问题数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2)资金使用合规性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