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BF059E">
      <w:pPr>
        <w:pStyle w:val="4"/>
        <w:widowControl/>
        <w:spacing w:after="240"/>
        <w:jc w:val="center"/>
        <w:rPr>
          <w:rFonts w:ascii="Times New Roman" w:hAnsi="Times New Roman" w:eastAsia="Times New Roman" w:cs="Times New Roman"/>
          <w:kern w:val="0"/>
          <w:sz w:val="24"/>
        </w:rPr>
      </w:pPr>
      <w:bookmarkStart w:id="0" w:name="a000"/>
      <w:r>
        <w:rPr>
          <w:rFonts w:ascii="Calibri" w:hAnsi="Calibri" w:eastAsia="Calibri" w:cs="Calibri"/>
          <w:kern w:val="0"/>
          <w:sz w:val="84"/>
          <w:szCs w:val="84"/>
        </w:rPr>
        <w:t> </w:t>
      </w:r>
    </w:p>
    <w:p w14:paraId="6765ECD2">
      <w:pPr>
        <w:widowControl/>
        <w:pBdr>
          <w:top w:val="none" w:color="auto" w:sz="0" w:space="0"/>
          <w:left w:val="none" w:color="auto" w:sz="0" w:space="0"/>
          <w:bottom w:val="none" w:color="auto" w:sz="0" w:space="0"/>
          <w:right w:val="none" w:color="auto" w:sz="0" w:space="0"/>
        </w:pBdr>
        <w:spacing w:line="276" w:lineRule="auto"/>
        <w:jc w:val="center"/>
        <w:rPr>
          <w:rFonts w:hint="eastAsia" w:ascii="宋体" w:hAnsi="宋体" w:eastAsia="宋体" w:cs="宋体"/>
          <w:b/>
          <w:bCs/>
          <w:spacing w:val="-20"/>
          <w:sz w:val="84"/>
          <w:szCs w:val="84"/>
          <w:lang w:val="en-US" w:eastAsia="zh-CN"/>
        </w:rPr>
      </w:pPr>
      <w:r>
        <w:rPr>
          <w:rFonts w:hint="eastAsia" w:ascii="宋体" w:hAnsi="宋体" w:eastAsia="宋体" w:cs="宋体"/>
          <w:b/>
          <w:bCs/>
          <w:spacing w:val="-20"/>
          <w:sz w:val="84"/>
          <w:szCs w:val="84"/>
          <w:lang w:val="en-US" w:eastAsia="zh-CN"/>
        </w:rPr>
        <w:t> </w:t>
      </w:r>
    </w:p>
    <w:p w14:paraId="2030E519">
      <w:pPr>
        <w:widowControl/>
        <w:pBdr>
          <w:top w:val="none" w:color="auto" w:sz="0" w:space="0"/>
          <w:left w:val="none" w:color="auto" w:sz="0" w:space="0"/>
          <w:bottom w:val="none" w:color="auto" w:sz="0" w:space="0"/>
          <w:right w:val="none" w:color="auto" w:sz="0" w:space="0"/>
        </w:pBdr>
        <w:spacing w:line="276" w:lineRule="auto"/>
        <w:jc w:val="center"/>
        <w:rPr>
          <w:rFonts w:hint="eastAsia" w:ascii="宋体" w:hAnsi="宋体" w:eastAsia="宋体" w:cs="宋体"/>
          <w:b/>
          <w:bCs/>
          <w:spacing w:val="-20"/>
          <w:sz w:val="84"/>
          <w:szCs w:val="84"/>
          <w:lang w:val="en-US" w:eastAsia="zh-CN"/>
        </w:rPr>
      </w:pPr>
      <w:r>
        <w:rPr>
          <w:rFonts w:hint="eastAsia" w:ascii="宋体" w:hAnsi="宋体" w:eastAsia="宋体" w:cs="宋体"/>
          <w:b/>
          <w:bCs/>
          <w:spacing w:val="-20"/>
          <w:sz w:val="84"/>
          <w:szCs w:val="84"/>
          <w:lang w:val="en-US" w:eastAsia="zh-CN"/>
        </w:rPr>
        <w:t>2023年度长汀县馆前镇</w:t>
      </w:r>
    </w:p>
    <w:p w14:paraId="6B716212">
      <w:pPr>
        <w:widowControl/>
        <w:pBdr>
          <w:top w:val="none" w:color="auto" w:sz="0" w:space="0"/>
          <w:left w:val="none" w:color="auto" w:sz="0" w:space="0"/>
          <w:bottom w:val="none" w:color="auto" w:sz="0" w:space="0"/>
          <w:right w:val="none" w:color="auto" w:sz="0" w:space="0"/>
        </w:pBdr>
        <w:spacing w:line="276" w:lineRule="auto"/>
        <w:jc w:val="center"/>
        <w:rPr>
          <w:rFonts w:hint="eastAsia" w:ascii="宋体" w:hAnsi="宋体" w:eastAsia="宋体" w:cs="宋体"/>
          <w:b/>
          <w:bCs/>
          <w:spacing w:val="-20"/>
          <w:sz w:val="84"/>
          <w:szCs w:val="84"/>
          <w:lang w:val="en-US" w:eastAsia="zh-CN"/>
        </w:rPr>
      </w:pPr>
      <w:r>
        <w:rPr>
          <w:rFonts w:hint="eastAsia" w:ascii="宋体" w:hAnsi="宋体" w:eastAsia="宋体" w:cs="宋体"/>
          <w:b/>
          <w:bCs/>
          <w:spacing w:val="-20"/>
          <w:sz w:val="84"/>
          <w:szCs w:val="84"/>
          <w:lang w:val="en-US" w:eastAsia="zh-CN"/>
        </w:rPr>
        <w:t>人民政府决算</w:t>
      </w:r>
    </w:p>
    <w:p w14:paraId="514036A5">
      <w:pPr>
        <w:pStyle w:val="4"/>
        <w:widowControl/>
        <w:spacing w:before="240" w:after="240"/>
        <w:jc w:val="left"/>
        <w:rPr>
          <w:rFonts w:ascii="Times New Roman" w:hAnsi="Times New Roman" w:eastAsia="Times New Roman" w:cs="Times New Roman"/>
          <w:kern w:val="0"/>
          <w:sz w:val="24"/>
        </w:rPr>
      </w:pPr>
      <w:r>
        <w:rPr>
          <w:rFonts w:ascii="Times New Roman" w:hAnsi="Times New Roman" w:eastAsia="Times New Roman" w:cs="Times New Roman"/>
          <w:kern w:val="0"/>
          <w:sz w:val="24"/>
        </w:rPr>
        <w:br w:type="page"/>
      </w:r>
    </w:p>
    <w:p w14:paraId="2BAEFC46">
      <w:pPr>
        <w:pStyle w:val="4"/>
        <w:widowControl/>
        <w:spacing w:before="240" w:after="240"/>
        <w:jc w:val="center"/>
        <w:rPr>
          <w:rFonts w:ascii="Times New Roman" w:hAnsi="Times New Roman" w:eastAsia="Times New Roman" w:cs="Times New Roman"/>
          <w:kern w:val="0"/>
          <w:sz w:val="24"/>
        </w:rPr>
      </w:pPr>
      <w:r>
        <w:rPr>
          <w:rFonts w:ascii="仿宋" w:hAnsi="仿宋" w:eastAsia="仿宋" w:cs="仿宋"/>
          <w:b/>
          <w:bCs/>
          <w:kern w:val="0"/>
          <w:sz w:val="32"/>
          <w:szCs w:val="32"/>
        </w:rPr>
        <w:t>目 录</w:t>
      </w:r>
    </w:p>
    <w:p w14:paraId="1A80D318">
      <w:pPr>
        <w:pStyle w:val="4"/>
        <w:widowControl/>
        <w:spacing w:before="240" w:after="240"/>
        <w:jc w:val="left"/>
        <w:rPr>
          <w:rFonts w:hint="default" w:ascii="Times New Roman" w:hAnsi="Times New Roman" w:eastAsia="仿宋" w:cs="Times New Roman"/>
          <w:kern w:val="0"/>
          <w:sz w:val="24"/>
          <w:lang w:val="en-US" w:eastAsia="zh-CN"/>
        </w:rPr>
      </w:pPr>
      <w:r>
        <w:rPr>
          <w:rFonts w:ascii="仿宋" w:hAnsi="仿宋" w:eastAsia="仿宋" w:cs="仿宋"/>
          <w:b/>
          <w:bCs/>
          <w:kern w:val="0"/>
          <w:sz w:val="32"/>
          <w:szCs w:val="32"/>
        </w:rPr>
        <w:t>第一部分 单位概况</w:t>
      </w:r>
      <w:r>
        <w:rPr>
          <w:rFonts w:ascii="仿宋" w:hAnsi="仿宋" w:eastAsia="仿宋" w:cs="仿宋"/>
          <w:kern w:val="0"/>
          <w:sz w:val="32"/>
          <w:szCs w:val="32"/>
        </w:rPr>
        <w:t> ..............................</w:t>
      </w:r>
      <w:r>
        <w:rPr>
          <w:rFonts w:hint="eastAsia" w:ascii="仿宋" w:hAnsi="仿宋" w:eastAsia="仿宋" w:cs="仿宋"/>
          <w:kern w:val="0"/>
          <w:sz w:val="32"/>
          <w:szCs w:val="32"/>
          <w:lang w:val="en-US" w:eastAsia="zh-CN"/>
        </w:rPr>
        <w:t>...3</w:t>
      </w:r>
    </w:p>
    <w:p w14:paraId="0EE1D868">
      <w:pPr>
        <w:pStyle w:val="4"/>
        <w:widowControl/>
        <w:spacing w:before="240" w:after="240"/>
        <w:jc w:val="left"/>
        <w:rPr>
          <w:rFonts w:hint="eastAsia" w:ascii="Times New Roman" w:hAnsi="Times New Roman" w:eastAsia="仿宋" w:cs="Times New Roman"/>
          <w:kern w:val="0"/>
          <w:sz w:val="24"/>
          <w:lang w:eastAsia="zh-CN"/>
        </w:rPr>
      </w:pPr>
      <w:r>
        <w:rPr>
          <w:rFonts w:ascii="仿宋" w:hAnsi="仿宋" w:eastAsia="仿宋" w:cs="仿宋"/>
          <w:kern w:val="0"/>
          <w:sz w:val="32"/>
          <w:szCs w:val="32"/>
        </w:rPr>
        <w:t>一、单位主要职责 .................</w:t>
      </w:r>
      <w:r>
        <w:rPr>
          <w:rFonts w:hint="eastAsia" w:ascii="仿宋" w:hAnsi="仿宋" w:eastAsia="仿宋" w:cs="仿宋"/>
          <w:kern w:val="0"/>
          <w:sz w:val="32"/>
          <w:szCs w:val="32"/>
          <w:lang w:val="en-US" w:eastAsia="zh-CN"/>
        </w:rPr>
        <w:t>.</w:t>
      </w:r>
      <w:r>
        <w:rPr>
          <w:rFonts w:ascii="仿宋" w:hAnsi="仿宋" w:eastAsia="仿宋" w:cs="仿宋"/>
          <w:kern w:val="0"/>
          <w:sz w:val="32"/>
          <w:szCs w:val="32"/>
        </w:rPr>
        <w:t>................</w:t>
      </w:r>
      <w:r>
        <w:rPr>
          <w:rFonts w:hint="eastAsia" w:ascii="仿宋" w:hAnsi="仿宋" w:eastAsia="仿宋" w:cs="仿宋"/>
          <w:kern w:val="0"/>
          <w:sz w:val="32"/>
          <w:szCs w:val="32"/>
          <w:lang w:val="en-US" w:eastAsia="zh-CN"/>
        </w:rPr>
        <w:t>3</w:t>
      </w:r>
    </w:p>
    <w:p w14:paraId="54B1AE87">
      <w:pPr>
        <w:pStyle w:val="4"/>
        <w:widowControl/>
        <w:spacing w:before="240" w:after="240"/>
        <w:jc w:val="left"/>
        <w:rPr>
          <w:rFonts w:hint="default" w:ascii="Times New Roman" w:hAnsi="Times New Roman" w:eastAsia="仿宋" w:cs="Times New Roman"/>
          <w:kern w:val="0"/>
          <w:sz w:val="24"/>
          <w:lang w:val="en-US" w:eastAsia="zh-CN"/>
        </w:rPr>
      </w:pPr>
      <w:r>
        <w:rPr>
          <w:rFonts w:ascii="仿宋" w:hAnsi="仿宋" w:eastAsia="仿宋" w:cs="仿宋"/>
          <w:kern w:val="0"/>
          <w:sz w:val="32"/>
          <w:szCs w:val="32"/>
        </w:rPr>
        <w:t>二、单位基本情况 ..........................</w:t>
      </w:r>
      <w:r>
        <w:rPr>
          <w:rFonts w:hint="eastAsia" w:ascii="仿宋" w:hAnsi="仿宋" w:eastAsia="仿宋" w:cs="仿宋"/>
          <w:kern w:val="0"/>
          <w:sz w:val="32"/>
          <w:szCs w:val="32"/>
          <w:lang w:val="en-US" w:eastAsia="zh-CN"/>
        </w:rPr>
        <w:t>........5</w:t>
      </w:r>
    </w:p>
    <w:p w14:paraId="7FD62B21">
      <w:pPr>
        <w:pStyle w:val="4"/>
        <w:widowControl/>
        <w:spacing w:before="240" w:after="240"/>
        <w:jc w:val="left"/>
        <w:rPr>
          <w:rFonts w:hint="eastAsia" w:ascii="Times New Roman" w:hAnsi="Times New Roman" w:eastAsia="仿宋" w:cs="Times New Roman"/>
          <w:kern w:val="0"/>
          <w:sz w:val="24"/>
          <w:lang w:val="en-US" w:eastAsia="zh-CN"/>
        </w:rPr>
      </w:pPr>
      <w:r>
        <w:rPr>
          <w:rFonts w:ascii="仿宋" w:hAnsi="仿宋" w:eastAsia="仿宋" w:cs="仿宋"/>
          <w:kern w:val="0"/>
          <w:sz w:val="32"/>
          <w:szCs w:val="32"/>
        </w:rPr>
        <w:t>三、单位主要工作总结...............................</w:t>
      </w:r>
      <w:r>
        <w:rPr>
          <w:rFonts w:hint="eastAsia" w:ascii="仿宋" w:hAnsi="仿宋" w:eastAsia="仿宋" w:cs="仿宋"/>
          <w:kern w:val="0"/>
          <w:sz w:val="32"/>
          <w:szCs w:val="32"/>
          <w:lang w:val="en-US" w:eastAsia="zh-CN"/>
        </w:rPr>
        <w:t>6</w:t>
      </w:r>
    </w:p>
    <w:p w14:paraId="7189B3AF">
      <w:pPr>
        <w:pStyle w:val="4"/>
        <w:widowControl/>
        <w:spacing w:before="240" w:after="240"/>
        <w:jc w:val="left"/>
        <w:rPr>
          <w:rFonts w:hint="default" w:ascii="Times New Roman" w:hAnsi="Times New Roman" w:eastAsia="仿宋" w:cs="Times New Roman"/>
          <w:kern w:val="0"/>
          <w:sz w:val="24"/>
          <w:lang w:val="en-US" w:eastAsia="zh-CN"/>
        </w:rPr>
      </w:pPr>
      <w:r>
        <w:rPr>
          <w:rFonts w:ascii="仿宋" w:hAnsi="仿宋" w:eastAsia="仿宋" w:cs="仿宋"/>
          <w:b/>
          <w:bCs/>
          <w:kern w:val="0"/>
          <w:sz w:val="32"/>
          <w:szCs w:val="32"/>
        </w:rPr>
        <w:t xml:space="preserve">第二部分 </w:t>
      </w:r>
      <w:r>
        <w:rPr>
          <w:rFonts w:ascii="仿宋" w:hAnsi="仿宋" w:eastAsia="仿宋" w:cs="仿宋"/>
          <w:kern w:val="0"/>
          <w:sz w:val="32"/>
          <w:szCs w:val="32"/>
        </w:rPr>
        <w:t>2023</w:t>
      </w:r>
      <w:r>
        <w:rPr>
          <w:rFonts w:ascii="仿宋" w:hAnsi="仿宋" w:eastAsia="仿宋" w:cs="仿宋"/>
          <w:b/>
          <w:bCs/>
          <w:kern w:val="0"/>
          <w:sz w:val="32"/>
          <w:szCs w:val="32"/>
        </w:rPr>
        <w:t>年度决算表</w:t>
      </w:r>
      <w:r>
        <w:rPr>
          <w:rFonts w:ascii="仿宋" w:hAnsi="仿宋" w:eastAsia="仿宋" w:cs="仿宋"/>
          <w:kern w:val="0"/>
          <w:sz w:val="32"/>
          <w:szCs w:val="32"/>
        </w:rPr>
        <w:t> .......................</w:t>
      </w:r>
      <w:r>
        <w:rPr>
          <w:rFonts w:hint="eastAsia" w:ascii="仿宋" w:hAnsi="仿宋" w:eastAsia="仿宋" w:cs="仿宋"/>
          <w:kern w:val="0"/>
          <w:sz w:val="32"/>
          <w:szCs w:val="32"/>
          <w:lang w:val="en-US" w:eastAsia="zh-CN"/>
        </w:rPr>
        <w:t>...11</w:t>
      </w:r>
    </w:p>
    <w:p w14:paraId="3AC9F450">
      <w:pPr>
        <w:pStyle w:val="4"/>
        <w:widowControl/>
        <w:spacing w:before="240" w:after="240"/>
        <w:jc w:val="left"/>
        <w:rPr>
          <w:rFonts w:hint="default" w:ascii="Times New Roman" w:hAnsi="Times New Roman" w:eastAsia="仿宋" w:cs="Times New Roman"/>
          <w:kern w:val="0"/>
          <w:sz w:val="24"/>
          <w:lang w:val="en-US" w:eastAsia="zh-CN"/>
        </w:rPr>
      </w:pPr>
      <w:r>
        <w:rPr>
          <w:rFonts w:ascii="仿宋" w:hAnsi="仿宋" w:eastAsia="仿宋" w:cs="仿宋"/>
          <w:kern w:val="0"/>
          <w:sz w:val="32"/>
          <w:szCs w:val="32"/>
        </w:rPr>
        <w:t>一、收入支出决算总表 .............................</w:t>
      </w:r>
      <w:r>
        <w:rPr>
          <w:rFonts w:hint="eastAsia" w:ascii="仿宋" w:hAnsi="仿宋" w:eastAsia="仿宋" w:cs="仿宋"/>
          <w:kern w:val="0"/>
          <w:sz w:val="32"/>
          <w:szCs w:val="32"/>
          <w:lang w:val="en-US" w:eastAsia="zh-CN"/>
        </w:rPr>
        <w:t>12</w:t>
      </w:r>
    </w:p>
    <w:p w14:paraId="58238979">
      <w:pPr>
        <w:pStyle w:val="4"/>
        <w:widowControl/>
        <w:spacing w:before="240" w:after="240"/>
        <w:jc w:val="left"/>
        <w:rPr>
          <w:rFonts w:hint="default" w:ascii="Times New Roman" w:hAnsi="Times New Roman" w:eastAsia="仿宋" w:cs="Times New Roman"/>
          <w:kern w:val="0"/>
          <w:sz w:val="24"/>
          <w:lang w:val="en-US" w:eastAsia="zh-CN"/>
        </w:rPr>
      </w:pPr>
      <w:r>
        <w:rPr>
          <w:rFonts w:ascii="仿宋" w:hAnsi="仿宋" w:eastAsia="仿宋" w:cs="仿宋"/>
          <w:kern w:val="0"/>
          <w:sz w:val="32"/>
          <w:szCs w:val="32"/>
        </w:rPr>
        <w:t>二、收入决算表 ............................ ......</w:t>
      </w:r>
      <w:r>
        <w:rPr>
          <w:rFonts w:hint="eastAsia" w:ascii="仿宋" w:hAnsi="仿宋" w:eastAsia="仿宋" w:cs="仿宋"/>
          <w:kern w:val="0"/>
          <w:sz w:val="32"/>
          <w:szCs w:val="32"/>
          <w:lang w:val="en-US" w:eastAsia="zh-CN"/>
        </w:rPr>
        <w:t>14</w:t>
      </w:r>
    </w:p>
    <w:p w14:paraId="14A33674">
      <w:pPr>
        <w:pStyle w:val="4"/>
        <w:widowControl/>
        <w:spacing w:before="240" w:after="240"/>
        <w:jc w:val="left"/>
        <w:rPr>
          <w:rFonts w:ascii="Times New Roman" w:hAnsi="Times New Roman" w:eastAsia="Times New Roman" w:cs="Times New Roman"/>
          <w:kern w:val="0"/>
          <w:sz w:val="24"/>
        </w:rPr>
      </w:pPr>
      <w:r>
        <w:rPr>
          <w:rFonts w:ascii="仿宋" w:hAnsi="仿宋" w:eastAsia="仿宋" w:cs="仿宋"/>
          <w:kern w:val="0"/>
          <w:sz w:val="32"/>
          <w:szCs w:val="32"/>
        </w:rPr>
        <w:t>三、支出决算表 .................................</w:t>
      </w:r>
      <w:r>
        <w:rPr>
          <w:rFonts w:hint="eastAsia" w:ascii="仿宋" w:hAnsi="仿宋" w:eastAsia="仿宋" w:cs="仿宋"/>
          <w:kern w:val="0"/>
          <w:sz w:val="32"/>
          <w:szCs w:val="32"/>
          <w:lang w:val="en-US" w:eastAsia="zh-CN"/>
        </w:rPr>
        <w:t>.</w:t>
      </w:r>
      <w:r>
        <w:rPr>
          <w:rFonts w:ascii="仿宋" w:hAnsi="仿宋" w:eastAsia="仿宋" w:cs="仿宋"/>
          <w:kern w:val="0"/>
          <w:sz w:val="32"/>
          <w:szCs w:val="32"/>
        </w:rPr>
        <w:t>.</w:t>
      </w:r>
      <w:r>
        <w:rPr>
          <w:rFonts w:hint="eastAsia" w:ascii="仿宋" w:hAnsi="仿宋" w:eastAsia="仿宋" w:cs="仿宋"/>
          <w:kern w:val="0"/>
          <w:sz w:val="32"/>
          <w:szCs w:val="32"/>
          <w:lang w:val="en-US" w:eastAsia="zh-CN"/>
        </w:rPr>
        <w:t>17</w:t>
      </w:r>
    </w:p>
    <w:p w14:paraId="41026F70">
      <w:pPr>
        <w:pStyle w:val="4"/>
        <w:widowControl/>
        <w:spacing w:before="240" w:after="240"/>
        <w:jc w:val="left"/>
        <w:rPr>
          <w:rFonts w:hint="default" w:ascii="Times New Roman" w:hAnsi="Times New Roman" w:eastAsia="仿宋" w:cs="Times New Roman"/>
          <w:kern w:val="0"/>
          <w:sz w:val="24"/>
          <w:lang w:val="en-US" w:eastAsia="zh-CN"/>
        </w:rPr>
      </w:pPr>
      <w:r>
        <w:rPr>
          <w:rFonts w:ascii="仿宋" w:hAnsi="仿宋" w:eastAsia="仿宋" w:cs="仿宋"/>
          <w:kern w:val="0"/>
          <w:sz w:val="32"/>
          <w:szCs w:val="32"/>
        </w:rPr>
        <w:t>四、财政拨款收入支出决算总表 .....................</w:t>
      </w:r>
      <w:r>
        <w:rPr>
          <w:rFonts w:hint="eastAsia" w:ascii="仿宋" w:hAnsi="仿宋" w:eastAsia="仿宋" w:cs="仿宋"/>
          <w:kern w:val="0"/>
          <w:sz w:val="32"/>
          <w:szCs w:val="32"/>
          <w:lang w:val="en-US" w:eastAsia="zh-CN"/>
        </w:rPr>
        <w:t>20</w:t>
      </w:r>
    </w:p>
    <w:p w14:paraId="0C9110BE">
      <w:pPr>
        <w:pStyle w:val="4"/>
        <w:keepNext w:val="0"/>
        <w:keepLines w:val="0"/>
        <w:pageBreakBefore w:val="0"/>
        <w:widowControl/>
        <w:kinsoku/>
        <w:wordWrap/>
        <w:overflowPunct/>
        <w:topLinePunct w:val="0"/>
        <w:autoSpaceDE/>
        <w:autoSpaceDN/>
        <w:bidi w:val="0"/>
        <w:adjustRightInd/>
        <w:snapToGrid/>
        <w:spacing w:before="240" w:after="240"/>
        <w:jc w:val="left"/>
        <w:textAlignment w:val="auto"/>
        <w:rPr>
          <w:rFonts w:hint="default" w:ascii="Times New Roman" w:hAnsi="Times New Roman" w:eastAsia="仿宋" w:cs="Times New Roman"/>
          <w:kern w:val="0"/>
          <w:sz w:val="24"/>
          <w:lang w:val="en-US" w:eastAsia="zh-CN"/>
        </w:rPr>
      </w:pPr>
      <w:r>
        <w:rPr>
          <w:rFonts w:ascii="仿宋" w:hAnsi="仿宋" w:eastAsia="仿宋" w:cs="仿宋"/>
          <w:kern w:val="0"/>
          <w:sz w:val="32"/>
          <w:szCs w:val="32"/>
        </w:rPr>
        <w:t>五、一般公共预算财政拨款支出决算表 ...............</w:t>
      </w:r>
      <w:r>
        <w:rPr>
          <w:rFonts w:hint="eastAsia" w:ascii="仿宋" w:hAnsi="仿宋" w:eastAsia="仿宋" w:cs="仿宋"/>
          <w:kern w:val="0"/>
          <w:sz w:val="32"/>
          <w:szCs w:val="32"/>
          <w:lang w:val="en-US" w:eastAsia="zh-CN"/>
        </w:rPr>
        <w:t>24</w:t>
      </w:r>
    </w:p>
    <w:p w14:paraId="2CE8CCED">
      <w:pPr>
        <w:pStyle w:val="4"/>
        <w:keepNext w:val="0"/>
        <w:keepLines w:val="0"/>
        <w:pageBreakBefore w:val="0"/>
        <w:widowControl/>
        <w:kinsoku/>
        <w:wordWrap/>
        <w:overflowPunct/>
        <w:topLinePunct w:val="0"/>
        <w:autoSpaceDE/>
        <w:autoSpaceDN/>
        <w:bidi w:val="0"/>
        <w:adjustRightInd/>
        <w:snapToGrid/>
        <w:spacing w:before="240" w:after="240"/>
        <w:jc w:val="left"/>
        <w:textAlignment w:val="auto"/>
        <w:rPr>
          <w:rFonts w:hint="eastAsia" w:ascii="仿宋" w:hAnsi="仿宋" w:eastAsia="仿宋" w:cs="仿宋"/>
          <w:kern w:val="0"/>
          <w:sz w:val="32"/>
          <w:szCs w:val="32"/>
          <w:lang w:val="en-US" w:eastAsia="zh-CN"/>
        </w:rPr>
      </w:pPr>
      <w:r>
        <w:rPr>
          <w:rFonts w:ascii="仿宋" w:hAnsi="仿宋" w:eastAsia="仿宋" w:cs="仿宋"/>
          <w:kern w:val="0"/>
          <w:sz w:val="32"/>
          <w:szCs w:val="32"/>
        </w:rPr>
        <w:t>六、一般公共预算财政拨款基本支出决表............</w:t>
      </w:r>
      <w:r>
        <w:rPr>
          <w:rFonts w:hint="eastAsia" w:ascii="仿宋" w:hAnsi="仿宋" w:eastAsia="仿宋" w:cs="仿宋"/>
          <w:kern w:val="0"/>
          <w:sz w:val="32"/>
          <w:szCs w:val="32"/>
          <w:lang w:val="en-US" w:eastAsia="zh-CN"/>
        </w:rPr>
        <w:t>.</w:t>
      </w:r>
      <w:r>
        <w:rPr>
          <w:rFonts w:ascii="仿宋" w:hAnsi="仿宋" w:eastAsia="仿宋" w:cs="仿宋"/>
          <w:kern w:val="0"/>
          <w:sz w:val="32"/>
          <w:szCs w:val="32"/>
        </w:rPr>
        <w:t>.</w:t>
      </w:r>
      <w:r>
        <w:rPr>
          <w:rFonts w:hint="eastAsia" w:ascii="仿宋" w:hAnsi="仿宋" w:eastAsia="仿宋" w:cs="仿宋"/>
          <w:kern w:val="0"/>
          <w:sz w:val="32"/>
          <w:szCs w:val="32"/>
          <w:lang w:val="en-US" w:eastAsia="zh-CN"/>
        </w:rPr>
        <w:t>27</w:t>
      </w:r>
    </w:p>
    <w:p w14:paraId="640A4118">
      <w:pPr>
        <w:pStyle w:val="4"/>
        <w:keepNext w:val="0"/>
        <w:keepLines w:val="0"/>
        <w:pageBreakBefore w:val="0"/>
        <w:widowControl/>
        <w:kinsoku/>
        <w:wordWrap/>
        <w:overflowPunct/>
        <w:topLinePunct w:val="0"/>
        <w:autoSpaceDE/>
        <w:autoSpaceDN/>
        <w:bidi w:val="0"/>
        <w:adjustRightInd/>
        <w:snapToGrid/>
        <w:spacing w:before="240" w:after="240"/>
        <w:jc w:val="left"/>
        <w:textAlignment w:val="auto"/>
        <w:rPr>
          <w:rFonts w:hint="default" w:ascii="仿宋" w:hAnsi="仿宋" w:eastAsia="仿宋" w:cs="仿宋"/>
          <w:kern w:val="0"/>
          <w:sz w:val="32"/>
          <w:szCs w:val="32"/>
          <w:lang w:val="en-US" w:eastAsia="zh-CN"/>
        </w:rPr>
      </w:pPr>
      <w:r>
        <w:rPr>
          <w:rFonts w:ascii="仿宋" w:hAnsi="仿宋" w:eastAsia="仿宋" w:cs="仿宋"/>
          <w:kern w:val="0"/>
          <w:sz w:val="32"/>
          <w:szCs w:val="32"/>
        </w:rPr>
        <w:t>七、一般公共预算财政拨款“三公”经费支出决算表....</w:t>
      </w:r>
      <w:r>
        <w:rPr>
          <w:rFonts w:hint="eastAsia" w:ascii="仿宋" w:hAnsi="仿宋" w:eastAsia="仿宋" w:cs="仿宋"/>
          <w:kern w:val="0"/>
          <w:sz w:val="32"/>
          <w:szCs w:val="32"/>
          <w:lang w:val="en-US" w:eastAsia="zh-CN"/>
        </w:rPr>
        <w:t>31</w:t>
      </w:r>
    </w:p>
    <w:p w14:paraId="43CF01E9">
      <w:pPr>
        <w:pStyle w:val="4"/>
        <w:keepNext w:val="0"/>
        <w:keepLines w:val="0"/>
        <w:pageBreakBefore w:val="0"/>
        <w:widowControl/>
        <w:kinsoku/>
        <w:wordWrap/>
        <w:overflowPunct/>
        <w:topLinePunct w:val="0"/>
        <w:autoSpaceDE/>
        <w:autoSpaceDN/>
        <w:bidi w:val="0"/>
        <w:adjustRightInd/>
        <w:snapToGrid/>
        <w:spacing w:before="240" w:after="240"/>
        <w:jc w:val="left"/>
        <w:textAlignment w:val="auto"/>
        <w:rPr>
          <w:rFonts w:hint="default" w:ascii="仿宋" w:hAnsi="仿宋" w:eastAsia="仿宋" w:cs="仿宋"/>
          <w:kern w:val="0"/>
          <w:sz w:val="32"/>
          <w:szCs w:val="32"/>
          <w:lang w:val="en-US" w:eastAsia="zh-CN"/>
        </w:rPr>
      </w:pPr>
      <w:r>
        <w:rPr>
          <w:rFonts w:ascii="仿宋" w:hAnsi="仿宋" w:eastAsia="仿宋" w:cs="仿宋"/>
          <w:kern w:val="0"/>
          <w:sz w:val="32"/>
          <w:szCs w:val="32"/>
        </w:rPr>
        <w:t>八、政府性基金预算财政拨款收入支出决算表 .........</w:t>
      </w:r>
      <w:r>
        <w:rPr>
          <w:rFonts w:hint="eastAsia" w:ascii="仿宋" w:hAnsi="仿宋" w:eastAsia="仿宋" w:cs="仿宋"/>
          <w:kern w:val="0"/>
          <w:sz w:val="32"/>
          <w:szCs w:val="32"/>
          <w:lang w:val="en-US" w:eastAsia="zh-CN"/>
        </w:rPr>
        <w:t>32</w:t>
      </w:r>
    </w:p>
    <w:p w14:paraId="45D2FFAD">
      <w:pPr>
        <w:pStyle w:val="4"/>
        <w:widowControl/>
        <w:spacing w:before="240" w:after="240"/>
        <w:jc w:val="left"/>
        <w:rPr>
          <w:rFonts w:hint="default" w:ascii="仿宋" w:hAnsi="仿宋" w:eastAsia="仿宋" w:cs="仿宋"/>
          <w:kern w:val="0"/>
          <w:sz w:val="32"/>
          <w:szCs w:val="32"/>
          <w:lang w:val="en-US" w:eastAsia="zh-CN"/>
        </w:rPr>
      </w:pPr>
      <w:r>
        <w:rPr>
          <w:rFonts w:ascii="仿宋" w:hAnsi="仿宋" w:eastAsia="仿宋" w:cs="仿宋"/>
          <w:kern w:val="0"/>
          <w:sz w:val="32"/>
          <w:szCs w:val="32"/>
        </w:rPr>
        <w:t>九、国有资本经营预算财政拨款支出决算表............</w:t>
      </w:r>
      <w:r>
        <w:rPr>
          <w:rFonts w:hint="eastAsia" w:ascii="仿宋" w:hAnsi="仿宋" w:eastAsia="仿宋" w:cs="仿宋"/>
          <w:kern w:val="0"/>
          <w:sz w:val="32"/>
          <w:szCs w:val="32"/>
          <w:lang w:val="en-US" w:eastAsia="zh-CN"/>
        </w:rPr>
        <w:t>33</w:t>
      </w:r>
    </w:p>
    <w:p w14:paraId="214990E1">
      <w:pPr>
        <w:pStyle w:val="4"/>
        <w:widowControl/>
        <w:spacing w:before="240" w:after="240"/>
        <w:jc w:val="left"/>
        <w:rPr>
          <w:rFonts w:hint="default" w:ascii="Times New Roman" w:hAnsi="Times New Roman" w:eastAsia="仿宋" w:cs="Times New Roman"/>
          <w:kern w:val="0"/>
          <w:sz w:val="24"/>
          <w:lang w:val="en-US" w:eastAsia="zh-CN"/>
        </w:rPr>
      </w:pPr>
      <w:r>
        <w:rPr>
          <w:rFonts w:ascii="仿宋" w:hAnsi="仿宋" w:eastAsia="仿宋" w:cs="仿宋"/>
          <w:b/>
          <w:bCs/>
          <w:kern w:val="0"/>
          <w:sz w:val="32"/>
          <w:szCs w:val="32"/>
        </w:rPr>
        <w:t xml:space="preserve">第三部分 </w:t>
      </w:r>
      <w:r>
        <w:rPr>
          <w:rFonts w:ascii="仿宋" w:hAnsi="仿宋" w:eastAsia="仿宋" w:cs="仿宋"/>
          <w:kern w:val="0"/>
          <w:sz w:val="32"/>
          <w:szCs w:val="32"/>
        </w:rPr>
        <w:t>2023</w:t>
      </w:r>
      <w:r>
        <w:rPr>
          <w:rFonts w:ascii="仿宋" w:hAnsi="仿宋" w:eastAsia="仿宋" w:cs="仿宋"/>
          <w:b/>
          <w:bCs/>
          <w:kern w:val="0"/>
          <w:sz w:val="32"/>
          <w:szCs w:val="32"/>
        </w:rPr>
        <w:t>年度决算情况说明</w:t>
      </w:r>
      <w:r>
        <w:rPr>
          <w:rFonts w:ascii="仿宋" w:hAnsi="仿宋" w:eastAsia="仿宋" w:cs="仿宋"/>
          <w:kern w:val="0"/>
          <w:sz w:val="32"/>
          <w:szCs w:val="32"/>
        </w:rPr>
        <w:t> .................</w:t>
      </w:r>
      <w:r>
        <w:rPr>
          <w:rFonts w:hint="eastAsia" w:ascii="仿宋" w:hAnsi="仿宋" w:eastAsia="仿宋" w:cs="仿宋"/>
          <w:kern w:val="0"/>
          <w:sz w:val="32"/>
          <w:szCs w:val="32"/>
          <w:lang w:val="en-US" w:eastAsia="zh-CN"/>
        </w:rPr>
        <w:t>...35</w:t>
      </w:r>
    </w:p>
    <w:p w14:paraId="017089FE">
      <w:pPr>
        <w:pStyle w:val="4"/>
        <w:widowControl/>
        <w:spacing w:before="240" w:after="240"/>
        <w:jc w:val="left"/>
        <w:rPr>
          <w:rFonts w:hint="eastAsia" w:ascii="仿宋" w:hAnsi="仿宋" w:eastAsia="仿宋" w:cs="仿宋"/>
          <w:kern w:val="0"/>
          <w:sz w:val="32"/>
          <w:szCs w:val="32"/>
          <w:lang w:val="en-US" w:eastAsia="zh-CN"/>
        </w:rPr>
      </w:pPr>
      <w:r>
        <w:rPr>
          <w:rFonts w:ascii="仿宋" w:hAnsi="仿宋" w:eastAsia="仿宋" w:cs="仿宋"/>
          <w:kern w:val="0"/>
          <w:sz w:val="32"/>
          <w:szCs w:val="32"/>
        </w:rPr>
        <w:t>一、收入支出决算总体情况说明 .....................</w:t>
      </w:r>
      <w:r>
        <w:rPr>
          <w:rFonts w:hint="eastAsia" w:ascii="仿宋" w:hAnsi="仿宋" w:eastAsia="仿宋" w:cs="仿宋"/>
          <w:kern w:val="0"/>
          <w:sz w:val="32"/>
          <w:szCs w:val="32"/>
          <w:lang w:val="en-US" w:eastAsia="zh-CN"/>
        </w:rPr>
        <w:t>35</w:t>
      </w:r>
    </w:p>
    <w:p w14:paraId="17DD44F5">
      <w:pPr>
        <w:pStyle w:val="4"/>
        <w:widowControl/>
        <w:spacing w:before="240" w:after="240"/>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eastAsia="zh-CN"/>
        </w:rPr>
        <w:t>二</w:t>
      </w:r>
      <w:r>
        <w:rPr>
          <w:rFonts w:ascii="仿宋" w:hAnsi="仿宋" w:eastAsia="仿宋" w:cs="仿宋"/>
          <w:kern w:val="0"/>
          <w:sz w:val="32"/>
          <w:szCs w:val="32"/>
        </w:rPr>
        <w:t>、一般公共预算财政拨款支出决算情况说明..........</w:t>
      </w:r>
      <w:r>
        <w:rPr>
          <w:rFonts w:hint="eastAsia" w:ascii="仿宋" w:hAnsi="仿宋" w:eastAsia="仿宋" w:cs="仿宋"/>
          <w:kern w:val="0"/>
          <w:sz w:val="32"/>
          <w:szCs w:val="32"/>
          <w:lang w:val="en-US" w:eastAsia="zh-CN"/>
        </w:rPr>
        <w:t>36</w:t>
      </w:r>
    </w:p>
    <w:p w14:paraId="680C8E6A">
      <w:pPr>
        <w:pStyle w:val="4"/>
        <w:widowControl/>
        <w:spacing w:before="240" w:after="240"/>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eastAsia="zh-CN"/>
        </w:rPr>
        <w:t>三</w:t>
      </w:r>
      <w:r>
        <w:rPr>
          <w:rFonts w:ascii="仿宋" w:hAnsi="仿宋" w:eastAsia="仿宋" w:cs="仿宋"/>
          <w:kern w:val="0"/>
          <w:sz w:val="32"/>
          <w:szCs w:val="32"/>
        </w:rPr>
        <w:t>、政府性基金预算财政拨款支出决算情况说明 .......</w:t>
      </w:r>
      <w:r>
        <w:rPr>
          <w:rFonts w:hint="eastAsia" w:ascii="仿宋" w:hAnsi="仿宋" w:eastAsia="仿宋" w:cs="仿宋"/>
          <w:kern w:val="0"/>
          <w:sz w:val="32"/>
          <w:szCs w:val="32"/>
          <w:lang w:val="en-US" w:eastAsia="zh-CN"/>
        </w:rPr>
        <w:t>38</w:t>
      </w:r>
    </w:p>
    <w:p w14:paraId="519C0753">
      <w:pPr>
        <w:pStyle w:val="4"/>
        <w:widowControl/>
        <w:spacing w:before="240" w:after="240"/>
        <w:jc w:val="left"/>
        <w:rPr>
          <w:rFonts w:hint="default" w:ascii="Times New Roman" w:hAnsi="Times New Roman" w:eastAsia="仿宋" w:cs="Times New Roman"/>
          <w:kern w:val="0"/>
          <w:sz w:val="24"/>
          <w:lang w:val="en-US" w:eastAsia="zh-CN"/>
        </w:rPr>
      </w:pPr>
      <w:r>
        <w:rPr>
          <w:rFonts w:hint="eastAsia" w:ascii="仿宋" w:hAnsi="仿宋" w:eastAsia="仿宋" w:cs="仿宋"/>
          <w:kern w:val="0"/>
          <w:sz w:val="32"/>
          <w:szCs w:val="32"/>
          <w:lang w:eastAsia="zh-CN"/>
        </w:rPr>
        <w:t>四</w:t>
      </w:r>
      <w:r>
        <w:rPr>
          <w:rFonts w:ascii="仿宋" w:hAnsi="仿宋" w:eastAsia="仿宋" w:cs="仿宋"/>
          <w:kern w:val="0"/>
          <w:sz w:val="32"/>
          <w:szCs w:val="32"/>
        </w:rPr>
        <w:t>、国有资本经营预算财政拨款支出决算情况说明......</w:t>
      </w:r>
      <w:r>
        <w:rPr>
          <w:rFonts w:hint="eastAsia" w:ascii="仿宋" w:hAnsi="仿宋" w:eastAsia="仿宋" w:cs="仿宋"/>
          <w:kern w:val="0"/>
          <w:sz w:val="32"/>
          <w:szCs w:val="32"/>
          <w:lang w:val="en-US" w:eastAsia="zh-CN"/>
        </w:rPr>
        <w:t>38</w:t>
      </w:r>
    </w:p>
    <w:p w14:paraId="4841978E">
      <w:pPr>
        <w:pStyle w:val="4"/>
        <w:widowControl/>
        <w:spacing w:before="240" w:after="240"/>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eastAsia="zh-CN"/>
        </w:rPr>
        <w:t>五</w:t>
      </w:r>
      <w:r>
        <w:rPr>
          <w:rFonts w:ascii="仿宋" w:hAnsi="仿宋" w:eastAsia="仿宋" w:cs="仿宋"/>
          <w:kern w:val="0"/>
          <w:sz w:val="32"/>
          <w:szCs w:val="32"/>
        </w:rPr>
        <w:t>、一般公共预算财政拨款基本支出决算情况说明.......</w:t>
      </w:r>
      <w:r>
        <w:rPr>
          <w:rFonts w:hint="eastAsia" w:ascii="仿宋" w:hAnsi="仿宋" w:eastAsia="仿宋" w:cs="仿宋"/>
          <w:kern w:val="0"/>
          <w:sz w:val="32"/>
          <w:szCs w:val="32"/>
          <w:lang w:val="en-US" w:eastAsia="zh-CN"/>
        </w:rPr>
        <w:t>38</w:t>
      </w:r>
    </w:p>
    <w:p w14:paraId="17B903E6">
      <w:pPr>
        <w:pStyle w:val="4"/>
        <w:widowControl/>
        <w:spacing w:before="240" w:after="240"/>
        <w:jc w:val="left"/>
        <w:rPr>
          <w:rFonts w:ascii="Times New Roman" w:hAnsi="Times New Roman" w:eastAsia="Times New Roman" w:cs="Times New Roman"/>
          <w:kern w:val="0"/>
          <w:sz w:val="24"/>
        </w:rPr>
      </w:pPr>
      <w:r>
        <w:rPr>
          <w:rFonts w:hint="eastAsia" w:ascii="仿宋" w:hAnsi="仿宋" w:eastAsia="仿宋" w:cs="仿宋"/>
          <w:kern w:val="0"/>
          <w:sz w:val="32"/>
          <w:szCs w:val="32"/>
          <w:lang w:eastAsia="zh-CN"/>
        </w:rPr>
        <w:t>六</w:t>
      </w:r>
      <w:r>
        <w:rPr>
          <w:rFonts w:ascii="仿宋" w:hAnsi="仿宋" w:eastAsia="仿宋" w:cs="仿宋"/>
          <w:kern w:val="0"/>
          <w:sz w:val="32"/>
          <w:szCs w:val="32"/>
        </w:rPr>
        <w:t>、一般公共预算财政拨款“三公”经费支出决算情况说明</w:t>
      </w:r>
      <w:r>
        <w:rPr>
          <w:rFonts w:hint="eastAsia" w:ascii="仿宋" w:hAnsi="仿宋" w:eastAsia="仿宋" w:cs="仿宋"/>
          <w:kern w:val="0"/>
          <w:sz w:val="32"/>
          <w:szCs w:val="32"/>
          <w:lang w:val="en-US" w:eastAsia="zh-CN"/>
        </w:rPr>
        <w:t>39</w:t>
      </w:r>
      <w:r>
        <w:rPr>
          <w:rFonts w:ascii="仿宋" w:hAnsi="仿宋" w:eastAsia="仿宋" w:cs="仿宋"/>
          <w:kern w:val="0"/>
          <w:sz w:val="32"/>
          <w:szCs w:val="32"/>
        </w:rPr>
        <w:t xml:space="preserve"> </w:t>
      </w:r>
    </w:p>
    <w:p w14:paraId="2B5920A5">
      <w:pPr>
        <w:pStyle w:val="4"/>
        <w:widowControl/>
        <w:spacing w:before="240" w:after="240"/>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eastAsia="zh-CN"/>
        </w:rPr>
        <w:t>七</w:t>
      </w:r>
      <w:r>
        <w:rPr>
          <w:rFonts w:ascii="仿宋" w:hAnsi="仿宋" w:eastAsia="仿宋" w:cs="仿宋"/>
          <w:kern w:val="0"/>
          <w:sz w:val="32"/>
          <w:szCs w:val="32"/>
        </w:rPr>
        <w:t>、预算绩效情况说明................................</w:t>
      </w:r>
      <w:r>
        <w:rPr>
          <w:rFonts w:hint="eastAsia" w:ascii="仿宋" w:hAnsi="仿宋" w:eastAsia="仿宋" w:cs="仿宋"/>
          <w:kern w:val="0"/>
          <w:sz w:val="32"/>
          <w:szCs w:val="32"/>
          <w:lang w:val="en-US" w:eastAsia="zh-CN"/>
        </w:rPr>
        <w:t>40</w:t>
      </w:r>
    </w:p>
    <w:p w14:paraId="14801D64">
      <w:pPr>
        <w:pStyle w:val="4"/>
        <w:widowControl/>
        <w:spacing w:before="240" w:after="240"/>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eastAsia="zh-CN"/>
        </w:rPr>
        <w:t>八</w:t>
      </w:r>
      <w:r>
        <w:rPr>
          <w:rFonts w:ascii="仿宋" w:hAnsi="仿宋" w:eastAsia="仿宋" w:cs="仿宋"/>
          <w:kern w:val="0"/>
          <w:sz w:val="32"/>
          <w:szCs w:val="32"/>
        </w:rPr>
        <w:t>、其他重要事项情况说明...................... ..</w:t>
      </w:r>
      <w:r>
        <w:rPr>
          <w:rFonts w:hint="eastAsia" w:ascii="仿宋" w:hAnsi="仿宋" w:eastAsia="仿宋" w:cs="仿宋"/>
          <w:kern w:val="0"/>
          <w:sz w:val="32"/>
          <w:szCs w:val="32"/>
          <w:lang w:val="en-US" w:eastAsia="zh-CN"/>
        </w:rPr>
        <w:t>.</w:t>
      </w:r>
      <w:r>
        <w:rPr>
          <w:rFonts w:ascii="仿宋" w:hAnsi="仿宋" w:eastAsia="仿宋" w:cs="仿宋"/>
          <w:kern w:val="0"/>
          <w:sz w:val="32"/>
          <w:szCs w:val="32"/>
        </w:rPr>
        <w:t>..</w:t>
      </w:r>
      <w:r>
        <w:rPr>
          <w:rFonts w:hint="eastAsia" w:ascii="仿宋" w:hAnsi="仿宋" w:eastAsia="仿宋" w:cs="仿宋"/>
          <w:kern w:val="0"/>
          <w:sz w:val="32"/>
          <w:szCs w:val="32"/>
          <w:lang w:val="en-US" w:eastAsia="zh-CN"/>
        </w:rPr>
        <w:t>40</w:t>
      </w:r>
    </w:p>
    <w:p w14:paraId="4ECDDD6B">
      <w:pPr>
        <w:pStyle w:val="4"/>
        <w:widowControl/>
        <w:spacing w:before="240" w:after="240"/>
        <w:jc w:val="left"/>
        <w:rPr>
          <w:rFonts w:hint="eastAsia" w:ascii="仿宋" w:hAnsi="仿宋" w:eastAsia="仿宋" w:cs="仿宋"/>
          <w:kern w:val="0"/>
          <w:sz w:val="32"/>
          <w:szCs w:val="32"/>
          <w:lang w:val="en-US" w:eastAsia="zh-CN"/>
        </w:rPr>
      </w:pPr>
      <w:r>
        <w:rPr>
          <w:rFonts w:ascii="仿宋" w:hAnsi="仿宋" w:eastAsia="仿宋" w:cs="仿宋"/>
          <w:b/>
          <w:bCs/>
          <w:kern w:val="0"/>
          <w:sz w:val="32"/>
          <w:szCs w:val="32"/>
        </w:rPr>
        <w:t>第四部分 名词解释</w:t>
      </w:r>
      <w:r>
        <w:rPr>
          <w:rFonts w:ascii="仿宋" w:hAnsi="仿宋" w:eastAsia="仿宋" w:cs="仿宋"/>
          <w:kern w:val="0"/>
          <w:sz w:val="32"/>
          <w:szCs w:val="32"/>
        </w:rPr>
        <w:t> ...........................</w:t>
      </w:r>
      <w:r>
        <w:rPr>
          <w:rFonts w:hint="eastAsia" w:ascii="仿宋" w:hAnsi="仿宋" w:eastAsia="仿宋" w:cs="仿宋"/>
          <w:kern w:val="0"/>
          <w:sz w:val="32"/>
          <w:szCs w:val="32"/>
          <w:lang w:val="en-US" w:eastAsia="zh-CN"/>
        </w:rPr>
        <w:t>.</w:t>
      </w:r>
      <w:r>
        <w:rPr>
          <w:rFonts w:ascii="仿宋" w:hAnsi="仿宋" w:eastAsia="仿宋" w:cs="仿宋"/>
          <w:kern w:val="0"/>
          <w:sz w:val="32"/>
          <w:szCs w:val="32"/>
        </w:rPr>
        <w:t>...</w:t>
      </w:r>
      <w:r>
        <w:rPr>
          <w:rFonts w:hint="eastAsia" w:ascii="仿宋" w:hAnsi="仿宋" w:eastAsia="仿宋" w:cs="仿宋"/>
          <w:kern w:val="0"/>
          <w:sz w:val="32"/>
          <w:szCs w:val="32"/>
          <w:lang w:val="en-US" w:eastAsia="zh-CN"/>
        </w:rPr>
        <w:t>...42</w:t>
      </w:r>
    </w:p>
    <w:p w14:paraId="181818BB">
      <w:pPr>
        <w:pStyle w:val="4"/>
        <w:widowControl/>
        <w:spacing w:before="240" w:after="240"/>
        <w:jc w:val="left"/>
        <w:rPr>
          <w:rFonts w:hint="default" w:ascii="Times New Roman" w:hAnsi="Times New Roman" w:eastAsia="仿宋" w:cs="Times New Roman"/>
          <w:kern w:val="0"/>
          <w:sz w:val="24"/>
          <w:lang w:val="en-US" w:eastAsia="zh-CN"/>
        </w:rPr>
      </w:pPr>
      <w:r>
        <w:rPr>
          <w:rFonts w:ascii="仿宋" w:hAnsi="仿宋" w:eastAsia="仿宋" w:cs="仿宋"/>
          <w:b/>
          <w:bCs/>
          <w:kern w:val="0"/>
          <w:sz w:val="32"/>
          <w:szCs w:val="32"/>
        </w:rPr>
        <w:t>第五部分 附件</w:t>
      </w:r>
      <w:r>
        <w:rPr>
          <w:rFonts w:ascii="仿宋" w:hAnsi="仿宋" w:eastAsia="仿宋" w:cs="仿宋"/>
          <w:kern w:val="0"/>
          <w:sz w:val="32"/>
          <w:szCs w:val="32"/>
        </w:rPr>
        <w:t> ..............................</w:t>
      </w:r>
      <w:r>
        <w:rPr>
          <w:rFonts w:hint="eastAsia" w:ascii="仿宋" w:hAnsi="仿宋" w:eastAsia="仿宋" w:cs="仿宋"/>
          <w:kern w:val="0"/>
          <w:sz w:val="32"/>
          <w:szCs w:val="32"/>
          <w:lang w:val="en-US" w:eastAsia="zh-CN"/>
        </w:rPr>
        <w:t>.</w:t>
      </w:r>
      <w:r>
        <w:rPr>
          <w:rFonts w:ascii="仿宋" w:hAnsi="仿宋" w:eastAsia="仿宋" w:cs="仿宋"/>
          <w:kern w:val="0"/>
          <w:sz w:val="32"/>
          <w:szCs w:val="32"/>
        </w:rPr>
        <w:t>.......</w:t>
      </w:r>
      <w:r>
        <w:rPr>
          <w:rFonts w:hint="eastAsia" w:ascii="仿宋" w:hAnsi="仿宋" w:eastAsia="仿宋" w:cs="仿宋"/>
          <w:kern w:val="0"/>
          <w:sz w:val="32"/>
          <w:szCs w:val="32"/>
          <w:lang w:val="en-US" w:eastAsia="zh-CN"/>
        </w:rPr>
        <w:t>44</w:t>
      </w:r>
    </w:p>
    <w:p w14:paraId="02036288">
      <w:pPr>
        <w:pStyle w:val="4"/>
        <w:widowControl/>
        <w:spacing w:before="240" w:after="240"/>
        <w:jc w:val="left"/>
        <w:rPr>
          <w:rFonts w:ascii="Times New Roman" w:hAnsi="Times New Roman" w:eastAsia="Times New Roman" w:cs="Times New Roman"/>
          <w:kern w:val="0"/>
          <w:sz w:val="24"/>
        </w:rPr>
      </w:pPr>
      <w:r>
        <w:rPr>
          <w:rFonts w:ascii="仿宋" w:hAnsi="仿宋" w:eastAsia="仿宋" w:cs="仿宋"/>
          <w:kern w:val="0"/>
          <w:sz w:val="32"/>
          <w:szCs w:val="32"/>
        </w:rPr>
        <w:t> </w:t>
      </w:r>
    </w:p>
    <w:p w14:paraId="6A3E60B0">
      <w:pPr>
        <w:pStyle w:val="4"/>
        <w:widowControl/>
        <w:spacing w:before="240" w:after="240"/>
        <w:jc w:val="left"/>
        <w:rPr>
          <w:rFonts w:ascii="Times New Roman" w:hAnsi="Times New Roman" w:eastAsia="Times New Roman" w:cs="Times New Roman"/>
          <w:kern w:val="0"/>
          <w:sz w:val="24"/>
        </w:rPr>
      </w:pPr>
      <w:r>
        <w:rPr>
          <w:rFonts w:ascii="仿宋" w:hAnsi="仿宋" w:eastAsia="仿宋" w:cs="仿宋"/>
          <w:kern w:val="0"/>
          <w:sz w:val="32"/>
          <w:szCs w:val="32"/>
        </w:rPr>
        <w:t> </w:t>
      </w:r>
    </w:p>
    <w:p w14:paraId="4DF78766">
      <w:pPr>
        <w:pStyle w:val="4"/>
        <w:widowControl/>
        <w:spacing w:before="240" w:after="240"/>
        <w:jc w:val="left"/>
        <w:rPr>
          <w:rFonts w:ascii="Times New Roman" w:hAnsi="Times New Roman" w:eastAsia="Times New Roman" w:cs="Times New Roman"/>
          <w:kern w:val="0"/>
          <w:sz w:val="24"/>
        </w:rPr>
      </w:pPr>
      <w:r>
        <w:rPr>
          <w:rFonts w:ascii="仿宋" w:hAnsi="仿宋" w:eastAsia="仿宋" w:cs="仿宋"/>
          <w:kern w:val="0"/>
          <w:sz w:val="32"/>
          <w:szCs w:val="32"/>
        </w:rPr>
        <w:t> </w:t>
      </w:r>
    </w:p>
    <w:p w14:paraId="230E4232">
      <w:pPr>
        <w:pStyle w:val="4"/>
        <w:widowControl/>
        <w:spacing w:before="240" w:after="240"/>
        <w:jc w:val="left"/>
        <w:rPr>
          <w:rFonts w:ascii="Times New Roman" w:hAnsi="Times New Roman" w:eastAsia="Times New Roman" w:cs="Times New Roman"/>
          <w:kern w:val="0"/>
          <w:sz w:val="24"/>
        </w:rPr>
      </w:pPr>
      <w:r>
        <w:rPr>
          <w:rFonts w:ascii="仿宋" w:hAnsi="仿宋" w:eastAsia="仿宋" w:cs="仿宋"/>
          <w:kern w:val="0"/>
          <w:sz w:val="32"/>
          <w:szCs w:val="32"/>
        </w:rPr>
        <w:t> </w:t>
      </w:r>
    </w:p>
    <w:p w14:paraId="2F35705F">
      <w:pPr>
        <w:pStyle w:val="4"/>
        <w:widowControl/>
        <w:spacing w:before="240" w:after="240"/>
        <w:jc w:val="left"/>
        <w:rPr>
          <w:rFonts w:ascii="Times New Roman" w:hAnsi="Times New Roman" w:eastAsia="Times New Roman" w:cs="Times New Roman"/>
          <w:kern w:val="0"/>
          <w:sz w:val="24"/>
        </w:rPr>
      </w:pPr>
      <w:r>
        <w:rPr>
          <w:rFonts w:ascii="仿宋" w:hAnsi="仿宋" w:eastAsia="仿宋" w:cs="仿宋"/>
          <w:kern w:val="0"/>
          <w:sz w:val="32"/>
          <w:szCs w:val="32"/>
        </w:rPr>
        <w:t> </w:t>
      </w:r>
    </w:p>
    <w:p w14:paraId="077D1F64">
      <w:pPr>
        <w:pStyle w:val="4"/>
        <w:widowControl/>
        <w:spacing w:before="240" w:after="240"/>
        <w:jc w:val="left"/>
        <w:rPr>
          <w:rFonts w:ascii="Times New Roman" w:hAnsi="Times New Roman" w:eastAsia="Times New Roman" w:cs="Times New Roman"/>
          <w:kern w:val="0"/>
          <w:sz w:val="24"/>
        </w:rPr>
      </w:pPr>
      <w:r>
        <w:rPr>
          <w:rFonts w:ascii="仿宋" w:hAnsi="仿宋" w:eastAsia="仿宋" w:cs="仿宋"/>
          <w:kern w:val="0"/>
          <w:sz w:val="32"/>
          <w:szCs w:val="32"/>
        </w:rPr>
        <w:t> </w:t>
      </w:r>
    </w:p>
    <w:p w14:paraId="5C762985">
      <w:pPr>
        <w:pStyle w:val="4"/>
        <w:widowControl/>
        <w:spacing w:before="240" w:after="240"/>
        <w:jc w:val="left"/>
        <w:rPr>
          <w:rFonts w:ascii="Times New Roman" w:hAnsi="Times New Roman" w:eastAsia="Times New Roman" w:cs="Times New Roman"/>
          <w:kern w:val="0"/>
          <w:sz w:val="24"/>
        </w:rPr>
      </w:pPr>
      <w:r>
        <w:rPr>
          <w:rFonts w:ascii="仿宋" w:hAnsi="仿宋" w:eastAsia="仿宋" w:cs="仿宋"/>
          <w:kern w:val="0"/>
          <w:sz w:val="32"/>
          <w:szCs w:val="32"/>
        </w:rPr>
        <w:t> </w:t>
      </w:r>
    </w:p>
    <w:p w14:paraId="14982308">
      <w:pPr>
        <w:pStyle w:val="4"/>
        <w:widowControl/>
        <w:spacing w:before="240" w:after="240"/>
        <w:jc w:val="left"/>
        <w:rPr>
          <w:rFonts w:ascii="Times New Roman" w:hAnsi="Times New Roman" w:eastAsia="Times New Roman" w:cs="Times New Roman"/>
          <w:kern w:val="0"/>
          <w:sz w:val="24"/>
        </w:rPr>
      </w:pPr>
      <w:r>
        <w:rPr>
          <w:rFonts w:ascii="仿宋" w:hAnsi="仿宋" w:eastAsia="仿宋" w:cs="仿宋"/>
          <w:kern w:val="0"/>
          <w:sz w:val="32"/>
          <w:szCs w:val="32"/>
        </w:rPr>
        <w:t> </w:t>
      </w:r>
    </w:p>
    <w:p w14:paraId="6984183C">
      <w:pPr>
        <w:pStyle w:val="25"/>
        <w:widowControl/>
        <w:spacing w:before="240" w:after="240"/>
        <w:jc w:val="center"/>
        <w:rPr>
          <w:rFonts w:ascii="Times New Roman" w:hAnsi="Times New Roman" w:eastAsia="Times New Roman" w:cs="Times New Roman"/>
          <w:kern w:val="0"/>
          <w:sz w:val="24"/>
        </w:rPr>
      </w:pPr>
      <w:r>
        <w:rPr>
          <w:rFonts w:ascii="黑体" w:hAnsi="黑体" w:eastAsia="黑体" w:cs="黑体"/>
          <w:kern w:val="0"/>
          <w:sz w:val="36"/>
          <w:szCs w:val="36"/>
        </w:rPr>
        <w:t> </w:t>
      </w:r>
    </w:p>
    <w:p w14:paraId="7ACA7DE6">
      <w:pPr>
        <w:pStyle w:val="25"/>
        <w:widowControl/>
        <w:spacing w:before="240" w:after="240"/>
        <w:jc w:val="center"/>
        <w:rPr>
          <w:rFonts w:ascii="Times New Roman" w:hAnsi="Times New Roman" w:eastAsia="Times New Roman" w:cs="Times New Roman"/>
          <w:kern w:val="0"/>
          <w:sz w:val="24"/>
        </w:rPr>
      </w:pPr>
      <w:r>
        <w:rPr>
          <w:rFonts w:ascii="黑体" w:hAnsi="黑体" w:eastAsia="黑体" w:cs="黑体"/>
          <w:kern w:val="0"/>
          <w:sz w:val="36"/>
          <w:szCs w:val="36"/>
        </w:rPr>
        <w:t> </w:t>
      </w:r>
    </w:p>
    <w:p w14:paraId="6042C7F1">
      <w:pPr>
        <w:pStyle w:val="25"/>
        <w:widowControl/>
        <w:spacing w:before="240" w:after="240"/>
        <w:jc w:val="center"/>
        <w:rPr>
          <w:rFonts w:ascii="Times New Roman" w:hAnsi="Times New Roman" w:eastAsia="Times New Roman" w:cs="Times New Roman"/>
          <w:kern w:val="0"/>
          <w:sz w:val="24"/>
        </w:rPr>
      </w:pPr>
      <w:r>
        <w:rPr>
          <w:rFonts w:ascii="黑体" w:hAnsi="黑体" w:eastAsia="黑体" w:cs="黑体"/>
          <w:kern w:val="0"/>
          <w:sz w:val="36"/>
          <w:szCs w:val="36"/>
        </w:rPr>
        <w:t> </w:t>
      </w:r>
    </w:p>
    <w:p w14:paraId="7E4D6FD5">
      <w:pPr>
        <w:pStyle w:val="25"/>
        <w:widowControl/>
        <w:spacing w:before="240" w:after="240"/>
        <w:jc w:val="center"/>
        <w:rPr>
          <w:rFonts w:ascii="Times New Roman" w:hAnsi="Times New Roman" w:eastAsia="Times New Roman" w:cs="Times New Roman"/>
          <w:kern w:val="0"/>
          <w:sz w:val="24"/>
        </w:rPr>
      </w:pPr>
      <w:r>
        <w:rPr>
          <w:rFonts w:ascii="黑体" w:hAnsi="黑体" w:eastAsia="黑体" w:cs="黑体"/>
          <w:kern w:val="0"/>
          <w:sz w:val="36"/>
          <w:szCs w:val="36"/>
        </w:rPr>
        <w:t> </w:t>
      </w:r>
    </w:p>
    <w:p w14:paraId="4922A32C">
      <w:pPr>
        <w:pStyle w:val="25"/>
        <w:widowControl/>
        <w:spacing w:before="240" w:after="240"/>
        <w:jc w:val="center"/>
        <w:rPr>
          <w:rFonts w:ascii="Times New Roman" w:hAnsi="Times New Roman" w:eastAsia="Times New Roman" w:cs="Times New Roman"/>
          <w:kern w:val="0"/>
          <w:sz w:val="24"/>
        </w:rPr>
      </w:pPr>
      <w:r>
        <w:rPr>
          <w:rFonts w:ascii="黑体" w:hAnsi="黑体" w:eastAsia="黑体" w:cs="黑体"/>
          <w:kern w:val="0"/>
          <w:sz w:val="36"/>
          <w:szCs w:val="36"/>
        </w:rPr>
        <w:t> </w:t>
      </w:r>
    </w:p>
    <w:p w14:paraId="22EDF92C">
      <w:pPr>
        <w:pStyle w:val="25"/>
        <w:widowControl/>
        <w:spacing w:before="240" w:after="240"/>
        <w:jc w:val="center"/>
        <w:rPr>
          <w:rFonts w:ascii="Times New Roman" w:hAnsi="Times New Roman" w:eastAsia="Times New Roman" w:cs="Times New Roman"/>
          <w:kern w:val="0"/>
          <w:sz w:val="24"/>
        </w:rPr>
      </w:pPr>
      <w:r>
        <w:rPr>
          <w:rFonts w:ascii="黑体" w:hAnsi="黑体" w:eastAsia="黑体" w:cs="黑体"/>
          <w:kern w:val="0"/>
          <w:sz w:val="36"/>
          <w:szCs w:val="36"/>
        </w:rPr>
        <w:t> </w:t>
      </w:r>
    </w:p>
    <w:p w14:paraId="506DBBB9">
      <w:pPr>
        <w:pStyle w:val="25"/>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56"/>
          <w:szCs w:val="56"/>
        </w:rPr>
        <w:t>第一部分 </w:t>
      </w:r>
    </w:p>
    <w:p w14:paraId="4CFD5C80">
      <w:pPr>
        <w:pStyle w:val="25"/>
        <w:widowControl/>
        <w:spacing w:before="240" w:after="240"/>
        <w:jc w:val="center"/>
        <w:rPr>
          <w:rFonts w:ascii="Times New Roman" w:hAnsi="Times New Roman" w:eastAsia="Times New Roman" w:cs="Times New Roman"/>
          <w:kern w:val="0"/>
          <w:sz w:val="24"/>
        </w:rPr>
      </w:pPr>
      <w:r>
        <w:rPr>
          <w:rFonts w:ascii="黑体" w:hAnsi="黑体" w:eastAsia="黑体" w:cs="黑体"/>
          <w:kern w:val="0"/>
          <w:sz w:val="56"/>
          <w:szCs w:val="56"/>
        </w:rPr>
        <w:t>单位概况</w:t>
      </w:r>
    </w:p>
    <w:p w14:paraId="6478AE0E">
      <w:pPr>
        <w:pStyle w:val="4"/>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32"/>
          <w:szCs w:val="32"/>
        </w:rPr>
        <w:t>一、单位主要职责</w:t>
      </w:r>
    </w:p>
    <w:p w14:paraId="19681503">
      <w:pPr>
        <w:spacing w:line="600" w:lineRule="exact"/>
        <w:ind w:firstLine="640" w:firstLineChars="200"/>
        <w:rPr>
          <w:rFonts w:hint="eastAsia" w:ascii="仿宋" w:hAnsi="仿宋" w:eastAsia="仿宋"/>
          <w:sz w:val="32"/>
          <w:szCs w:val="32"/>
        </w:rPr>
      </w:pPr>
      <w:r>
        <w:rPr>
          <w:rFonts w:hint="eastAsia" w:ascii="仿宋" w:hAnsi="仿宋" w:eastAsia="仿宋"/>
          <w:sz w:val="32"/>
          <w:szCs w:val="32"/>
          <w:lang w:eastAsia="zh-CN"/>
        </w:rPr>
        <w:t>长汀县馆前镇人民政府</w:t>
      </w:r>
      <w:r>
        <w:rPr>
          <w:rFonts w:hint="eastAsia" w:ascii="仿宋" w:hAnsi="仿宋" w:eastAsia="仿宋"/>
          <w:sz w:val="32"/>
          <w:szCs w:val="32"/>
        </w:rPr>
        <w:t>部门的主要职责是：</w:t>
      </w:r>
    </w:p>
    <w:p w14:paraId="2E0645E1">
      <w:pPr>
        <w:spacing w:line="600" w:lineRule="exact"/>
        <w:ind w:firstLine="640" w:firstLineChars="200"/>
        <w:rPr>
          <w:rFonts w:ascii="仿宋" w:hAnsi="仿宋" w:eastAsia="仿宋"/>
          <w:sz w:val="32"/>
          <w:szCs w:val="32"/>
        </w:rPr>
      </w:pPr>
      <w:r>
        <w:rPr>
          <w:rFonts w:hint="eastAsia" w:ascii="仿宋" w:hAnsi="仿宋" w:eastAsia="仿宋"/>
          <w:sz w:val="32"/>
          <w:szCs w:val="32"/>
        </w:rPr>
        <w:t>（一）贯彻执行党和国家在农村的路线、方针、政策和法律法规，执行上级党委、政府及本级党委的决定、命令，执行本级人民代表大会的决议。</w:t>
      </w:r>
    </w:p>
    <w:p w14:paraId="073F0126">
      <w:pPr>
        <w:spacing w:line="600" w:lineRule="exact"/>
        <w:ind w:firstLine="640" w:firstLineChars="200"/>
        <w:rPr>
          <w:rFonts w:ascii="仿宋" w:hAnsi="仿宋" w:eastAsia="仿宋"/>
          <w:sz w:val="32"/>
          <w:szCs w:val="32"/>
        </w:rPr>
      </w:pPr>
      <w:r>
        <w:rPr>
          <w:rFonts w:hint="eastAsia" w:ascii="仿宋" w:hAnsi="仿宋" w:eastAsia="仿宋"/>
          <w:sz w:val="32"/>
          <w:szCs w:val="32"/>
        </w:rPr>
        <w:t>（二）对本级人民代表大会及其主席团和上级行政机关负责并报告工作。</w:t>
      </w:r>
    </w:p>
    <w:p w14:paraId="59A354E5">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（三）编制和执行</w:t>
      </w:r>
      <w:r>
        <w:rPr>
          <w:rFonts w:hint="eastAsia" w:ascii="仿宋" w:hAnsi="仿宋" w:eastAsia="仿宋"/>
          <w:sz w:val="32"/>
          <w:szCs w:val="32"/>
          <w:lang w:eastAsia="zh-CN"/>
        </w:rPr>
        <w:t>本镇</w:t>
      </w:r>
      <w:r>
        <w:rPr>
          <w:rFonts w:hint="eastAsia" w:ascii="仿宋" w:hAnsi="仿宋" w:eastAsia="仿宋"/>
          <w:sz w:val="32"/>
          <w:szCs w:val="32"/>
        </w:rPr>
        <w:t>国民经济和社会发展规划、计划，编制并执行本级财政预算、决算。</w:t>
      </w:r>
    </w:p>
    <w:p w14:paraId="02EDD401">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（四）管理本行政区域内农业、林业、水利、教育、科技、文化、卫生、体育、人才开发、扶贫开发、劳动就业、社会保障、安全生产、村镇建设、民政、退役军人事务、财政等行政工作。</w:t>
      </w:r>
    </w:p>
    <w:p w14:paraId="1099241A">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（五）发展农村经济，增加农民收入。探索当前繁荣农村经济的有效形式，保护各种经济组织的合法权益，落实强农惠农的措施。</w:t>
      </w:r>
    </w:p>
    <w:p w14:paraId="173BCD2E">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（六）加强公共管理，着力改善民生。改进服务方式，提高行政效能，改善农村生产生活条件和人居环境。</w:t>
      </w:r>
    </w:p>
    <w:p w14:paraId="0CCDF4B4">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（七）强化服务职能，推进社会化服务体系建设。组织实施乡村振兴战略，加强乡村基础设施建设，组织协调农田水利基本建设、道路交通建设、美丽乡村建设等农村公共事务。</w:t>
      </w:r>
    </w:p>
    <w:p w14:paraId="691367D1">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（八）加强社会管理，维护社会稳定。推进依法行政，维护社会秩序，保护村级集体财产和农民私有合法财产，保障公民人身权利、民主权利和其他权利。</w:t>
      </w:r>
    </w:p>
    <w:p w14:paraId="29AD6CC9">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（九）加强农村基层民主政治建设，指导、支持和帮助村民委员会工作。</w:t>
      </w:r>
    </w:p>
    <w:p w14:paraId="0742606F">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（十）以人为本，营造发展环境,促进经济发展，对农民和各类经济主体进行示范引导，为农民提供科学技术、劳动就业、市场信息等服务。</w:t>
      </w:r>
    </w:p>
    <w:p w14:paraId="06EC4C85">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（十一）承办县委、县政府交办的其他工作。</w:t>
      </w:r>
    </w:p>
    <w:p w14:paraId="31EA29E9">
      <w:pPr>
        <w:pStyle w:val="4"/>
        <w:widowControl/>
        <w:spacing w:before="240" w:after="240" w:line="600" w:lineRule="atLeast"/>
        <w:ind w:firstLine="640"/>
        <w:jc w:val="left"/>
        <w:rPr>
          <w:rFonts w:ascii="Times New Roman" w:hAnsi="Times New Roman" w:eastAsia="Times New Roman" w:cs="Times New Roman"/>
          <w:kern w:val="0"/>
          <w:sz w:val="24"/>
        </w:rPr>
      </w:pPr>
      <w:r>
        <w:rPr>
          <w:rFonts w:ascii="黑体" w:hAnsi="黑体" w:eastAsia="黑体" w:cs="黑体"/>
          <w:kern w:val="0"/>
          <w:sz w:val="32"/>
          <w:szCs w:val="32"/>
        </w:rPr>
        <w:t>二、单位基本情况</w:t>
      </w:r>
    </w:p>
    <w:p w14:paraId="64A5401E">
      <w:pPr>
        <w:tabs>
          <w:tab w:val="left" w:pos="7513"/>
        </w:tabs>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从决算单位构成看，</w:t>
      </w:r>
      <w:r>
        <w:rPr>
          <w:rFonts w:hint="eastAsia" w:ascii="仿宋" w:hAnsi="仿宋" w:eastAsia="仿宋"/>
          <w:sz w:val="32"/>
          <w:szCs w:val="32"/>
          <w:lang w:eastAsia="zh-CN"/>
        </w:rPr>
        <w:t>长汀县馆前镇人民政府</w:t>
      </w:r>
      <w:r>
        <w:rPr>
          <w:rFonts w:hint="eastAsia" w:ascii="仿宋_GB2312" w:hAnsi="仿宋_GB2312" w:eastAsia="仿宋_GB2312" w:cs="仿宋_GB2312"/>
          <w:sz w:val="32"/>
          <w:szCs w:val="32"/>
        </w:rPr>
        <w:t>部门包括</w:t>
      </w:r>
      <w:r>
        <w:rPr>
          <w:rFonts w:hint="eastAsia" w:ascii="仿宋" w:hAnsi="仿宋" w:eastAsia="仿宋" w:cs="仿宋_GB2312"/>
          <w:sz w:val="32"/>
          <w:szCs w:val="32"/>
          <w:lang w:val="en-US" w:eastAsia="zh-CN"/>
        </w:rPr>
        <w:t>1</w:t>
      </w:r>
      <w:r>
        <w:rPr>
          <w:rFonts w:hint="eastAsia" w:ascii="仿宋" w:hAnsi="仿宋" w:eastAsia="仿宋"/>
          <w:sz w:val="32"/>
          <w:szCs w:val="32"/>
        </w:rPr>
        <w:t>个机关行政处（科）室</w:t>
      </w:r>
      <w:r>
        <w:rPr>
          <w:rFonts w:hint="eastAsia" w:ascii="仿宋_GB2312" w:hAnsi="仿宋_GB2312" w:eastAsia="仿宋_GB2312" w:cs="仿宋_GB2312"/>
          <w:sz w:val="32"/>
          <w:szCs w:val="32"/>
        </w:rPr>
        <w:t>及</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个下属</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，其中：列入</w:t>
      </w:r>
      <w:r>
        <w:rPr>
          <w:rFonts w:hint="eastAsia" w:ascii="仿宋_GB2312" w:hAnsi="仿宋_GB2312" w:eastAsia="仿宋_GB2312" w:cs="仿宋_GB2312"/>
          <w:sz w:val="32"/>
          <w:szCs w:val="32"/>
          <w:lang w:val="en-US" w:eastAsia="zh-CN"/>
        </w:rPr>
        <w:t>202</w:t>
      </w:r>
      <w:r>
        <w:rPr>
          <w:rFonts w:hint="default"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年部门决算编制范围的单位详细情况见下表:</w:t>
      </w:r>
    </w:p>
    <w:tbl>
      <w:tblPr>
        <w:tblStyle w:val="20"/>
        <w:tblW w:w="75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40"/>
        <w:gridCol w:w="1935"/>
        <w:gridCol w:w="1659"/>
      </w:tblGrid>
      <w:tr w14:paraId="0A338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3940" w:type="dxa"/>
            <w:tcBorders>
              <w:top w:val="single" w:color="auto" w:sz="4" w:space="0"/>
              <w:left w:val="single" w:color="auto" w:sz="4" w:space="0"/>
              <w:bottom w:val="single" w:color="auto" w:sz="4" w:space="0"/>
              <w:right w:val="single" w:color="auto" w:sz="4" w:space="0"/>
            </w:tcBorders>
            <w:vAlign w:val="center"/>
          </w:tcPr>
          <w:p w14:paraId="1EEC27F2">
            <w:pPr>
              <w:spacing w:line="600" w:lineRule="exact"/>
              <w:jc w:val="center"/>
              <w:rPr>
                <w:rFonts w:ascii="仿宋" w:hAnsi="仿宋" w:eastAsia="仿宋" w:cs="仿宋_GB2312"/>
                <w:sz w:val="32"/>
                <w:szCs w:val="32"/>
              </w:rPr>
            </w:pPr>
            <w:r>
              <w:rPr>
                <w:rFonts w:hint="eastAsia" w:ascii="仿宋" w:hAnsi="仿宋" w:eastAsia="仿宋" w:cs="仿宋_GB2312"/>
                <w:sz w:val="32"/>
                <w:szCs w:val="32"/>
              </w:rPr>
              <w:t>单位名称</w:t>
            </w:r>
          </w:p>
        </w:tc>
        <w:tc>
          <w:tcPr>
            <w:tcW w:w="1935" w:type="dxa"/>
            <w:tcBorders>
              <w:top w:val="single" w:color="auto" w:sz="4" w:space="0"/>
              <w:left w:val="single" w:color="auto" w:sz="4" w:space="0"/>
              <w:bottom w:val="single" w:color="auto" w:sz="4" w:space="0"/>
              <w:right w:val="single" w:color="auto" w:sz="4" w:space="0"/>
            </w:tcBorders>
            <w:vAlign w:val="center"/>
          </w:tcPr>
          <w:p w14:paraId="3DA4E3F9">
            <w:pPr>
              <w:spacing w:line="600" w:lineRule="exact"/>
              <w:jc w:val="center"/>
              <w:rPr>
                <w:rFonts w:ascii="仿宋" w:hAnsi="仿宋" w:eastAsia="仿宋" w:cs="仿宋_GB2312"/>
                <w:sz w:val="32"/>
                <w:szCs w:val="32"/>
              </w:rPr>
            </w:pPr>
            <w:r>
              <w:rPr>
                <w:rFonts w:hint="eastAsia" w:ascii="仿宋" w:hAnsi="仿宋" w:eastAsia="仿宋" w:cs="仿宋_GB2312"/>
                <w:sz w:val="32"/>
                <w:szCs w:val="32"/>
              </w:rPr>
              <w:t>单位性质</w:t>
            </w:r>
          </w:p>
        </w:tc>
        <w:tc>
          <w:tcPr>
            <w:tcW w:w="1659" w:type="dxa"/>
            <w:tcBorders>
              <w:top w:val="single" w:color="auto" w:sz="4" w:space="0"/>
              <w:left w:val="single" w:color="auto" w:sz="4" w:space="0"/>
              <w:bottom w:val="single" w:color="auto" w:sz="4" w:space="0"/>
              <w:right w:val="single" w:color="auto" w:sz="4" w:space="0"/>
            </w:tcBorders>
            <w:vAlign w:val="center"/>
          </w:tcPr>
          <w:p w14:paraId="4927D2B9">
            <w:pPr>
              <w:spacing w:line="600" w:lineRule="exact"/>
              <w:jc w:val="center"/>
              <w:rPr>
                <w:rFonts w:ascii="仿宋" w:hAnsi="仿宋" w:eastAsia="仿宋" w:cs="仿宋_GB2312"/>
                <w:sz w:val="32"/>
                <w:szCs w:val="32"/>
              </w:rPr>
            </w:pPr>
            <w:r>
              <w:rPr>
                <w:rFonts w:hint="eastAsia" w:ascii="仿宋" w:hAnsi="仿宋" w:eastAsia="仿宋" w:cs="仿宋_GB2312"/>
                <w:sz w:val="32"/>
                <w:szCs w:val="32"/>
              </w:rPr>
              <w:t>在职人数</w:t>
            </w:r>
          </w:p>
        </w:tc>
      </w:tr>
      <w:tr w14:paraId="03C2D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0" w:type="dxa"/>
            <w:tcBorders>
              <w:top w:val="single" w:color="auto" w:sz="4" w:space="0"/>
              <w:left w:val="single" w:color="auto" w:sz="4" w:space="0"/>
              <w:bottom w:val="single" w:color="auto" w:sz="4" w:space="0"/>
              <w:right w:val="single" w:color="auto" w:sz="4" w:space="0"/>
            </w:tcBorders>
            <w:vAlign w:val="top"/>
          </w:tcPr>
          <w:p w14:paraId="074C2663">
            <w:pPr>
              <w:spacing w:line="600" w:lineRule="exact"/>
              <w:jc w:val="left"/>
              <w:rPr>
                <w:rFonts w:hint="eastAsia" w:ascii="仿宋" w:hAnsi="仿宋" w:eastAsia="仿宋" w:cs="仿宋_GB2312"/>
                <w:sz w:val="32"/>
                <w:szCs w:val="32"/>
                <w:lang w:val="en-US" w:eastAsia="zh-CN"/>
              </w:rPr>
            </w:pPr>
            <w:r>
              <w:rPr>
                <w:rFonts w:hint="eastAsia" w:ascii="宋体" w:hAnsi="宋体" w:eastAsia="宋体" w:cs="宋体"/>
                <w:sz w:val="24"/>
                <w:szCs w:val="24"/>
                <w:lang w:eastAsia="zh-CN"/>
              </w:rPr>
              <w:t>长汀县馆前镇人民政府（本级）</w:t>
            </w:r>
          </w:p>
        </w:tc>
        <w:tc>
          <w:tcPr>
            <w:tcW w:w="1935" w:type="dxa"/>
            <w:tcBorders>
              <w:top w:val="single" w:color="auto" w:sz="4" w:space="0"/>
              <w:left w:val="single" w:color="auto" w:sz="4" w:space="0"/>
              <w:bottom w:val="single" w:color="auto" w:sz="4" w:space="0"/>
              <w:right w:val="single" w:color="auto" w:sz="4" w:space="0"/>
            </w:tcBorders>
            <w:vAlign w:val="top"/>
          </w:tcPr>
          <w:p w14:paraId="56995B93">
            <w:pPr>
              <w:spacing w:line="600" w:lineRule="exact"/>
              <w:jc w:val="center"/>
              <w:rPr>
                <w:rFonts w:hint="eastAsia" w:ascii="仿宋" w:hAnsi="仿宋" w:eastAsia="仿宋" w:cs="仿宋_GB2312"/>
                <w:sz w:val="32"/>
                <w:szCs w:val="32"/>
                <w:lang w:val="en-US" w:eastAsia="zh-CN"/>
              </w:rPr>
            </w:pPr>
            <w:r>
              <w:rPr>
                <w:rFonts w:hint="eastAsia" w:ascii="宋体" w:hAnsi="宋体" w:eastAsia="宋体" w:cs="宋体"/>
                <w:sz w:val="24"/>
                <w:szCs w:val="24"/>
                <w:lang w:eastAsia="zh-CN"/>
              </w:rPr>
              <w:t>财政拨款</w:t>
            </w:r>
          </w:p>
        </w:tc>
        <w:tc>
          <w:tcPr>
            <w:tcW w:w="1659" w:type="dxa"/>
            <w:tcBorders>
              <w:top w:val="single" w:color="auto" w:sz="4" w:space="0"/>
              <w:left w:val="single" w:color="auto" w:sz="4" w:space="0"/>
              <w:bottom w:val="single" w:color="auto" w:sz="4" w:space="0"/>
              <w:right w:val="single" w:color="auto" w:sz="4" w:space="0"/>
            </w:tcBorders>
            <w:vAlign w:val="top"/>
          </w:tcPr>
          <w:p w14:paraId="59413293">
            <w:pPr>
              <w:spacing w:line="600" w:lineRule="exact"/>
              <w:jc w:val="center"/>
              <w:rPr>
                <w:rFonts w:hint="default" w:ascii="仿宋" w:hAnsi="仿宋" w:eastAsia="仿宋" w:cs="仿宋_GB2312"/>
                <w:sz w:val="32"/>
                <w:szCs w:val="32"/>
                <w:lang w:val="en-US" w:eastAsia="zh-CN"/>
              </w:rPr>
            </w:pPr>
            <w:r>
              <w:rPr>
                <w:rFonts w:hint="default" w:ascii="宋体" w:hAnsi="宋体" w:eastAsia="宋体" w:cs="宋体"/>
                <w:sz w:val="24"/>
                <w:szCs w:val="24"/>
                <w:lang w:val="en-US" w:eastAsia="zh-CN"/>
              </w:rPr>
              <w:t>47</w:t>
            </w:r>
          </w:p>
        </w:tc>
      </w:tr>
      <w:tr w14:paraId="34198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0" w:type="dxa"/>
            <w:tcBorders>
              <w:top w:val="single" w:color="auto" w:sz="4" w:space="0"/>
              <w:left w:val="single" w:color="auto" w:sz="4" w:space="0"/>
              <w:bottom w:val="single" w:color="auto" w:sz="4" w:space="0"/>
              <w:right w:val="single" w:color="auto" w:sz="4" w:space="0"/>
            </w:tcBorders>
            <w:vAlign w:val="top"/>
          </w:tcPr>
          <w:p w14:paraId="1F1169E3">
            <w:pPr>
              <w:spacing w:line="600" w:lineRule="exact"/>
              <w:jc w:val="left"/>
              <w:rPr>
                <w:rFonts w:hint="eastAsia" w:ascii="仿宋" w:hAnsi="仿宋" w:eastAsia="仿宋" w:cs="仿宋_GB2312"/>
                <w:sz w:val="32"/>
                <w:szCs w:val="32"/>
                <w:lang w:val="en-US" w:eastAsia="zh-CN"/>
              </w:rPr>
            </w:pPr>
            <w:r>
              <w:rPr>
                <w:rFonts w:hint="eastAsia" w:ascii="宋体" w:hAnsi="宋体" w:eastAsia="宋体" w:cs="宋体"/>
                <w:sz w:val="24"/>
                <w:szCs w:val="24"/>
                <w:lang w:eastAsia="zh-CN"/>
              </w:rPr>
              <w:t>长汀县馆前镇财政所</w:t>
            </w:r>
          </w:p>
        </w:tc>
        <w:tc>
          <w:tcPr>
            <w:tcW w:w="1935" w:type="dxa"/>
            <w:tcBorders>
              <w:top w:val="single" w:color="auto" w:sz="4" w:space="0"/>
              <w:left w:val="single" w:color="auto" w:sz="4" w:space="0"/>
              <w:bottom w:val="single" w:color="auto" w:sz="4" w:space="0"/>
              <w:right w:val="single" w:color="auto" w:sz="4" w:space="0"/>
            </w:tcBorders>
            <w:vAlign w:val="top"/>
          </w:tcPr>
          <w:p w14:paraId="5C14E148">
            <w:pPr>
              <w:spacing w:line="600" w:lineRule="exact"/>
              <w:jc w:val="center"/>
              <w:rPr>
                <w:rFonts w:hint="eastAsia" w:ascii="仿宋" w:hAnsi="仿宋" w:eastAsia="仿宋" w:cs="仿宋_GB2312"/>
                <w:sz w:val="32"/>
                <w:szCs w:val="32"/>
                <w:lang w:val="en-US" w:eastAsia="zh-CN"/>
              </w:rPr>
            </w:pPr>
            <w:r>
              <w:rPr>
                <w:rFonts w:hint="eastAsia" w:ascii="宋体" w:hAnsi="宋体" w:eastAsia="宋体" w:cs="宋体"/>
                <w:sz w:val="24"/>
                <w:szCs w:val="24"/>
                <w:lang w:eastAsia="zh-CN"/>
              </w:rPr>
              <w:t>财政拨款</w:t>
            </w:r>
          </w:p>
        </w:tc>
        <w:tc>
          <w:tcPr>
            <w:tcW w:w="1659" w:type="dxa"/>
            <w:tcBorders>
              <w:top w:val="single" w:color="auto" w:sz="4" w:space="0"/>
              <w:left w:val="single" w:color="auto" w:sz="4" w:space="0"/>
              <w:bottom w:val="single" w:color="auto" w:sz="4" w:space="0"/>
              <w:right w:val="single" w:color="auto" w:sz="4" w:space="0"/>
            </w:tcBorders>
            <w:vAlign w:val="top"/>
          </w:tcPr>
          <w:p w14:paraId="3CB5FBE7">
            <w:pPr>
              <w:spacing w:line="600" w:lineRule="exact"/>
              <w:jc w:val="center"/>
              <w:rPr>
                <w:rFonts w:hint="eastAsia" w:ascii="仿宋" w:hAnsi="仿宋" w:eastAsia="仿宋" w:cs="仿宋_GB2312"/>
                <w:sz w:val="32"/>
                <w:szCs w:val="32"/>
                <w:lang w:val="en-US" w:eastAsia="zh-CN"/>
              </w:rPr>
            </w:pPr>
            <w:r>
              <w:rPr>
                <w:rFonts w:hint="eastAsia" w:ascii="宋体" w:hAnsi="宋体" w:eastAsia="宋体" w:cs="宋体"/>
                <w:sz w:val="24"/>
                <w:szCs w:val="24"/>
                <w:lang w:val="en-US" w:eastAsia="zh-CN"/>
              </w:rPr>
              <w:t>0</w:t>
            </w:r>
          </w:p>
        </w:tc>
      </w:tr>
      <w:tr w14:paraId="56E8D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0" w:type="dxa"/>
            <w:tcBorders>
              <w:top w:val="single" w:color="auto" w:sz="4" w:space="0"/>
              <w:left w:val="single" w:color="auto" w:sz="4" w:space="0"/>
              <w:bottom w:val="single" w:color="auto" w:sz="4" w:space="0"/>
              <w:right w:val="single" w:color="auto" w:sz="4" w:space="0"/>
            </w:tcBorders>
            <w:vAlign w:val="top"/>
          </w:tcPr>
          <w:p w14:paraId="4A331676">
            <w:pPr>
              <w:spacing w:line="600" w:lineRule="exact"/>
              <w:jc w:val="left"/>
              <w:rPr>
                <w:rFonts w:hint="eastAsia" w:ascii="仿宋" w:hAnsi="仿宋" w:eastAsia="仿宋" w:cs="仿宋_GB2312"/>
                <w:sz w:val="32"/>
                <w:szCs w:val="32"/>
                <w:lang w:val="en-US" w:eastAsia="zh-CN"/>
              </w:rPr>
            </w:pPr>
            <w:r>
              <w:rPr>
                <w:rFonts w:hint="eastAsia" w:ascii="宋体" w:hAnsi="宋体" w:eastAsia="宋体" w:cs="宋体"/>
                <w:sz w:val="24"/>
                <w:szCs w:val="24"/>
                <w:lang w:eastAsia="zh-CN"/>
              </w:rPr>
              <w:t>长汀县馆前镇人民政府（零户统管）</w:t>
            </w:r>
          </w:p>
        </w:tc>
        <w:tc>
          <w:tcPr>
            <w:tcW w:w="1935" w:type="dxa"/>
            <w:tcBorders>
              <w:top w:val="single" w:color="auto" w:sz="4" w:space="0"/>
              <w:left w:val="single" w:color="auto" w:sz="4" w:space="0"/>
              <w:bottom w:val="single" w:color="auto" w:sz="4" w:space="0"/>
              <w:right w:val="single" w:color="auto" w:sz="4" w:space="0"/>
            </w:tcBorders>
            <w:vAlign w:val="top"/>
          </w:tcPr>
          <w:p w14:paraId="65F6AB23">
            <w:pPr>
              <w:spacing w:line="600" w:lineRule="exact"/>
              <w:jc w:val="center"/>
              <w:rPr>
                <w:rFonts w:hint="eastAsia" w:ascii="仿宋" w:hAnsi="仿宋" w:eastAsia="仿宋" w:cs="仿宋_GB2312"/>
                <w:sz w:val="32"/>
                <w:szCs w:val="32"/>
                <w:lang w:val="en-US" w:eastAsia="zh-CN"/>
              </w:rPr>
            </w:pPr>
            <w:r>
              <w:rPr>
                <w:rFonts w:hint="eastAsia" w:ascii="宋体" w:hAnsi="宋体" w:eastAsia="宋体" w:cs="宋体"/>
                <w:sz w:val="24"/>
                <w:szCs w:val="24"/>
                <w:lang w:eastAsia="zh-CN"/>
              </w:rPr>
              <w:t>财政拨款</w:t>
            </w:r>
          </w:p>
        </w:tc>
        <w:tc>
          <w:tcPr>
            <w:tcW w:w="1659" w:type="dxa"/>
            <w:tcBorders>
              <w:top w:val="single" w:color="auto" w:sz="4" w:space="0"/>
              <w:left w:val="single" w:color="auto" w:sz="4" w:space="0"/>
              <w:bottom w:val="single" w:color="auto" w:sz="4" w:space="0"/>
              <w:right w:val="single" w:color="auto" w:sz="4" w:space="0"/>
            </w:tcBorders>
            <w:vAlign w:val="top"/>
          </w:tcPr>
          <w:p w14:paraId="5FEE752E">
            <w:pPr>
              <w:spacing w:line="600" w:lineRule="exact"/>
              <w:jc w:val="center"/>
              <w:rPr>
                <w:rFonts w:hint="eastAsia" w:ascii="仿宋" w:hAnsi="仿宋" w:eastAsia="仿宋" w:cs="仿宋_GB2312"/>
                <w:sz w:val="32"/>
                <w:szCs w:val="32"/>
                <w:lang w:val="en-US" w:eastAsia="zh-CN"/>
              </w:rPr>
            </w:pPr>
            <w:r>
              <w:rPr>
                <w:rFonts w:hint="eastAsia" w:ascii="宋体" w:hAnsi="宋体" w:eastAsia="宋体" w:cs="宋体"/>
                <w:sz w:val="24"/>
                <w:szCs w:val="24"/>
                <w:lang w:val="en-US" w:eastAsia="zh-CN"/>
              </w:rPr>
              <w:t>0</w:t>
            </w:r>
          </w:p>
        </w:tc>
      </w:tr>
    </w:tbl>
    <w:p w14:paraId="324D7F75">
      <w:pPr>
        <w:tabs>
          <w:tab w:val="left" w:pos="7513"/>
        </w:tabs>
        <w:adjustRightInd w:val="0"/>
        <w:snapToGrid w:val="0"/>
        <w:spacing w:line="600" w:lineRule="exact"/>
        <w:ind w:firstLine="640" w:firstLineChars="200"/>
        <w:rPr>
          <w:rFonts w:hint="eastAsia" w:ascii="仿宋_GB2312" w:hAnsi="仿宋_GB2312" w:eastAsia="仿宋_GB2312" w:cs="仿宋_GB2312"/>
          <w:sz w:val="32"/>
          <w:szCs w:val="32"/>
        </w:rPr>
      </w:pPr>
    </w:p>
    <w:p w14:paraId="4F9959D6">
      <w:pPr>
        <w:pStyle w:val="4"/>
        <w:widowControl/>
        <w:spacing w:before="240" w:after="240" w:line="600" w:lineRule="atLeast"/>
        <w:ind w:firstLine="640"/>
        <w:jc w:val="left"/>
        <w:rPr>
          <w:rFonts w:ascii="Times New Roman" w:hAnsi="Times New Roman" w:eastAsia="Times New Roman" w:cs="Times New Roman"/>
          <w:kern w:val="0"/>
          <w:sz w:val="24"/>
        </w:rPr>
      </w:pPr>
      <w:r>
        <w:rPr>
          <w:rFonts w:ascii="黑体" w:hAnsi="黑体" w:eastAsia="黑体" w:cs="黑体"/>
          <w:kern w:val="0"/>
          <w:sz w:val="32"/>
          <w:szCs w:val="32"/>
        </w:rPr>
        <w:t>三、单位主要工作总结</w:t>
      </w:r>
    </w:p>
    <w:p w14:paraId="5484A911">
      <w:pPr>
        <w:spacing w:line="600" w:lineRule="exact"/>
        <w:ind w:firstLine="684" w:firstLineChars="200"/>
        <w:rPr>
          <w:rFonts w:hint="eastAsia" w:cs="仿宋_GB2312"/>
          <w:spacing w:val="11"/>
          <w:sz w:val="32"/>
          <w:szCs w:val="32"/>
          <w:lang w:val="en-US" w:eastAsia="zh-CN"/>
        </w:rPr>
      </w:pPr>
      <w:r>
        <w:rPr>
          <w:rFonts w:hint="eastAsia" w:ascii="Times New Roman" w:hAnsi="Times New Roman" w:eastAsia="仿宋_GB2312" w:cs="仿宋_GB2312"/>
          <w:color w:val="auto"/>
          <w:spacing w:val="11"/>
          <w:sz w:val="32"/>
          <w:szCs w:val="32"/>
          <w:lang w:val="en-US" w:eastAsia="zh-CN"/>
        </w:rPr>
        <w:t>2023</w:t>
      </w:r>
      <w:r>
        <w:rPr>
          <w:rFonts w:hint="eastAsia" w:ascii="仿宋_GB2312" w:hAnsi="仿宋_GB2312" w:eastAsia="仿宋_GB2312" w:cs="仿宋_GB2312"/>
          <w:color w:val="auto"/>
          <w:spacing w:val="11"/>
          <w:sz w:val="32"/>
          <w:szCs w:val="32"/>
          <w:lang w:val="en-US" w:eastAsia="zh-CN"/>
        </w:rPr>
        <w:t>年是全面贯彻落实党的二十大精神的开局之年，也是实施“十四五”规划承上启下的关键一年。</w:t>
      </w:r>
      <w:r>
        <w:rPr>
          <w:rFonts w:hint="eastAsia" w:ascii="仿宋_GB2312" w:hAnsi="仿宋_GB2312" w:eastAsia="仿宋_GB2312" w:cs="仿宋_GB2312"/>
          <w:spacing w:val="11"/>
          <w:sz w:val="32"/>
          <w:szCs w:val="32"/>
          <w:lang w:val="en-US" w:eastAsia="zh-CN"/>
        </w:rPr>
        <w:t>馆前镇在县委、县政府及镇党委的坚强领导下，全镇上下坚持以习近平新时代中国特色社会主义思想为指导，认真学习贯彻党的二十大精神，深入贯彻落实省委“深学争优、敢为争先、实干争效”行动要求和市委工作部署，持续“大抓招商、大抓产业、大抓项目”，积极开展“工业发展年”活动，踔厉奋发，勇毅前行，经济社会各项事业稳步推进</w:t>
      </w:r>
      <w:r>
        <w:rPr>
          <w:rFonts w:hint="eastAsia" w:cs="仿宋_GB2312"/>
          <w:spacing w:val="11"/>
          <w:sz w:val="32"/>
          <w:szCs w:val="32"/>
          <w:lang w:val="en-US" w:eastAsia="zh-CN"/>
        </w:rPr>
        <w:t>。</w:t>
      </w:r>
    </w:p>
    <w:p w14:paraId="10083C21">
      <w:pPr>
        <w:spacing w:line="600" w:lineRule="exact"/>
        <w:ind w:firstLine="684" w:firstLineChars="200"/>
        <w:rPr>
          <w:rFonts w:hint="eastAsia" w:ascii="仿宋_GB2312" w:hAnsi="仿宋_GB2312" w:eastAsia="仿宋_GB2312" w:cs="仿宋_GB2312"/>
          <w:spacing w:val="11"/>
          <w:sz w:val="32"/>
          <w:szCs w:val="32"/>
          <w:lang w:val="en-US" w:eastAsia="zh-CN"/>
        </w:rPr>
      </w:pPr>
      <w:r>
        <w:rPr>
          <w:rFonts w:hint="eastAsia" w:ascii="仿宋_GB2312" w:hAnsi="仿宋_GB2312" w:eastAsia="仿宋_GB2312" w:cs="仿宋_GB2312"/>
          <w:spacing w:val="11"/>
          <w:sz w:val="32"/>
          <w:szCs w:val="32"/>
          <w:lang w:val="en-US" w:eastAsia="zh-CN"/>
        </w:rPr>
        <w:t>围绕上述任务，重点完成了以下工作：</w:t>
      </w:r>
    </w:p>
    <w:p w14:paraId="6EA6A18B">
      <w:pPr>
        <w:keepNext w:val="0"/>
        <w:keepLines w:val="0"/>
        <w:pageBreakBefore w:val="0"/>
        <w:widowControl w:val="0"/>
        <w:kinsoku/>
        <w:wordWrap/>
        <w:overflowPunct/>
        <w:topLinePunct w:val="0"/>
        <w:autoSpaceDE/>
        <w:autoSpaceDN/>
        <w:bidi w:val="0"/>
        <w:adjustRightInd/>
        <w:snapToGrid/>
        <w:spacing w:line="540" w:lineRule="exact"/>
        <w:ind w:firstLine="687" w:firstLineChars="200"/>
        <w:jc w:val="both"/>
        <w:textAlignment w:val="auto"/>
        <w:outlineLvl w:val="1"/>
        <w:rPr>
          <w:rFonts w:hint="eastAsia" w:ascii="楷体_GB2312" w:hAnsi="楷体_GB2312" w:eastAsia="楷体_GB2312" w:cs="楷体_GB2312"/>
          <w:b/>
          <w:bCs/>
          <w:color w:val="auto"/>
          <w:spacing w:val="11"/>
          <w:sz w:val="32"/>
          <w:szCs w:val="32"/>
          <w:lang w:val="en-US" w:eastAsia="zh-CN"/>
        </w:rPr>
      </w:pPr>
      <w:r>
        <w:rPr>
          <w:rFonts w:hint="eastAsia" w:ascii="楷体_GB2312" w:hAnsi="楷体_GB2312" w:eastAsia="楷体_GB2312" w:cs="楷体_GB2312"/>
          <w:b/>
          <w:bCs/>
          <w:color w:val="auto"/>
          <w:spacing w:val="11"/>
          <w:sz w:val="32"/>
          <w:szCs w:val="32"/>
          <w:lang w:val="en-US" w:eastAsia="zh-CN"/>
        </w:rPr>
        <w:t>（一）固本强基、鹜谋发展，聚力推动综合实力更上新台阶</w:t>
      </w:r>
    </w:p>
    <w:p w14:paraId="54D8289D">
      <w:pPr>
        <w:keepNext w:val="0"/>
        <w:keepLines w:val="0"/>
        <w:pageBreakBefore w:val="0"/>
        <w:widowControl w:val="0"/>
        <w:kinsoku/>
        <w:wordWrap/>
        <w:overflowPunct/>
        <w:topLinePunct w:val="0"/>
        <w:autoSpaceDE/>
        <w:autoSpaceDN/>
        <w:bidi w:val="0"/>
        <w:adjustRightInd/>
        <w:snapToGrid/>
        <w:spacing w:line="540" w:lineRule="exact"/>
        <w:ind w:firstLine="684" w:firstLineChars="200"/>
        <w:jc w:val="both"/>
        <w:textAlignment w:val="auto"/>
        <w:outlineLvl w:val="1"/>
        <w:rPr>
          <w:rFonts w:hint="eastAsia" w:ascii="Times New Roman" w:hAnsi="Times New Roman" w:eastAsia="仿宋_GB2312" w:cs="仿宋_GB2312"/>
          <w:color w:val="auto"/>
          <w:spacing w:val="11"/>
          <w:kern w:val="2"/>
          <w:sz w:val="32"/>
          <w:szCs w:val="32"/>
          <w:lang w:val="en-US" w:eastAsia="zh-CN" w:bidi="ar-SA"/>
        </w:rPr>
      </w:pPr>
      <w:r>
        <w:rPr>
          <w:rFonts w:hint="eastAsia" w:ascii="Times New Roman" w:hAnsi="Times New Roman" w:eastAsia="仿宋_GB2312" w:cs="仿宋_GB2312"/>
          <w:color w:val="auto"/>
          <w:spacing w:val="11"/>
          <w:kern w:val="2"/>
          <w:sz w:val="32"/>
          <w:szCs w:val="32"/>
          <w:lang w:val="en-US" w:eastAsia="zh-CN" w:bidi="ar-SA"/>
        </w:rPr>
        <w:t>做好耕保“加减法”文章。“加法”，实施补充耕地、耕地“进出平衡”等项目，新增耕地面积14.32亩，其中新增水田面积7.96；完成耕地“进出平衡”7.04亩，基本农田补划4.13亩。“减法”，持续加大违法图斑整改力度，全年共整改2018年至2023年卫片图斑69宗，坚决遏制农村乱占耕地建房行为，同时积极防止耕地“非农化”、严格管控“非粮化”，全面落实耕地保护责任制，耕地保护工作见实效。</w:t>
      </w:r>
    </w:p>
    <w:p w14:paraId="4D383F71">
      <w:pPr>
        <w:pStyle w:val="25"/>
        <w:keepNext w:val="0"/>
        <w:keepLines w:val="0"/>
        <w:pageBreakBefore w:val="0"/>
        <w:widowControl/>
        <w:kinsoku/>
        <w:wordWrap/>
        <w:overflowPunct/>
        <w:topLinePunct w:val="0"/>
        <w:autoSpaceDE/>
        <w:autoSpaceDN/>
        <w:bidi w:val="0"/>
        <w:adjustRightInd/>
        <w:snapToGrid/>
        <w:spacing w:before="240" w:after="240" w:line="560" w:lineRule="exact"/>
        <w:ind w:firstLine="684" w:firstLineChars="200"/>
        <w:jc w:val="left"/>
        <w:textAlignment w:val="auto"/>
        <w:rPr>
          <w:rFonts w:hint="eastAsia" w:ascii="Times New Roman" w:hAnsi="Times New Roman" w:eastAsia="仿宋_GB2312" w:cs="仿宋_GB2312"/>
          <w:color w:val="auto"/>
          <w:spacing w:val="11"/>
          <w:kern w:val="2"/>
          <w:sz w:val="32"/>
          <w:szCs w:val="32"/>
          <w:lang w:val="en-US" w:eastAsia="zh-CN" w:bidi="ar-SA"/>
        </w:rPr>
      </w:pPr>
      <w:r>
        <w:rPr>
          <w:rFonts w:hint="eastAsia" w:ascii="Times New Roman" w:hAnsi="Times New Roman" w:eastAsia="仿宋_GB2312" w:cs="仿宋_GB2312"/>
          <w:color w:val="auto"/>
          <w:spacing w:val="11"/>
          <w:kern w:val="2"/>
          <w:sz w:val="32"/>
          <w:szCs w:val="32"/>
          <w:lang w:val="en-US" w:eastAsia="zh-CN" w:bidi="ar-SA"/>
        </w:rPr>
        <w:t>优势特色产业齐头并进。坚持把烟区建设作为群众致富增收的着力点，鼓励烟农增种致富，全镇种植烤烟13270亩，收购34500担，产值超7500万元。以“党建+合作社”为抓手，探索“经营主体+农户”模式的庭院经济类型，汀东村米粉标准化生产线项目产品通过SC认证，成功培育26户米粉加工庭院经济示范户，推动米粉产业标准化生产、品牌化发展，村集体、农户增收实现可持续。深化政企合作，开展米粉产业诚信经营创建活动，截止日前，城鑫食品有限公司米粉产量高达5500吨，销售额超4200万元，2023年荣获省级“产业化龙头企业”称号。</w:t>
      </w:r>
    </w:p>
    <w:p w14:paraId="0C732A29">
      <w:pPr>
        <w:pStyle w:val="25"/>
        <w:keepNext w:val="0"/>
        <w:keepLines w:val="0"/>
        <w:pageBreakBefore w:val="0"/>
        <w:widowControl/>
        <w:kinsoku/>
        <w:wordWrap/>
        <w:overflowPunct/>
        <w:topLinePunct w:val="0"/>
        <w:autoSpaceDE/>
        <w:autoSpaceDN/>
        <w:bidi w:val="0"/>
        <w:adjustRightInd/>
        <w:snapToGrid/>
        <w:spacing w:before="240" w:after="240" w:line="560" w:lineRule="exact"/>
        <w:ind w:firstLine="684" w:firstLineChars="200"/>
        <w:jc w:val="left"/>
        <w:textAlignment w:val="auto"/>
        <w:rPr>
          <w:rFonts w:hint="eastAsia" w:ascii="Times New Roman" w:hAnsi="Times New Roman" w:eastAsia="仿宋_GB2312" w:cs="仿宋_GB2312"/>
          <w:color w:val="auto"/>
          <w:spacing w:val="11"/>
          <w:kern w:val="2"/>
          <w:sz w:val="32"/>
          <w:szCs w:val="32"/>
          <w:lang w:val="en-US" w:eastAsia="zh-CN" w:bidi="ar-SA"/>
        </w:rPr>
      </w:pPr>
      <w:r>
        <w:rPr>
          <w:rFonts w:hint="eastAsia" w:ascii="Times New Roman" w:hAnsi="Times New Roman" w:eastAsia="仿宋_GB2312" w:cs="仿宋_GB2312"/>
          <w:color w:val="auto"/>
          <w:spacing w:val="11"/>
          <w:kern w:val="2"/>
          <w:sz w:val="32"/>
          <w:szCs w:val="32"/>
          <w:lang w:val="en-US" w:eastAsia="zh-CN" w:bidi="ar-SA"/>
        </w:rPr>
        <w:t>“一地多收”守牢粮食安全。构建“村党组织+企业+合作社+农户”的一体化联产联利模式，积极引导农户因地制宜，采取“烟（草）─（晚）稻─（蔬）菜”科学轮作套种的模式，向时间和空间要增量，支持农户利用冬闲田种植蔬菜，增加农户收入，全镇种植粮食播种面积26833亩，县级下达粮食生产任务完成比例103.18%，实现秋粮产量8520吨，辣椒、茄子、芥菜等各类蔬菜种植2600亩，产值超950万元。加快推进林下经济发展，全镇茯苓种植规模达1451亩、林蜂放养规模达1020余箱。</w:t>
      </w:r>
    </w:p>
    <w:p w14:paraId="0E30D22C">
      <w:pPr>
        <w:keepNext w:val="0"/>
        <w:keepLines w:val="0"/>
        <w:pageBreakBefore w:val="0"/>
        <w:widowControl w:val="0"/>
        <w:kinsoku/>
        <w:wordWrap/>
        <w:overflowPunct/>
        <w:topLinePunct w:val="0"/>
        <w:autoSpaceDE/>
        <w:autoSpaceDN/>
        <w:bidi w:val="0"/>
        <w:adjustRightInd/>
        <w:snapToGrid/>
        <w:spacing w:line="540" w:lineRule="exact"/>
        <w:ind w:firstLine="687" w:firstLineChars="200"/>
        <w:jc w:val="both"/>
        <w:textAlignment w:val="auto"/>
        <w:outlineLvl w:val="1"/>
        <w:rPr>
          <w:rFonts w:hint="eastAsia" w:ascii="楷体_GB2312" w:hAnsi="楷体_GB2312" w:eastAsia="楷体_GB2312" w:cs="楷体_GB2312"/>
          <w:b/>
          <w:bCs/>
          <w:color w:val="auto"/>
          <w:spacing w:val="11"/>
          <w:sz w:val="32"/>
          <w:szCs w:val="32"/>
          <w:lang w:val="en-US" w:eastAsia="zh-CN"/>
        </w:rPr>
      </w:pPr>
      <w:r>
        <w:rPr>
          <w:rFonts w:hint="eastAsia" w:ascii="楷体_GB2312" w:hAnsi="楷体_GB2312" w:eastAsia="楷体_GB2312" w:cs="楷体_GB2312"/>
          <w:b/>
          <w:bCs/>
          <w:color w:val="auto"/>
          <w:spacing w:val="11"/>
          <w:sz w:val="32"/>
          <w:szCs w:val="32"/>
          <w:lang w:val="en-US" w:eastAsia="zh-CN"/>
        </w:rPr>
        <w:t>（二）攻坚克难、高质高效，不断积蓄释放项目建设新动能</w:t>
      </w:r>
    </w:p>
    <w:p w14:paraId="0E041D86">
      <w:pPr>
        <w:pStyle w:val="25"/>
        <w:keepNext w:val="0"/>
        <w:keepLines w:val="0"/>
        <w:pageBreakBefore w:val="0"/>
        <w:widowControl/>
        <w:kinsoku/>
        <w:wordWrap/>
        <w:overflowPunct/>
        <w:topLinePunct w:val="0"/>
        <w:autoSpaceDE/>
        <w:autoSpaceDN/>
        <w:bidi w:val="0"/>
        <w:adjustRightInd/>
        <w:snapToGrid/>
        <w:spacing w:before="240" w:after="240" w:line="560" w:lineRule="exact"/>
        <w:ind w:firstLine="684" w:firstLineChars="200"/>
        <w:jc w:val="left"/>
        <w:textAlignment w:val="auto"/>
        <w:rPr>
          <w:rFonts w:hint="eastAsia" w:ascii="Times New Roman" w:hAnsi="Times New Roman" w:eastAsia="仿宋_GB2312" w:cs="仿宋_GB2312"/>
          <w:color w:val="auto"/>
          <w:spacing w:val="11"/>
          <w:kern w:val="2"/>
          <w:sz w:val="32"/>
          <w:szCs w:val="32"/>
          <w:lang w:val="en-US" w:eastAsia="zh-CN" w:bidi="ar-SA"/>
        </w:rPr>
      </w:pPr>
      <w:r>
        <w:rPr>
          <w:rFonts w:hint="eastAsia" w:ascii="Times New Roman" w:hAnsi="Times New Roman" w:eastAsia="仿宋_GB2312" w:cs="仿宋_GB2312"/>
          <w:color w:val="auto"/>
          <w:spacing w:val="11"/>
          <w:kern w:val="2"/>
          <w:sz w:val="32"/>
          <w:szCs w:val="32"/>
          <w:lang w:val="en-US" w:eastAsia="zh-CN" w:bidi="ar-SA"/>
        </w:rPr>
        <w:t>大力开展招商引资。持续推进招商引资工作，落实《馆前镇招商引资奖励办法》，坚持“一把手”抓经济，紧扣“工业发展年”活动主题，深化“大招商招好商”行动。今年以来，镇主要领导外出厦门、福州等地对接企业、部门16次，已签约投资额1.05亿元的长汀县智成食品速食米粉生产项目、投资额5000万元的年产3000套农副产品加工设备制造项目和精冠黄精米粉生产项目；完成规上工业、限上餐饮业入库各1家。</w:t>
      </w:r>
    </w:p>
    <w:p w14:paraId="77D5FD30">
      <w:pPr>
        <w:pStyle w:val="25"/>
        <w:keepNext w:val="0"/>
        <w:keepLines w:val="0"/>
        <w:pageBreakBefore w:val="0"/>
        <w:widowControl/>
        <w:kinsoku/>
        <w:wordWrap/>
        <w:overflowPunct/>
        <w:topLinePunct w:val="0"/>
        <w:autoSpaceDE/>
        <w:autoSpaceDN/>
        <w:bidi w:val="0"/>
        <w:adjustRightInd/>
        <w:snapToGrid/>
        <w:spacing w:before="240" w:after="240" w:line="560" w:lineRule="exact"/>
        <w:ind w:firstLine="684" w:firstLineChars="200"/>
        <w:jc w:val="left"/>
        <w:textAlignment w:val="auto"/>
        <w:rPr>
          <w:rFonts w:hint="eastAsia" w:ascii="Times New Roman" w:hAnsi="Times New Roman" w:eastAsia="仿宋_GB2312" w:cs="仿宋_GB2312"/>
          <w:color w:val="auto"/>
          <w:spacing w:val="11"/>
          <w:kern w:val="2"/>
          <w:sz w:val="32"/>
          <w:szCs w:val="32"/>
          <w:lang w:val="en-US" w:eastAsia="zh-CN" w:bidi="ar-SA"/>
        </w:rPr>
      </w:pPr>
      <w:r>
        <w:rPr>
          <w:rFonts w:hint="eastAsia" w:ascii="Times New Roman" w:hAnsi="Times New Roman" w:eastAsia="仿宋_GB2312" w:cs="仿宋_GB2312"/>
          <w:color w:val="auto"/>
          <w:spacing w:val="11"/>
          <w:kern w:val="2"/>
          <w:sz w:val="32"/>
          <w:szCs w:val="32"/>
          <w:lang w:val="en-US" w:eastAsia="zh-CN" w:bidi="ar-SA"/>
        </w:rPr>
        <w:t>全力攻坚重点项目。牢牢抓住项目建设这个“牛鼻子”,为我镇挂钩的县“百日攻坚”重点项目长汀县信合达医疗器械及康业医疗器械产业项目提供“妈妈式”服务，从项目招商引进至开工生产全方位为企业谋划，搭建企业与政府之间的沟通桥梁，2023年生产、销售规模增长明显；全年新增固定资产投资项目4个，实现固定资产投资额13493万元。</w:t>
      </w:r>
    </w:p>
    <w:p w14:paraId="20C278D8">
      <w:pPr>
        <w:pStyle w:val="25"/>
        <w:keepNext w:val="0"/>
        <w:keepLines w:val="0"/>
        <w:pageBreakBefore w:val="0"/>
        <w:widowControl/>
        <w:kinsoku/>
        <w:wordWrap/>
        <w:overflowPunct/>
        <w:topLinePunct w:val="0"/>
        <w:autoSpaceDE/>
        <w:autoSpaceDN/>
        <w:bidi w:val="0"/>
        <w:adjustRightInd/>
        <w:snapToGrid/>
        <w:spacing w:before="240" w:after="240" w:line="560" w:lineRule="exact"/>
        <w:ind w:firstLine="684" w:firstLineChars="200"/>
        <w:jc w:val="left"/>
        <w:textAlignment w:val="auto"/>
        <w:rPr>
          <w:rFonts w:hint="eastAsia" w:ascii="Times New Roman" w:hAnsi="Times New Roman" w:eastAsia="仿宋_GB2312" w:cs="仿宋_GB2312"/>
          <w:color w:val="auto"/>
          <w:spacing w:val="11"/>
          <w:kern w:val="2"/>
          <w:sz w:val="32"/>
          <w:szCs w:val="32"/>
          <w:lang w:val="en-US" w:eastAsia="zh-CN" w:bidi="ar-SA"/>
        </w:rPr>
      </w:pPr>
      <w:r>
        <w:rPr>
          <w:rFonts w:hint="eastAsia" w:ascii="Times New Roman" w:hAnsi="Times New Roman" w:eastAsia="仿宋_GB2312" w:cs="仿宋_GB2312"/>
          <w:color w:val="auto"/>
          <w:spacing w:val="11"/>
          <w:kern w:val="2"/>
          <w:sz w:val="32"/>
          <w:szCs w:val="32"/>
          <w:lang w:val="en-US" w:eastAsia="zh-CN" w:bidi="ar-SA"/>
        </w:rPr>
        <w:t>聚力向上争取资金。践行“脚底板工作法”，全面摸清自身底数，抢抓政策机遇，找准争取资金方向和切入点，今年以来，累计完成向上争取资金1201万元，其中2023年馆前镇生态保护修复（小流域综合治理）项目资金666万元，2023年中央自然灾害防治体系建设资金205万元，馆前镇游泳池建设资金50万元，馆前镇严坊村浪坑山塘水利设施建设项目40万元，省财政厅产业振兴发展项目资金240万元。</w:t>
      </w:r>
    </w:p>
    <w:p w14:paraId="7D12BF1B">
      <w:pPr>
        <w:keepNext w:val="0"/>
        <w:keepLines w:val="0"/>
        <w:pageBreakBefore w:val="0"/>
        <w:widowControl w:val="0"/>
        <w:kinsoku/>
        <w:wordWrap/>
        <w:overflowPunct/>
        <w:topLinePunct w:val="0"/>
        <w:autoSpaceDE/>
        <w:autoSpaceDN/>
        <w:bidi w:val="0"/>
        <w:adjustRightInd/>
        <w:snapToGrid/>
        <w:spacing w:line="540" w:lineRule="exact"/>
        <w:ind w:firstLine="687" w:firstLineChars="200"/>
        <w:jc w:val="both"/>
        <w:textAlignment w:val="auto"/>
        <w:outlineLvl w:val="1"/>
        <w:rPr>
          <w:rFonts w:hint="eastAsia" w:ascii="楷体_GB2312" w:hAnsi="楷体_GB2312" w:eastAsia="楷体_GB2312" w:cs="楷体_GB2312"/>
          <w:b/>
          <w:bCs/>
          <w:color w:val="auto"/>
          <w:spacing w:val="11"/>
          <w:sz w:val="32"/>
          <w:szCs w:val="32"/>
          <w:lang w:val="en-US" w:eastAsia="zh-CN"/>
        </w:rPr>
      </w:pPr>
      <w:r>
        <w:rPr>
          <w:rFonts w:hint="eastAsia" w:ascii="楷体_GB2312" w:hAnsi="楷体_GB2312" w:eastAsia="楷体_GB2312" w:cs="楷体_GB2312"/>
          <w:b/>
          <w:bCs/>
          <w:color w:val="auto"/>
          <w:spacing w:val="11"/>
          <w:sz w:val="32"/>
          <w:szCs w:val="32"/>
          <w:lang w:val="en-US" w:eastAsia="zh-CN"/>
        </w:rPr>
        <w:t>（三）闯关夺隘、精提品质，展现乡村振兴和美多姿新气象</w:t>
      </w:r>
    </w:p>
    <w:p w14:paraId="75B9A838">
      <w:pPr>
        <w:pStyle w:val="25"/>
        <w:keepNext w:val="0"/>
        <w:keepLines w:val="0"/>
        <w:pageBreakBefore w:val="0"/>
        <w:widowControl/>
        <w:kinsoku/>
        <w:wordWrap/>
        <w:overflowPunct/>
        <w:topLinePunct w:val="0"/>
        <w:autoSpaceDE/>
        <w:autoSpaceDN/>
        <w:bidi w:val="0"/>
        <w:adjustRightInd/>
        <w:snapToGrid/>
        <w:spacing w:before="240" w:after="240" w:line="560" w:lineRule="exact"/>
        <w:ind w:firstLine="684" w:firstLineChars="200"/>
        <w:jc w:val="left"/>
        <w:textAlignment w:val="auto"/>
        <w:rPr>
          <w:rFonts w:hint="eastAsia" w:ascii="Times New Roman" w:hAnsi="Times New Roman" w:eastAsia="仿宋_GB2312" w:cs="仿宋_GB2312"/>
          <w:color w:val="auto"/>
          <w:spacing w:val="11"/>
          <w:kern w:val="2"/>
          <w:sz w:val="32"/>
          <w:szCs w:val="32"/>
          <w:lang w:val="en-US" w:eastAsia="zh-CN" w:bidi="ar-SA"/>
        </w:rPr>
      </w:pPr>
      <w:r>
        <w:rPr>
          <w:rFonts w:hint="eastAsia" w:ascii="Times New Roman" w:hAnsi="Times New Roman" w:eastAsia="仿宋_GB2312" w:cs="仿宋_GB2312"/>
          <w:color w:val="auto"/>
          <w:spacing w:val="11"/>
          <w:kern w:val="2"/>
          <w:sz w:val="32"/>
          <w:szCs w:val="32"/>
          <w:lang w:val="en-US" w:eastAsia="zh-CN" w:bidi="ar-SA"/>
        </w:rPr>
        <w:t>守牢生态环境关。打好蓝天、碧水、净土保卫战，积极推行“河长制”，常态化、规范化开展河湖“四乱”整治，组建水质检测工作专班，完成断面水质检测14次，水质均达Ⅲ类以上。投资60余万元，治理入河排污口2处；争取长潭河陈莲河段流域治理工程建设项目落地，项目总投资2400余万元，水生态环境持续改善。落实“林长制”，扎实开展造林绿化工作，全年累计完成造林绿化1395亩、松林择伐抚育2065亩、封山育林1500亩；全力以赴防治松材线虫病，累计清除2899株枯死松木，办理防治性采伐2200余亩，切实维护馆前森林安全。</w:t>
      </w:r>
    </w:p>
    <w:p w14:paraId="48F09210">
      <w:pPr>
        <w:pStyle w:val="25"/>
        <w:keepNext w:val="0"/>
        <w:keepLines w:val="0"/>
        <w:pageBreakBefore w:val="0"/>
        <w:widowControl/>
        <w:kinsoku/>
        <w:wordWrap/>
        <w:overflowPunct/>
        <w:topLinePunct w:val="0"/>
        <w:autoSpaceDE/>
        <w:autoSpaceDN/>
        <w:bidi w:val="0"/>
        <w:adjustRightInd/>
        <w:snapToGrid/>
        <w:spacing w:before="240" w:after="240" w:line="560" w:lineRule="exact"/>
        <w:ind w:firstLine="684" w:firstLineChars="200"/>
        <w:jc w:val="left"/>
        <w:textAlignment w:val="auto"/>
        <w:rPr>
          <w:rFonts w:hint="eastAsia" w:ascii="Times New Roman" w:hAnsi="Times New Roman" w:eastAsia="仿宋_GB2312" w:cs="仿宋_GB2312"/>
          <w:color w:val="auto"/>
          <w:spacing w:val="11"/>
          <w:kern w:val="2"/>
          <w:sz w:val="32"/>
          <w:szCs w:val="32"/>
          <w:lang w:val="en-US" w:eastAsia="zh-CN" w:bidi="ar-SA"/>
        </w:rPr>
      </w:pPr>
      <w:r>
        <w:rPr>
          <w:rFonts w:hint="eastAsia" w:ascii="Times New Roman" w:hAnsi="Times New Roman" w:eastAsia="仿宋_GB2312" w:cs="仿宋_GB2312"/>
          <w:color w:val="auto"/>
          <w:spacing w:val="11"/>
          <w:kern w:val="2"/>
          <w:sz w:val="32"/>
          <w:szCs w:val="32"/>
          <w:lang w:val="en-US" w:eastAsia="zh-CN" w:bidi="ar-SA"/>
        </w:rPr>
        <w:t>突破基础设施关。总投资800万元，建成验收馆前镇农业综合开发高标准农田建设项目，惠及汀东、陈莲、东庄等5个村。总投资685万元，建设长汀县汀东重点中型灌区续建配套及节水改造项目，改善灌溉面积3800亩，惠及复兴、马坪、坪埔、严坊等8个村。总投资1217万元，建设珊坑至王家、云峰至井口、马坪至坪埔、禾漂树下-寨下等道路11.36公里，交通路网更加完善。累计投资940余万元，实施集镇道路“白改黑”、人行道改造提升、管网线下地、集镇农贸市场改造提升项目等，实现集镇品质整体提升。</w:t>
      </w:r>
    </w:p>
    <w:p w14:paraId="3578660A">
      <w:pPr>
        <w:keepNext w:val="0"/>
        <w:keepLines w:val="0"/>
        <w:pageBreakBefore w:val="0"/>
        <w:widowControl w:val="0"/>
        <w:kinsoku/>
        <w:wordWrap/>
        <w:overflowPunct/>
        <w:topLinePunct w:val="0"/>
        <w:autoSpaceDE/>
        <w:autoSpaceDN/>
        <w:bidi w:val="0"/>
        <w:adjustRightInd/>
        <w:snapToGrid/>
        <w:spacing w:line="540" w:lineRule="exact"/>
        <w:ind w:firstLine="687" w:firstLineChars="200"/>
        <w:jc w:val="both"/>
        <w:textAlignment w:val="auto"/>
        <w:outlineLvl w:val="1"/>
        <w:rPr>
          <w:rFonts w:hint="eastAsia" w:ascii="楷体_GB2312" w:hAnsi="楷体_GB2312" w:eastAsia="楷体_GB2312" w:cs="楷体_GB2312"/>
          <w:b/>
          <w:bCs/>
          <w:color w:val="auto"/>
          <w:spacing w:val="11"/>
          <w:sz w:val="32"/>
          <w:szCs w:val="32"/>
          <w:lang w:val="en-US" w:eastAsia="zh-CN"/>
        </w:rPr>
      </w:pPr>
      <w:r>
        <w:rPr>
          <w:rFonts w:hint="eastAsia" w:ascii="楷体_GB2312" w:hAnsi="楷体_GB2312" w:eastAsia="楷体_GB2312" w:cs="楷体_GB2312"/>
          <w:b/>
          <w:bCs/>
          <w:color w:val="auto"/>
          <w:spacing w:val="11"/>
          <w:sz w:val="32"/>
          <w:szCs w:val="32"/>
          <w:lang w:val="en-US" w:eastAsia="zh-CN"/>
        </w:rPr>
        <w:t>（四）厚植情怀、执政为民，扎实增进民生福祉迈出新步伐</w:t>
      </w:r>
    </w:p>
    <w:p w14:paraId="0F36F26E">
      <w:pPr>
        <w:pStyle w:val="25"/>
        <w:keepNext w:val="0"/>
        <w:keepLines w:val="0"/>
        <w:pageBreakBefore w:val="0"/>
        <w:widowControl/>
        <w:kinsoku/>
        <w:wordWrap/>
        <w:overflowPunct/>
        <w:topLinePunct w:val="0"/>
        <w:autoSpaceDE/>
        <w:autoSpaceDN/>
        <w:bidi w:val="0"/>
        <w:adjustRightInd/>
        <w:snapToGrid/>
        <w:spacing w:before="240" w:after="240" w:line="560" w:lineRule="exact"/>
        <w:ind w:firstLine="684" w:firstLineChars="200"/>
        <w:jc w:val="left"/>
        <w:textAlignment w:val="auto"/>
        <w:rPr>
          <w:rFonts w:hint="eastAsia" w:ascii="Times New Roman" w:hAnsi="Times New Roman" w:eastAsia="仿宋_GB2312" w:cs="仿宋_GB2312"/>
          <w:color w:val="auto"/>
          <w:spacing w:val="11"/>
          <w:kern w:val="2"/>
          <w:sz w:val="32"/>
          <w:szCs w:val="32"/>
          <w:lang w:val="en-US" w:eastAsia="zh-CN" w:bidi="ar-SA"/>
        </w:rPr>
      </w:pPr>
      <w:r>
        <w:rPr>
          <w:rFonts w:hint="eastAsia" w:ascii="Times New Roman" w:hAnsi="Times New Roman" w:eastAsia="仿宋_GB2312" w:cs="仿宋_GB2312"/>
          <w:color w:val="auto"/>
          <w:spacing w:val="11"/>
          <w:kern w:val="2"/>
          <w:sz w:val="32"/>
          <w:szCs w:val="32"/>
          <w:lang w:val="en-US" w:eastAsia="zh-CN" w:bidi="ar-SA"/>
        </w:rPr>
        <w:t>社会保障兜牢底线。巩固拓展脱贫攻坚成果同乡村振兴有效衔接，累计发放各类补助资金136.38万元，着力发展庭院经济，成功培育汀东村、复兴村、严坊村3个庭院经济示范村、36个示范户、1个经营主体。落实好低保惠民政策，累计发放低保救助救济金、特困金等各类救助（补贴）330余万元。深入推进“全民参保计划”，扩大养老保险覆盖面，养老保险续保率、城乡医疗保险参保率持续稳定。扎实推进退役军人服务，为269人申办退役军人优待证，发放优抚资金52.1万元。</w:t>
      </w:r>
    </w:p>
    <w:p w14:paraId="263B7274">
      <w:pPr>
        <w:pStyle w:val="25"/>
        <w:keepNext w:val="0"/>
        <w:keepLines w:val="0"/>
        <w:pageBreakBefore w:val="0"/>
        <w:widowControl/>
        <w:kinsoku/>
        <w:wordWrap/>
        <w:overflowPunct/>
        <w:topLinePunct w:val="0"/>
        <w:autoSpaceDE/>
        <w:autoSpaceDN/>
        <w:bidi w:val="0"/>
        <w:adjustRightInd/>
        <w:snapToGrid/>
        <w:spacing w:before="240" w:after="240" w:line="560" w:lineRule="exact"/>
        <w:ind w:firstLine="684" w:firstLineChars="200"/>
        <w:jc w:val="left"/>
        <w:textAlignment w:val="auto"/>
        <w:rPr>
          <w:rFonts w:hint="eastAsia" w:ascii="Times New Roman" w:hAnsi="Times New Roman" w:eastAsia="仿宋_GB2312" w:cs="仿宋_GB2312"/>
          <w:color w:val="auto"/>
          <w:spacing w:val="11"/>
          <w:kern w:val="2"/>
          <w:sz w:val="32"/>
          <w:szCs w:val="32"/>
          <w:lang w:val="en-US" w:eastAsia="zh-CN" w:bidi="ar-SA"/>
        </w:rPr>
      </w:pPr>
      <w:r>
        <w:rPr>
          <w:rFonts w:hint="eastAsia" w:ascii="Times New Roman" w:hAnsi="Times New Roman" w:eastAsia="仿宋_GB2312" w:cs="仿宋_GB2312"/>
          <w:color w:val="auto"/>
          <w:spacing w:val="11"/>
          <w:kern w:val="2"/>
          <w:sz w:val="32"/>
          <w:szCs w:val="32"/>
          <w:lang w:val="en-US" w:eastAsia="zh-CN" w:bidi="ar-SA"/>
        </w:rPr>
        <w:t>民生事业持续改善。汀东村长者食堂建成投入运营，累计建成幸福院13座，幸福院覆盖率达93%，超额完成农村幸福院覆盖任务目标，“老有所养”更加贴心。教育水平稳中有升，投入40万元改善馆前中学宿舍、多媒体教室等基础设施，教学条件不断向好，馆前中学高分完成定向生指标，14人达到定向线，馆前中心学校荣获“2023年教学教研常规管理评估校一等奖”“龙岩市教育工作成绩突出单位”等荣誉。完成第五次全国经济前期清查工作。</w:t>
      </w:r>
    </w:p>
    <w:p w14:paraId="12D42FC7">
      <w:pPr>
        <w:pStyle w:val="25"/>
        <w:keepNext w:val="0"/>
        <w:keepLines w:val="0"/>
        <w:pageBreakBefore w:val="0"/>
        <w:widowControl/>
        <w:kinsoku/>
        <w:wordWrap/>
        <w:overflowPunct/>
        <w:topLinePunct w:val="0"/>
        <w:autoSpaceDE/>
        <w:autoSpaceDN/>
        <w:bidi w:val="0"/>
        <w:adjustRightInd/>
        <w:snapToGrid/>
        <w:spacing w:before="240" w:after="240" w:line="560" w:lineRule="exact"/>
        <w:ind w:firstLine="684" w:firstLineChars="200"/>
        <w:jc w:val="left"/>
        <w:textAlignment w:val="auto"/>
        <w:rPr>
          <w:rFonts w:hint="eastAsia" w:ascii="Times New Roman" w:hAnsi="Times New Roman" w:eastAsia="仿宋_GB2312" w:cs="仿宋_GB2312"/>
          <w:color w:val="auto"/>
          <w:spacing w:val="11"/>
          <w:kern w:val="2"/>
          <w:sz w:val="32"/>
          <w:szCs w:val="32"/>
          <w:lang w:val="en-US" w:eastAsia="zh-CN" w:bidi="ar-SA"/>
        </w:rPr>
      </w:pPr>
    </w:p>
    <w:p w14:paraId="21032366">
      <w:pPr>
        <w:pStyle w:val="25"/>
        <w:keepNext w:val="0"/>
        <w:keepLines w:val="0"/>
        <w:pageBreakBefore w:val="0"/>
        <w:widowControl/>
        <w:kinsoku/>
        <w:wordWrap/>
        <w:overflowPunct/>
        <w:topLinePunct w:val="0"/>
        <w:autoSpaceDE/>
        <w:autoSpaceDN/>
        <w:bidi w:val="0"/>
        <w:adjustRightInd/>
        <w:snapToGrid/>
        <w:spacing w:before="240" w:after="240" w:line="560" w:lineRule="exact"/>
        <w:ind w:firstLine="684" w:firstLineChars="200"/>
        <w:jc w:val="left"/>
        <w:textAlignment w:val="auto"/>
        <w:rPr>
          <w:rFonts w:hint="eastAsia" w:ascii="Times New Roman" w:hAnsi="Times New Roman" w:eastAsia="仿宋_GB2312" w:cs="仿宋_GB2312"/>
          <w:color w:val="auto"/>
          <w:spacing w:val="11"/>
          <w:kern w:val="2"/>
          <w:sz w:val="32"/>
          <w:szCs w:val="32"/>
          <w:lang w:val="en-US" w:eastAsia="zh-CN" w:bidi="ar-SA"/>
        </w:rPr>
      </w:pPr>
    </w:p>
    <w:p w14:paraId="4BF2710A">
      <w:pPr>
        <w:pStyle w:val="25"/>
        <w:keepNext w:val="0"/>
        <w:keepLines w:val="0"/>
        <w:pageBreakBefore w:val="0"/>
        <w:widowControl/>
        <w:kinsoku/>
        <w:wordWrap/>
        <w:overflowPunct/>
        <w:topLinePunct w:val="0"/>
        <w:autoSpaceDE/>
        <w:autoSpaceDN/>
        <w:bidi w:val="0"/>
        <w:adjustRightInd/>
        <w:snapToGrid/>
        <w:spacing w:before="240" w:after="240" w:line="560" w:lineRule="exact"/>
        <w:ind w:firstLine="684" w:firstLineChars="200"/>
        <w:jc w:val="left"/>
        <w:textAlignment w:val="auto"/>
        <w:rPr>
          <w:rFonts w:hint="eastAsia" w:ascii="Times New Roman" w:hAnsi="Times New Roman" w:eastAsia="仿宋_GB2312" w:cs="仿宋_GB2312"/>
          <w:color w:val="auto"/>
          <w:spacing w:val="11"/>
          <w:kern w:val="2"/>
          <w:sz w:val="32"/>
          <w:szCs w:val="32"/>
          <w:lang w:val="en-US" w:eastAsia="zh-CN" w:bidi="ar-SA"/>
        </w:rPr>
      </w:pPr>
    </w:p>
    <w:p w14:paraId="2B0C4CC6">
      <w:pPr>
        <w:pStyle w:val="25"/>
        <w:keepNext w:val="0"/>
        <w:keepLines w:val="0"/>
        <w:pageBreakBefore w:val="0"/>
        <w:widowControl/>
        <w:kinsoku/>
        <w:wordWrap/>
        <w:overflowPunct/>
        <w:topLinePunct w:val="0"/>
        <w:autoSpaceDE/>
        <w:autoSpaceDN/>
        <w:bidi w:val="0"/>
        <w:adjustRightInd/>
        <w:snapToGrid/>
        <w:spacing w:before="240" w:after="240" w:line="560" w:lineRule="exact"/>
        <w:ind w:firstLine="684" w:firstLineChars="200"/>
        <w:jc w:val="left"/>
        <w:textAlignment w:val="auto"/>
        <w:rPr>
          <w:rFonts w:hint="eastAsia" w:ascii="Times New Roman" w:hAnsi="Times New Roman" w:eastAsia="仿宋_GB2312" w:cs="仿宋_GB2312"/>
          <w:color w:val="auto"/>
          <w:spacing w:val="11"/>
          <w:kern w:val="2"/>
          <w:sz w:val="32"/>
          <w:szCs w:val="32"/>
          <w:lang w:val="en-US" w:eastAsia="zh-CN" w:bidi="ar-SA"/>
        </w:rPr>
      </w:pPr>
    </w:p>
    <w:p w14:paraId="57D356C8">
      <w:pPr>
        <w:pStyle w:val="25"/>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56"/>
          <w:szCs w:val="56"/>
        </w:rPr>
        <w:t>第二部分 </w:t>
      </w:r>
    </w:p>
    <w:p w14:paraId="7115CC73">
      <w:pPr>
        <w:pStyle w:val="25"/>
        <w:widowControl/>
        <w:spacing w:before="240" w:after="240"/>
        <w:jc w:val="center"/>
        <w:rPr>
          <w:rFonts w:ascii="Times New Roman" w:hAnsi="Times New Roman" w:eastAsia="Times New Roman" w:cs="Times New Roman"/>
          <w:kern w:val="0"/>
          <w:sz w:val="24"/>
        </w:rPr>
      </w:pPr>
      <w:r>
        <w:rPr>
          <w:rFonts w:ascii="黑体" w:hAnsi="黑体" w:eastAsia="黑体" w:cs="黑体"/>
          <w:kern w:val="0"/>
          <w:sz w:val="56"/>
          <w:szCs w:val="56"/>
        </w:rPr>
        <w:t>2023年度决算表</w:t>
      </w:r>
    </w:p>
    <w:p w14:paraId="2A1C7475">
      <w:pPr>
        <w:pStyle w:val="32"/>
        <w:widowControl/>
        <w:spacing w:before="240" w:after="240"/>
        <w:ind w:left="720" w:hanging="720"/>
        <w:jc w:val="left"/>
        <w:rPr>
          <w:rFonts w:ascii="Times New Roman" w:hAnsi="Times New Roman" w:eastAsia="Times New Roman" w:cs="Times New Roman"/>
          <w:kern w:val="0"/>
          <w:sz w:val="24"/>
        </w:rPr>
      </w:pPr>
      <w:r>
        <w:rPr>
          <w:rFonts w:ascii="黑体" w:hAnsi="黑体" w:eastAsia="黑体" w:cs="黑体"/>
          <w:kern w:val="0"/>
          <w:sz w:val="32"/>
          <w:szCs w:val="32"/>
        </w:rPr>
        <w:t xml:space="preserve">一、 收入支出决算总表 </w:t>
      </w:r>
    </w:p>
    <w:p w14:paraId="25976EFB">
      <w:pPr>
        <w:sectPr>
          <w:footerReference r:id="rId3" w:type="default"/>
          <w:pgMar w:top="1440" w:right="1800" w:bottom="1440" w:left="1800" w:header="720" w:footer="720" w:gutter="0"/>
          <w:pgBorders>
            <w:top w:val="none" w:sz="0" w:space="0"/>
            <w:left w:val="none" w:sz="0" w:space="0"/>
            <w:bottom w:val="none" w:sz="0" w:space="0"/>
            <w:right w:val="none" w:sz="0" w:space="0"/>
          </w:pgBorders>
          <w:cols w:space="720" w:num="1"/>
        </w:sectPr>
      </w:pPr>
    </w:p>
    <w:p w14:paraId="0CD61DB6">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20"/>
        <w:tblW w:w="5000" w:type="pct"/>
        <w:tblInd w:w="20" w:type="dxa"/>
        <w:tblLayout w:type="fixed"/>
        <w:tblCellMar>
          <w:top w:w="15" w:type="dxa"/>
          <w:left w:w="15" w:type="dxa"/>
          <w:bottom w:w="15" w:type="dxa"/>
          <w:right w:w="15" w:type="dxa"/>
        </w:tblCellMar>
      </w:tblPr>
      <w:tblGrid>
        <w:gridCol w:w="4322"/>
        <w:gridCol w:w="2089"/>
        <w:gridCol w:w="4137"/>
        <w:gridCol w:w="2275"/>
      </w:tblGrid>
      <w:tr w14:paraId="5A4B4FA0">
        <w:tblPrEx>
          <w:tblCellMar>
            <w:top w:w="15" w:type="dxa"/>
            <w:left w:w="15" w:type="dxa"/>
            <w:bottom w:w="15" w:type="dxa"/>
            <w:right w:w="15" w:type="dxa"/>
          </w:tblCellMar>
        </w:tblPrEx>
        <w:trPr>
          <w:tblHeader/>
        </w:trPr>
        <w:tc>
          <w:tcPr>
            <w:gridSpan w:val="4"/>
            <w:noWrap w:val="0"/>
            <w:tcMar>
              <w:top w:w="20" w:type="dxa"/>
              <w:left w:w="20" w:type="dxa"/>
              <w:bottom w:w="20" w:type="dxa"/>
              <w:right w:w="20" w:type="dxa"/>
            </w:tcMar>
            <w:vAlign w:val="center"/>
          </w:tcPr>
          <w:p w14:paraId="7877F373">
            <w:pPr>
              <w:widowControl/>
              <w:spacing w:line="900" w:lineRule="atLeast"/>
              <w:jc w:val="center"/>
              <w:rPr>
                <w:rFonts w:ascii="Times New Roman" w:hAnsi="Times New Roman" w:eastAsia="Times New Roman" w:cs="Times New Roman"/>
                <w:b w:val="0"/>
                <w:bCs w:val="0"/>
                <w:i w:val="0"/>
                <w:iCs w:val="0"/>
                <w:smallCaps w:val="0"/>
                <w:color w:val="000000"/>
                <w:kern w:val="0"/>
                <w:sz w:val="27"/>
                <w:szCs w:val="27"/>
              </w:rPr>
            </w:pPr>
            <w:r>
              <w:rPr>
                <w:rFonts w:ascii="Times New Roman" w:hAnsi="Times New Roman" w:eastAsia="Times New Roman" w:cs="Times New Roman"/>
                <w:b w:val="0"/>
                <w:bCs w:val="0"/>
                <w:i w:val="0"/>
                <w:iCs w:val="0"/>
                <w:smallCaps w:val="0"/>
                <w:color w:val="000000"/>
                <w:kern w:val="0"/>
                <w:sz w:val="27"/>
                <w:szCs w:val="27"/>
              </w:rPr>
              <w:t>收入支出决算总表</w:t>
            </w:r>
          </w:p>
        </w:tc>
      </w:tr>
      <w:tr w14:paraId="12FEA92E">
        <w:tblPrEx>
          <w:tblCellMar>
            <w:top w:w="15" w:type="dxa"/>
            <w:left w:w="15" w:type="dxa"/>
            <w:bottom w:w="15" w:type="dxa"/>
            <w:right w:w="15" w:type="dxa"/>
          </w:tblCellMar>
        </w:tblPrEx>
        <w:trPr>
          <w:tblHeader/>
        </w:trPr>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752D5B2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1AC975C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68ECD5B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5E24CDB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公开01表</w:t>
            </w:r>
          </w:p>
        </w:tc>
      </w:tr>
      <w:tr w14:paraId="379EC59A">
        <w:tblPrEx>
          <w:tblCellMar>
            <w:top w:w="15" w:type="dxa"/>
            <w:left w:w="15" w:type="dxa"/>
            <w:bottom w:w="15" w:type="dxa"/>
            <w:right w:w="15" w:type="dxa"/>
          </w:tblCellMar>
        </w:tblPrEx>
        <w:tc>
          <w:tcPr>
            <w:tcW w:w="21600" w:type="dxa"/>
            <w:gridSpan w:val="2"/>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7D7173C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编制单位：长汀县馆前镇人民政府（汇总）</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077BD5F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1418680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单位：万元</w:t>
            </w:r>
          </w:p>
        </w:tc>
      </w:tr>
      <w:tr w14:paraId="3B147221">
        <w:tblPrEx>
          <w:tblCellMar>
            <w:top w:w="15" w:type="dxa"/>
            <w:left w:w="15" w:type="dxa"/>
            <w:bottom w:w="15" w:type="dxa"/>
            <w:right w:w="15" w:type="dxa"/>
          </w:tblCellMar>
        </w:tblPrEx>
        <w:tc>
          <w:tcPr>
            <w:tcW w:w="21600" w:type="dxa"/>
            <w:gridSpan w:val="2"/>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5F1111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收入</w:t>
            </w:r>
          </w:p>
        </w:tc>
        <w:tc>
          <w:tcPr>
            <w:tcW w:w="21600" w:type="dxa"/>
            <w:gridSpan w:val="2"/>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31970F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支出</w:t>
            </w:r>
          </w:p>
        </w:tc>
      </w:tr>
      <w:tr w14:paraId="3801F07E">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884343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6D7875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决算数</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84109B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项目(按支出功能分类)</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608C98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决算数</w:t>
            </w:r>
          </w:p>
        </w:tc>
      </w:tr>
      <w:tr w14:paraId="774D59DB">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0196A3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一、一般公共预算财政拨款收入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EED05B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1,568.42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9873AF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一、一般公共服务支出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C1742C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1,085.1</w:t>
            </w:r>
          </w:p>
        </w:tc>
      </w:tr>
      <w:tr w14:paraId="207C015B">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D5001D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二、政府性基金预算财政拨款收入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86FB84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44B48B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二、外交支出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93B4EE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A07A636">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7365C2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三、国有资本经营预算财政拨款收入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E84C8A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F5C48D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三、国防支出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69A19C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511F84FF">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14F5AF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四、上级补助收入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851FC4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FD92A0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四、公共安全支出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BC1750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709D001">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94B509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五、事业收入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3FCFEB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607B51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五、教育支出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16FBB8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1A9B98A4">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B3CDF5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六、经营收入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8F5D67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89B51F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六、科学技术支出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EA0D08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0.4</w:t>
            </w:r>
          </w:p>
        </w:tc>
      </w:tr>
      <w:tr w14:paraId="6F92437F">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399D85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七、附属单位上缴收入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712670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E800EE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七、文化旅游体育与传媒支出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36898E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6E9C1937">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9FC69C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八、其他收入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9989C2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355.16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AE668F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八、社会保障和就业支出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3C393E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155.77</w:t>
            </w:r>
          </w:p>
        </w:tc>
      </w:tr>
      <w:tr w14:paraId="1B0FDE7D">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D724F2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38D0CA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D33FF0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九、卫生健康支出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A1EBB8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47.09</w:t>
            </w:r>
          </w:p>
        </w:tc>
      </w:tr>
      <w:tr w14:paraId="7DAEC91C">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36D0C4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1F219C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2D8C03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B79EEA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381.29</w:t>
            </w:r>
          </w:p>
        </w:tc>
      </w:tr>
      <w:tr w14:paraId="51B98D67">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5658BF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409C34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547E7E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十一、城乡社区支出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19C0B1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652EAE09">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4EF00C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E289FA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18AA0B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十二、农林水支出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3A6DC9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680.09</w:t>
            </w:r>
          </w:p>
        </w:tc>
      </w:tr>
      <w:tr w14:paraId="358BECC4">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CE33DE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65B1B0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5F2D97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十三、交通运输支出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F36833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3C9049DE">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1406E8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347BFD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825083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十四、资源勘探工业信息等支出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90F8DB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7EA0DA32">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2C765E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C7701E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C5EF53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十五、商业服务业等支出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2099B1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2F31FA0">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A26F05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12D8CE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D07DDF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十六、金融支出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0B338A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0A4F1E9">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DAC207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47F996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2DDC3D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十七、援助其他地区支出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A441C8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6DD6C67B">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D79E12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8B702A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11A79B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十八、自然资源海洋气象等支出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961285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24.01</w:t>
            </w:r>
          </w:p>
        </w:tc>
      </w:tr>
      <w:tr w14:paraId="49735734">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BC7DAC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EC669D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4A6F95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十九、住房保障支出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8AB05A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38.18</w:t>
            </w:r>
          </w:p>
        </w:tc>
      </w:tr>
      <w:tr w14:paraId="6A46D423">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940465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179776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0428BC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二十、粮油物资储备支出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C3480F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37FC146B">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B84A8C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29411D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7098F1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二十一、国有资本经营预算支出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1CBA53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D50AD4C">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DE1F10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637187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5EA071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二十二、灾害防治及应急管理支出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0B8C43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3F06A7A0">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F00D39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68BE32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E79D28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二十三、其他支出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0957E1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380F6AB1">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B9D1F1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9CD481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5CEA01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二十四、债务还本支出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77795A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124CB7C5">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344585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ACDF65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1C5709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二十五、债务付息支出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AA6C13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66800CAE">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82F71E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52D68D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ADB172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二十六、抗疫特别国债安排的支出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12E896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D72C996">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49D02C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本年收入合计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CF8A82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1,923.58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31DF98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本年支出合计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1E8C18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2,411.93</w:t>
            </w:r>
          </w:p>
        </w:tc>
      </w:tr>
      <w:tr w14:paraId="5CF8145A">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035AB9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使用非财政拨款结余（含专用结余）</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F899CD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398538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结余分配</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FB3239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4ED4D6C6">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AA32C5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年初结转和结余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7E057A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866.74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48D633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年末结转和结余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8DA48A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378.39</w:t>
            </w:r>
          </w:p>
        </w:tc>
      </w:tr>
      <w:tr w14:paraId="321B56BA">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5BA812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2D49D8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3A68C2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8F09C1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7C3E9C8B">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38D19D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总计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FA1E2B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2,790.32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CB0078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总计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C98C1E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2,790.32</w:t>
            </w:r>
          </w:p>
        </w:tc>
      </w:tr>
    </w:tbl>
    <w:p w14:paraId="6CA5F858">
      <w:pPr>
        <w:pStyle w:val="33"/>
        <w:widowControl/>
        <w:spacing w:before="240" w:after="240"/>
        <w:jc w:val="left"/>
        <w:rPr>
          <w:rFonts w:ascii="Times New Roman" w:hAnsi="Times New Roman" w:eastAsia="Times New Roman" w:cs="Times New Roman"/>
          <w:kern w:val="0"/>
          <w:sz w:val="24"/>
        </w:rPr>
      </w:pPr>
      <w:r>
        <w:rPr>
          <w:rFonts w:ascii="宋体" w:hAnsi="宋体" w:cs="宋体"/>
          <w:kern w:val="0"/>
          <w:sz w:val="24"/>
        </w:rPr>
        <w:t>注：</w:t>
      </w:r>
      <w:r>
        <w:rPr>
          <w:rFonts w:eastAsia="Times New Roman"/>
          <w:kern w:val="0"/>
          <w:sz w:val="24"/>
        </w:rPr>
        <w:t xml:space="preserve">1. </w:t>
      </w:r>
      <w:r>
        <w:rPr>
          <w:rFonts w:ascii="宋体" w:hAnsi="宋体" w:cs="宋体"/>
          <w:kern w:val="0"/>
          <w:sz w:val="24"/>
        </w:rPr>
        <w:t>本表反映单位本年度的总收支和年末结转结余情况。</w:t>
      </w:r>
    </w:p>
    <w:p w14:paraId="2661AC5C">
      <w:pPr>
        <w:pStyle w:val="33"/>
        <w:widowControl/>
        <w:spacing w:before="240" w:after="240"/>
        <w:ind w:firstLine="480"/>
        <w:jc w:val="left"/>
        <w:rPr>
          <w:rFonts w:ascii="Times New Roman" w:hAnsi="Times New Roman" w:eastAsia="Times New Roman" w:cs="Times New Roman"/>
          <w:kern w:val="0"/>
          <w:sz w:val="24"/>
        </w:rPr>
      </w:pPr>
      <w:r>
        <w:rPr>
          <w:rFonts w:eastAsia="Times New Roman"/>
          <w:kern w:val="0"/>
          <w:sz w:val="24"/>
        </w:rPr>
        <w:t>2.</w:t>
      </w:r>
      <w:r>
        <w:rPr>
          <w:rFonts w:ascii="黑体....." w:hAnsi="黑体....." w:eastAsia="黑体....." w:cs="黑体....."/>
          <w:kern w:val="0"/>
          <w:sz w:val="24"/>
        </w:rPr>
        <w:t> </w:t>
      </w:r>
      <w:r>
        <w:rPr>
          <w:rFonts w:ascii="宋体" w:hAnsi="宋体" w:cs="宋体"/>
          <w:kern w:val="0"/>
          <w:sz w:val="24"/>
        </w:rPr>
        <w:t>本套报表金额单位转换时可能存在尾数误差。</w:t>
      </w:r>
    </w:p>
    <w:p w14:paraId="6FD01C50">
      <w:pPr>
        <w:pStyle w:val="32"/>
        <w:widowControl/>
        <w:spacing w:before="240" w:after="240"/>
        <w:ind w:left="720" w:firstLine="0"/>
        <w:jc w:val="left"/>
        <w:rPr>
          <w:rFonts w:ascii="Times New Roman" w:hAnsi="Times New Roman" w:eastAsia="Times New Roman" w:cs="Times New Roman"/>
          <w:kern w:val="0"/>
          <w:sz w:val="24"/>
        </w:rPr>
      </w:pPr>
      <w:r>
        <w:rPr>
          <w:rFonts w:ascii="黑体" w:hAnsi="黑体" w:eastAsia="黑体" w:cs="黑体"/>
          <w:kern w:val="0"/>
          <w:sz w:val="32"/>
          <w:szCs w:val="32"/>
        </w:rPr>
        <w:t> </w:t>
      </w:r>
    </w:p>
    <w:p w14:paraId="144A10E3">
      <w:pPr>
        <w:pStyle w:val="32"/>
        <w:widowControl/>
        <w:spacing w:before="240" w:after="240"/>
        <w:ind w:left="720" w:hanging="720"/>
        <w:jc w:val="left"/>
        <w:rPr>
          <w:rFonts w:ascii="Times New Roman" w:hAnsi="Times New Roman" w:eastAsia="Times New Roman" w:cs="Times New Roman"/>
          <w:kern w:val="0"/>
          <w:sz w:val="24"/>
        </w:rPr>
      </w:pPr>
      <w:r>
        <w:rPr>
          <w:rFonts w:ascii="黑体" w:hAnsi="黑体" w:eastAsia="黑体" w:cs="黑体"/>
          <w:kern w:val="0"/>
          <w:sz w:val="32"/>
          <w:szCs w:val="32"/>
        </w:rPr>
        <w:t xml:space="preserve">二、 收入决算表 </w:t>
      </w:r>
    </w:p>
    <w:p w14:paraId="17A9B4E6">
      <w:pPr>
        <w:sectPr>
          <w:pgSz w:w="16383" w:h="11906" w:orient="landscape"/>
          <w:pgMar w:top="1440" w:right="1800" w:bottom="1440" w:left="1800" w:header="720" w:footer="720" w:gutter="0"/>
          <w:pgBorders>
            <w:top w:val="none" w:sz="0" w:space="0"/>
            <w:left w:val="none" w:sz="0" w:space="0"/>
            <w:bottom w:val="none" w:sz="0" w:space="0"/>
            <w:right w:val="none" w:sz="0" w:space="0"/>
          </w:pgBorders>
          <w:cols w:space="720" w:num="1"/>
        </w:sectPr>
      </w:pPr>
    </w:p>
    <w:p w14:paraId="0DBF5DB3">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20"/>
        <w:tblW w:w="5000" w:type="pct"/>
        <w:tblInd w:w="20" w:type="dxa"/>
        <w:tblLayout w:type="fixed"/>
        <w:tblCellMar>
          <w:top w:w="15" w:type="dxa"/>
          <w:left w:w="15" w:type="dxa"/>
          <w:bottom w:w="15" w:type="dxa"/>
          <w:right w:w="15" w:type="dxa"/>
        </w:tblCellMar>
      </w:tblPr>
      <w:tblGrid>
        <w:gridCol w:w="841"/>
        <w:gridCol w:w="841"/>
        <w:gridCol w:w="841"/>
        <w:gridCol w:w="2562"/>
        <w:gridCol w:w="1152"/>
        <w:gridCol w:w="1152"/>
        <w:gridCol w:w="1152"/>
        <w:gridCol w:w="935"/>
        <w:gridCol w:w="935"/>
        <w:gridCol w:w="1368"/>
        <w:gridCol w:w="1043"/>
      </w:tblGrid>
      <w:tr w14:paraId="5637AB27">
        <w:tblPrEx>
          <w:tblCellMar>
            <w:top w:w="15" w:type="dxa"/>
            <w:left w:w="15" w:type="dxa"/>
            <w:bottom w:w="15" w:type="dxa"/>
            <w:right w:w="15" w:type="dxa"/>
          </w:tblCellMar>
        </w:tblPrEx>
        <w:trPr>
          <w:tblHeader/>
        </w:trPr>
        <w:tc>
          <w:tcPr>
            <w:gridSpan w:val="11"/>
            <w:noWrap w:val="0"/>
            <w:tcMar>
              <w:top w:w="20" w:type="dxa"/>
              <w:left w:w="20" w:type="dxa"/>
              <w:bottom w:w="20" w:type="dxa"/>
              <w:right w:w="20" w:type="dxa"/>
            </w:tcMar>
            <w:vAlign w:val="center"/>
          </w:tcPr>
          <w:p w14:paraId="735A34A7">
            <w:pPr>
              <w:widowControl/>
              <w:spacing w:line="900" w:lineRule="atLeast"/>
              <w:jc w:val="center"/>
              <w:rPr>
                <w:rFonts w:ascii="Times New Roman" w:hAnsi="Times New Roman" w:eastAsia="Times New Roman" w:cs="Times New Roman"/>
                <w:b w:val="0"/>
                <w:bCs w:val="0"/>
                <w:i w:val="0"/>
                <w:iCs w:val="0"/>
                <w:smallCaps w:val="0"/>
                <w:color w:val="000000"/>
                <w:kern w:val="0"/>
                <w:sz w:val="27"/>
                <w:szCs w:val="27"/>
              </w:rPr>
            </w:pPr>
            <w:r>
              <w:rPr>
                <w:rFonts w:ascii="Times New Roman" w:hAnsi="Times New Roman" w:eastAsia="Times New Roman" w:cs="Times New Roman"/>
                <w:b w:val="0"/>
                <w:bCs w:val="0"/>
                <w:i w:val="0"/>
                <w:iCs w:val="0"/>
                <w:smallCaps w:val="0"/>
                <w:color w:val="000000"/>
                <w:kern w:val="0"/>
                <w:sz w:val="27"/>
                <w:szCs w:val="27"/>
              </w:rPr>
              <w:t>收入决算表</w:t>
            </w:r>
          </w:p>
        </w:tc>
      </w:tr>
      <w:tr w14:paraId="2604419B">
        <w:tblPrEx>
          <w:tblCellMar>
            <w:top w:w="15" w:type="dxa"/>
            <w:left w:w="15" w:type="dxa"/>
            <w:bottom w:w="15" w:type="dxa"/>
            <w:right w:w="15" w:type="dxa"/>
          </w:tblCellMar>
        </w:tblPrEx>
        <w:trPr>
          <w:tblHeader/>
        </w:trPr>
        <w:tc>
          <w:tcPr>
            <w:tcW w:w="5295"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5C23C60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5295"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170F099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5295"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49B2A22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3887DC7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11318C1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693BA05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1649615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38066A3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0F0F031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48C4AD7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5DD5349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公开02表</w:t>
            </w:r>
          </w:p>
        </w:tc>
      </w:tr>
      <w:tr w14:paraId="04EFC5AB">
        <w:tblPrEx>
          <w:tblCellMar>
            <w:top w:w="15" w:type="dxa"/>
            <w:left w:w="15" w:type="dxa"/>
            <w:bottom w:w="15" w:type="dxa"/>
            <w:right w:w="15" w:type="dxa"/>
          </w:tblCellMar>
        </w:tblPrEx>
        <w:tc>
          <w:tcPr>
            <w:tcW w:w="5295" w:type="dxa"/>
            <w:gridSpan w:val="5"/>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4391553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编制单位：长汀县馆前镇人民政府（汇总）</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0EBD424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5071546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774AC1D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625A95E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5B4AF44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01E7CC6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单位：万元</w:t>
            </w:r>
          </w:p>
        </w:tc>
      </w:tr>
      <w:tr w14:paraId="43F09FB7">
        <w:tblPrEx>
          <w:tblCellMar>
            <w:top w:w="15" w:type="dxa"/>
            <w:left w:w="15" w:type="dxa"/>
            <w:bottom w:w="15" w:type="dxa"/>
            <w:right w:w="15" w:type="dxa"/>
          </w:tblCellMar>
        </w:tblPrEx>
        <w:tc>
          <w:tcPr>
            <w:tcW w:w="5295" w:type="dxa"/>
            <w:gridSpan w:val="4"/>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F69DEB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857573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本年收入合计</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EBAC5C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财政拨款收入 </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99283F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上级补助收入</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B1CC31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事业收入</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128708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经营收入</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4EDC50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附属单位上缴收入</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68A98E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其他收入</w:t>
            </w:r>
          </w:p>
        </w:tc>
      </w:tr>
      <w:tr w14:paraId="72E80F58">
        <w:tblPrEx>
          <w:tblCellMar>
            <w:top w:w="15" w:type="dxa"/>
            <w:left w:w="15" w:type="dxa"/>
            <w:bottom w:w="15" w:type="dxa"/>
            <w:right w:w="15" w:type="dxa"/>
          </w:tblCellMar>
        </w:tblPrEx>
        <w:tc>
          <w:tcPr>
            <w:tcW w:w="5295" w:type="dxa"/>
            <w:gridSpan w:val="3"/>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F3B877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支出功能分类科目编码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29A671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科目名称</w:t>
            </w:r>
          </w:p>
        </w:tc>
        <w:tc>
          <w:tcPr>
            <w:vMerge w:val="continue"/>
            <w:tcBorders>
              <w:top w:val="single" w:color="000000" w:sz="6" w:space="0"/>
              <w:left w:val="single" w:color="000000" w:sz="6" w:space="0"/>
              <w:bottom w:val="single" w:color="000000" w:sz="6" w:space="0"/>
              <w:right w:val="single" w:color="000000" w:sz="6" w:space="0"/>
            </w:tcBorders>
            <w:vAlign w:val="center"/>
          </w:tcPr>
          <w:p w14:paraId="68AD9751">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72EFBFB6">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3C6E54F0">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79335E6A">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37ED61DC">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54D756E4">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2F22D45B">
            <w:pPr>
              <w:rPr>
                <w:rFonts w:ascii="Times New Roman" w:hAnsi="Times New Roman" w:eastAsia="Times New Roman" w:cs="Times New Roman"/>
                <w:b w:val="0"/>
                <w:bCs w:val="0"/>
                <w:i w:val="0"/>
                <w:iCs w:val="0"/>
                <w:smallCaps w:val="0"/>
                <w:color w:val="000000"/>
                <w:kern w:val="0"/>
                <w:sz w:val="26"/>
                <w:szCs w:val="26"/>
              </w:rPr>
            </w:pPr>
          </w:p>
        </w:tc>
      </w:tr>
      <w:tr w14:paraId="7F11B7F4">
        <w:tblPrEx>
          <w:tblCellMar>
            <w:top w:w="15" w:type="dxa"/>
            <w:left w:w="15" w:type="dxa"/>
            <w:bottom w:w="15" w:type="dxa"/>
            <w:right w:w="15" w:type="dxa"/>
          </w:tblCellMar>
        </w:tblPrEx>
        <w:tc>
          <w:tcPr>
            <w:gridSpan w:val="3"/>
            <w:vMerge w:val="continue"/>
            <w:tcBorders>
              <w:top w:val="single" w:color="000000" w:sz="6" w:space="0"/>
              <w:left w:val="single" w:color="000000" w:sz="6" w:space="0"/>
              <w:bottom w:val="single" w:color="000000" w:sz="6" w:space="0"/>
              <w:right w:val="single" w:color="000000" w:sz="6" w:space="0"/>
            </w:tcBorders>
            <w:vAlign w:val="center"/>
          </w:tcPr>
          <w:p w14:paraId="2912B365">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7D492C14">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30682E0F">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15F7F8E9">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6D0DDE17">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34551D2B">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03B28C14">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49E3ADA1">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193C0108">
            <w:pPr>
              <w:rPr>
                <w:rFonts w:ascii="Times New Roman" w:hAnsi="Times New Roman" w:eastAsia="Times New Roman" w:cs="Times New Roman"/>
                <w:b w:val="0"/>
                <w:bCs w:val="0"/>
                <w:i w:val="0"/>
                <w:iCs w:val="0"/>
                <w:smallCaps w:val="0"/>
                <w:color w:val="000000"/>
                <w:kern w:val="0"/>
                <w:sz w:val="26"/>
                <w:szCs w:val="26"/>
              </w:rPr>
            </w:pPr>
          </w:p>
        </w:tc>
      </w:tr>
      <w:tr w14:paraId="7EE32A07">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44CEAE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类</w:t>
            </w:r>
          </w:p>
        </w:tc>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BA37DA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款</w:t>
            </w:r>
          </w:p>
        </w:tc>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9BAC7A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9CB274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617F59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1,923.58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4165D2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1,568.42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163080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EB8B50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17C98D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41A769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2A0238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355.16</w:t>
            </w:r>
          </w:p>
        </w:tc>
      </w:tr>
      <w:tr w14:paraId="785387E8">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907AD4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D38167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E8DCF9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1,002.05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FA8C2D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647.02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45E855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1CCC0B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DA3D09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1CF8BC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D065DE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355.03</w:t>
            </w:r>
          </w:p>
        </w:tc>
      </w:tr>
      <w:tr w14:paraId="09F1B715">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8E8B98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20103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79BF4E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政府办公厅（室）及相关机构事务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02C748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1,002.05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DE2B15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647.02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728B38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B6EE69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D1EC20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6796F7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800692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355.03</w:t>
            </w:r>
          </w:p>
        </w:tc>
      </w:tr>
      <w:tr w14:paraId="79EF92B6">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F81012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2010301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2417B3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行政运行</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442C33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531.71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402B20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421.51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1E2872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020A87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11F77F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C7418C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4D9837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110.2</w:t>
            </w:r>
          </w:p>
        </w:tc>
      </w:tr>
      <w:tr w14:paraId="1DA02725">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78BBB9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2010350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2A740A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事业运行</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9CDBF6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254.82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5DF263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225.52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98A3DE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944467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B1E1CF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0945A8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27C983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29.31</w:t>
            </w:r>
          </w:p>
        </w:tc>
      </w:tr>
      <w:tr w14:paraId="6FD1781E">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C9FEFD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2010399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E2A5DC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其他政府办公厅（室）及相关机构事务支出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087DA1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215.52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C61E71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AF45E4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06B2F5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EDCE44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41F7CE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B2498F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215.52</w:t>
            </w:r>
          </w:p>
        </w:tc>
      </w:tr>
      <w:tr w14:paraId="64DE5561">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E961EF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02CBE0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科学技术支出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F9EF65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354EAD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2366DF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C15105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95A0B8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1503AD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0977C0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A85E430">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B70CEF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20699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EA462F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其他科学技术支出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609052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163B0E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984A81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593656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1E2792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00D509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7EF671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1230BE2C">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53360B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2069999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CF758D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其他科学技术支出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5681D1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3DCAAB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21E1E5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57F2BD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3C1E0F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3CCF54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E0B3C3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58CC0DBA">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DB0822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7D6E87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B40347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155.77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B5C1D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155.64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FA5CAE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58E5C5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C33FDE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371398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EB1800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0.13</w:t>
            </w:r>
          </w:p>
        </w:tc>
      </w:tr>
      <w:tr w14:paraId="0576BCD6">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5C7B9C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20805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8F631B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行政事业单位养老支出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E1D8D6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90.77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6E2356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90.63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019D06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FBB0AC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60911A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5887FC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329699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0.13</w:t>
            </w:r>
          </w:p>
        </w:tc>
      </w:tr>
      <w:tr w14:paraId="23F93297">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BB4B9A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2080505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6EEDA4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机关事业单位基本养老保险缴费支出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B38EF0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75.27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E96B4A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75.27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D3C0DC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3FB1DE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519CD1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14902A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6E68FC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070FAD7">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A968CA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2080506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9B382B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机关事业单位职业年金缴费支出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B868EE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D276DB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15.36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6BC706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2F6541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B7F4D0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1EECBA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398EDF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0.13</w:t>
            </w:r>
          </w:p>
        </w:tc>
      </w:tr>
      <w:tr w14:paraId="6506D856">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136CF7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20808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800930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抚恤</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642F45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61.18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FAD4F6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61.18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AEE0F6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CE96E5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EF67BD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B65101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345F6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ABB89C7">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61B952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2080801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07FF3D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死亡抚恤</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8C4F1B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61.18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0D67FD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61.18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1ACF63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7D331C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A1946C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869B48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EA6C2E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4291220">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ABD0B4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20899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A923AB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FD59FC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463515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2206FE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673569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973A15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E88665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037134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39444C8C">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3E6E91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2089999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6E6F13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2449E8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75D275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5DC16B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4F7933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DB2F68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0AA4BD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839C5D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34648C0F">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F752AA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8F120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ACEAFF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47.09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93A852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47.09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FED77E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BB436D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CC4271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3A9901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A6550C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F43F9F0">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07AB95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21011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DE5517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行政事业单位医疗</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B68A3B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47.09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AF37B0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47.09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EC01B7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716630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76765B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143CB0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C29CFE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5BBF79F8">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F36E38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2101101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97049E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行政单位医疗</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C470B4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47.09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99EEF5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47.09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CCD221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6BCC8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8EE33C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BDCD11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78D819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8E6C5A0">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DD74B5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0FC446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农林水支出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01AA8C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680.09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10B759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680.09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0D60DE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090894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8CA91E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0C75C5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B1500D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A989CC8">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39AE75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BE4C6A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农业农村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2A9E10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483.31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404E32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483.31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42D205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6F02CD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B7E10D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1365C9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A8A566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30E299F6">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0B8E3C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2130199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03D714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其他农业农村支出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2C4B45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483.31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A599F0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483.31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C306F2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E6C35D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CFCEC8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FA8489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EA0539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7169C418">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8F2DC1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7370B1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农村综合改革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CF10A0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196.78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599C29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196.78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01C77E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9431D4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5189B9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B02B4C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50C148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13156AE3">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3DE62D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2130705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2E9E62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对村民委员会和村党支部的补助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6DB9BB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196.78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5223FF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196.78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4F3954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108E48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ED2416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5F60EC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BE473C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DD38AAF">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3F268D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0AE550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住房保障支出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FC5CEA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74474C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3DB189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16DAFF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432D76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07B7BC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654FE5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7F958B1">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A0AF45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22102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943ECD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住房改革支出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468021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ADAA19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F39AFB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4406DB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AFAA69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63D19B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7B0D7A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189BB77C">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BC86AC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2210201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7F076F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住房公积金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C41B69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1EF59A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53EE25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C3ECAE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D3C622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C47E16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5C2BD2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bl>
    <w:p w14:paraId="3265CEB9">
      <w:pPr>
        <w:pStyle w:val="33"/>
        <w:widowControl/>
        <w:spacing w:before="240" w:after="240"/>
        <w:jc w:val="left"/>
        <w:rPr>
          <w:rFonts w:ascii="Times New Roman" w:hAnsi="Times New Roman" w:eastAsia="Times New Roman" w:cs="Times New Roman"/>
          <w:kern w:val="0"/>
          <w:sz w:val="24"/>
        </w:rPr>
      </w:pPr>
      <w:r>
        <w:rPr>
          <w:rFonts w:ascii="宋体" w:hAnsi="宋体" w:cs="宋体"/>
          <w:kern w:val="0"/>
          <w:sz w:val="24"/>
        </w:rPr>
        <w:t>注：本表反映单位本年度取得的各项收入情况。</w:t>
      </w:r>
    </w:p>
    <w:p w14:paraId="191A15E5">
      <w:pPr>
        <w:pStyle w:val="32"/>
        <w:widowControl/>
        <w:spacing w:before="240" w:after="240"/>
        <w:ind w:left="720" w:firstLine="0"/>
        <w:jc w:val="left"/>
        <w:rPr>
          <w:rFonts w:ascii="Times New Roman" w:hAnsi="Times New Roman" w:eastAsia="Times New Roman" w:cs="Times New Roman"/>
          <w:kern w:val="0"/>
          <w:sz w:val="24"/>
        </w:rPr>
      </w:pPr>
      <w:r>
        <w:rPr>
          <w:rFonts w:ascii="黑体" w:hAnsi="黑体" w:eastAsia="黑体" w:cs="黑体"/>
          <w:kern w:val="0"/>
          <w:sz w:val="32"/>
          <w:szCs w:val="32"/>
        </w:rPr>
        <w:t> </w:t>
      </w:r>
    </w:p>
    <w:p w14:paraId="5010D89F">
      <w:pPr>
        <w:pStyle w:val="32"/>
        <w:widowControl/>
        <w:spacing w:before="240" w:after="240"/>
        <w:ind w:left="720" w:hanging="720"/>
        <w:jc w:val="left"/>
        <w:rPr>
          <w:rFonts w:ascii="Times New Roman" w:hAnsi="Times New Roman" w:eastAsia="Times New Roman" w:cs="Times New Roman"/>
          <w:kern w:val="0"/>
          <w:sz w:val="24"/>
        </w:rPr>
      </w:pPr>
      <w:r>
        <w:rPr>
          <w:rFonts w:ascii="黑体" w:hAnsi="黑体" w:eastAsia="黑体" w:cs="黑体"/>
          <w:kern w:val="0"/>
          <w:sz w:val="32"/>
          <w:szCs w:val="32"/>
        </w:rPr>
        <w:t>三、 支出决算表</w:t>
      </w:r>
    </w:p>
    <w:p w14:paraId="4A24D13A">
      <w:pPr>
        <w:sectPr>
          <w:pgSz w:w="16383" w:h="11906" w:orient="landscape"/>
          <w:pgMar w:top="1440" w:right="1800" w:bottom="1440" w:left="1800" w:header="720" w:footer="720" w:gutter="0"/>
          <w:pgBorders>
            <w:top w:val="none" w:sz="0" w:space="0"/>
            <w:left w:val="none" w:sz="0" w:space="0"/>
            <w:bottom w:val="none" w:sz="0" w:space="0"/>
            <w:right w:val="none" w:sz="0" w:space="0"/>
          </w:pgBorders>
          <w:cols w:space="720" w:num="1"/>
        </w:sectPr>
      </w:pPr>
    </w:p>
    <w:p w14:paraId="3FEEA751">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20"/>
        <w:tblW w:w="5000" w:type="pct"/>
        <w:tblInd w:w="20" w:type="dxa"/>
        <w:tblLayout w:type="fixed"/>
        <w:tblCellMar>
          <w:top w:w="15" w:type="dxa"/>
          <w:left w:w="15" w:type="dxa"/>
          <w:bottom w:w="15" w:type="dxa"/>
          <w:right w:w="15" w:type="dxa"/>
        </w:tblCellMar>
      </w:tblPr>
      <w:tblGrid>
        <w:gridCol w:w="839"/>
        <w:gridCol w:w="839"/>
        <w:gridCol w:w="839"/>
        <w:gridCol w:w="2727"/>
        <w:gridCol w:w="1610"/>
        <w:gridCol w:w="1372"/>
        <w:gridCol w:w="941"/>
        <w:gridCol w:w="1179"/>
        <w:gridCol w:w="941"/>
        <w:gridCol w:w="1538"/>
      </w:tblGrid>
      <w:tr w14:paraId="46558E9E">
        <w:tblPrEx>
          <w:tblCellMar>
            <w:top w:w="15" w:type="dxa"/>
            <w:left w:w="15" w:type="dxa"/>
            <w:bottom w:w="15" w:type="dxa"/>
            <w:right w:w="15" w:type="dxa"/>
          </w:tblCellMar>
        </w:tblPrEx>
        <w:trPr>
          <w:tblHeader/>
        </w:trPr>
        <w:tc>
          <w:tcPr>
            <w:gridSpan w:val="10"/>
            <w:noWrap w:val="0"/>
            <w:tcMar>
              <w:top w:w="20" w:type="dxa"/>
              <w:left w:w="20" w:type="dxa"/>
              <w:bottom w:w="20" w:type="dxa"/>
              <w:right w:w="20" w:type="dxa"/>
            </w:tcMar>
            <w:vAlign w:val="center"/>
          </w:tcPr>
          <w:p w14:paraId="001F7EA1">
            <w:pPr>
              <w:widowControl/>
              <w:spacing w:line="900" w:lineRule="atLeast"/>
              <w:jc w:val="center"/>
              <w:rPr>
                <w:rFonts w:ascii="Times New Roman" w:hAnsi="Times New Roman" w:eastAsia="Times New Roman" w:cs="Times New Roman"/>
                <w:b w:val="0"/>
                <w:bCs w:val="0"/>
                <w:i w:val="0"/>
                <w:iCs w:val="0"/>
                <w:smallCaps w:val="0"/>
                <w:color w:val="000000"/>
                <w:kern w:val="0"/>
                <w:sz w:val="27"/>
                <w:szCs w:val="27"/>
              </w:rPr>
            </w:pPr>
            <w:r>
              <w:rPr>
                <w:rFonts w:ascii="Times New Roman" w:hAnsi="Times New Roman" w:eastAsia="Times New Roman" w:cs="Times New Roman"/>
                <w:b w:val="0"/>
                <w:bCs w:val="0"/>
                <w:i w:val="0"/>
                <w:iCs w:val="0"/>
                <w:smallCaps w:val="0"/>
                <w:color w:val="000000"/>
                <w:kern w:val="0"/>
                <w:sz w:val="27"/>
                <w:szCs w:val="27"/>
              </w:rPr>
              <w:t>支出决算表</w:t>
            </w:r>
          </w:p>
        </w:tc>
      </w:tr>
      <w:tr w14:paraId="39805A72">
        <w:tblPrEx>
          <w:tblCellMar>
            <w:top w:w="15" w:type="dxa"/>
            <w:left w:w="15" w:type="dxa"/>
            <w:bottom w:w="15" w:type="dxa"/>
            <w:right w:w="15" w:type="dxa"/>
          </w:tblCellMar>
        </w:tblPrEx>
        <w:trPr>
          <w:tblHeader/>
        </w:trPr>
        <w:tc>
          <w:tcPr>
            <w:tcW w:w="5295"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285FFC0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5295"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60FD3A8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5295"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2966C62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3D59466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2163C3E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41E4189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345E9C8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4C0C8A4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09058F1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4B645A3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公开03表</w:t>
            </w:r>
          </w:p>
        </w:tc>
      </w:tr>
      <w:tr w14:paraId="5A05B2B4">
        <w:tblPrEx>
          <w:tblCellMar>
            <w:top w:w="15" w:type="dxa"/>
            <w:left w:w="15" w:type="dxa"/>
            <w:bottom w:w="15" w:type="dxa"/>
            <w:right w:w="15" w:type="dxa"/>
          </w:tblCellMar>
        </w:tblPrEx>
        <w:trPr>
          <w:tblHeader/>
        </w:trPr>
        <w:tc>
          <w:tcPr>
            <w:tcW w:w="5295" w:type="dxa"/>
            <w:gridSpan w:val="5"/>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47FC873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编制单位：长汀县馆前镇人民政府（汇总）</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700CB8B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3CE272A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56FE350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78B2C06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7C48193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单位：万元</w:t>
            </w:r>
          </w:p>
        </w:tc>
      </w:tr>
      <w:tr w14:paraId="6C6CDD8F">
        <w:tblPrEx>
          <w:tblCellMar>
            <w:top w:w="15" w:type="dxa"/>
            <w:left w:w="15" w:type="dxa"/>
            <w:bottom w:w="15" w:type="dxa"/>
            <w:right w:w="15" w:type="dxa"/>
          </w:tblCellMar>
        </w:tblPrEx>
        <w:trPr>
          <w:tblHeader/>
        </w:trPr>
        <w:tc>
          <w:tcPr>
            <w:tcW w:w="5295" w:type="dxa"/>
            <w:gridSpan w:val="4"/>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806DB0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35285A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本年支出合计</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917394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基本支出</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EC8838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项目支出</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81848B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上缴上级支出</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7008C8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经营支出</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DE5ACF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对附属单位补助支出</w:t>
            </w:r>
          </w:p>
        </w:tc>
      </w:tr>
      <w:tr w14:paraId="0C8ACC4C">
        <w:tblPrEx>
          <w:tblCellMar>
            <w:top w:w="15" w:type="dxa"/>
            <w:left w:w="15" w:type="dxa"/>
            <w:bottom w:w="15" w:type="dxa"/>
            <w:right w:w="15" w:type="dxa"/>
          </w:tblCellMar>
        </w:tblPrEx>
        <w:trPr>
          <w:tblHeader/>
        </w:trPr>
        <w:tc>
          <w:tcPr>
            <w:tcW w:w="5295" w:type="dxa"/>
            <w:gridSpan w:val="3"/>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7A0936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支出功能分类科目编码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BB3761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科目名称</w:t>
            </w:r>
          </w:p>
        </w:tc>
        <w:tc>
          <w:tcPr>
            <w:vMerge w:val="restart"/>
            <w:tcBorders>
              <w:top w:val="single" w:color="000000" w:sz="6" w:space="0"/>
              <w:left w:val="single" w:color="000000" w:sz="6" w:space="0"/>
              <w:bottom w:val="single" w:color="000000" w:sz="6" w:space="0"/>
              <w:right w:val="single" w:color="000000" w:sz="6" w:space="0"/>
            </w:tcBorders>
            <w:vAlign w:val="center"/>
          </w:tcPr>
          <w:p w14:paraId="0E115D74">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4EA3EC7D">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0D6EDCA2">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3FFC9554">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1F9FA8F7">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4EFFE763">
            <w:pPr>
              <w:rPr>
                <w:rFonts w:ascii="Times New Roman" w:hAnsi="Times New Roman" w:eastAsia="Times New Roman" w:cs="Times New Roman"/>
                <w:b w:val="0"/>
                <w:bCs w:val="0"/>
                <w:i w:val="0"/>
                <w:iCs w:val="0"/>
                <w:smallCaps w:val="0"/>
                <w:color w:val="000000"/>
                <w:kern w:val="0"/>
                <w:sz w:val="26"/>
                <w:szCs w:val="26"/>
              </w:rPr>
            </w:pPr>
          </w:p>
        </w:tc>
      </w:tr>
      <w:tr w14:paraId="0CED5582">
        <w:tblPrEx>
          <w:tblCellMar>
            <w:top w:w="15" w:type="dxa"/>
            <w:left w:w="15" w:type="dxa"/>
            <w:bottom w:w="15" w:type="dxa"/>
            <w:right w:w="15" w:type="dxa"/>
          </w:tblCellMar>
        </w:tblPrEx>
        <w:trPr>
          <w:tblHeader/>
        </w:trPr>
        <w:tc>
          <w:tcPr>
            <w:gridSpan w:val="3"/>
            <w:vMerge w:val="continue"/>
            <w:tcBorders>
              <w:top w:val="single" w:color="000000" w:sz="6" w:space="0"/>
              <w:left w:val="single" w:color="000000" w:sz="6" w:space="0"/>
              <w:bottom w:val="single" w:color="000000" w:sz="6" w:space="0"/>
              <w:right w:val="single" w:color="000000" w:sz="6" w:space="0"/>
            </w:tcBorders>
            <w:vAlign w:val="center"/>
          </w:tcPr>
          <w:p w14:paraId="18CDE3A1">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6B0C2A53">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40C2BA32">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2CAF2BD4">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545DF037">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054498B0">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3A3081B7">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73376A0C">
            <w:pPr>
              <w:rPr>
                <w:rFonts w:ascii="Times New Roman" w:hAnsi="Times New Roman" w:eastAsia="Times New Roman" w:cs="Times New Roman"/>
                <w:b w:val="0"/>
                <w:bCs w:val="0"/>
                <w:i w:val="0"/>
                <w:iCs w:val="0"/>
                <w:smallCaps w:val="0"/>
                <w:color w:val="000000"/>
                <w:kern w:val="0"/>
                <w:sz w:val="26"/>
                <w:szCs w:val="26"/>
              </w:rPr>
            </w:pPr>
          </w:p>
        </w:tc>
      </w:tr>
      <w:tr w14:paraId="74633F12">
        <w:tblPrEx>
          <w:tblCellMar>
            <w:top w:w="15" w:type="dxa"/>
            <w:left w:w="15" w:type="dxa"/>
            <w:bottom w:w="15" w:type="dxa"/>
            <w:right w:w="15" w:type="dxa"/>
          </w:tblCellMar>
        </w:tblPrEx>
        <w:trPr>
          <w:tblHeader/>
        </w:trPr>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A2AC05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类</w:t>
            </w:r>
          </w:p>
        </w:tc>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CC8D59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款</w:t>
            </w:r>
          </w:p>
        </w:tc>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D13B26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61BACA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F8B235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2,411.93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7606B9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2,006.63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6E070E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405.3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01551A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DDF53D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C2C29D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546CE5F8">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BC46A3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940355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981405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1,085.1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9B52A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1,085.1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BB5F59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16AE22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B92BE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6FAAA2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3D21EE03">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AD4FAB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20103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DA3BE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政府办公厅（室）及相关机构事务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937528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1,085.1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C47934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1,085.1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BFAEDE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8AA1F4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770340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1AA8E1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597A9D6A">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479703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2010301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607F8F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行政运行</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B77593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530.52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16CAEE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530.52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645F1E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AF252C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F5F7F6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A9B5FA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1CFB4DD0">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E43156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2010350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6121F6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事业运行</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1C7D5B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254.82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B8218A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254.82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673997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7A8284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20CBCD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2ACAE2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1728E865">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E2A85C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2010399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F46B69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其他政府办公厅（室）及相关机构事务支出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F554AA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299.76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AA3834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299.76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90384A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CC046B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FC4C54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91A00A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317CEBDB">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40A257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621CB1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科学技术支出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5D1476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BD7970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EA9D13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9A0916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ED37DF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90372B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797F18F8">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FEADC9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20699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E54509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其他科学技术支出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F23F64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F3FE09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994500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585D9E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F92FA9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AA33E2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1E03B972">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0B799F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2069999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120B07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其他科学技术支出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8C2925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75444F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22E3C3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8E504C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ACBF73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454F49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02E3362">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7936FB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05B906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6A3C60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155.77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CEB340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155.77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0F62DD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CD9B97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9C5FAC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081E41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3D8655A1">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1569C3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20805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3D336C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行政事业单位养老支出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192495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90.77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807E68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90.77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2AC5BC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A14013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23F725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AB6220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78A20253">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33EC36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2080505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4F0C7B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机关事业单位基本养老保险缴费支出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601428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75.27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EBA05C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75.27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619D6A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3EAF74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6F80D9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B9AFE0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63C64815">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9368DF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2080506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D3C88F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机关事业单位职业年金缴费支出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A7D66D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F732DA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E21A57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0F709E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9819B6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942411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63337216">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035F94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20808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3DE0C2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抚恤</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E800BB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61.18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D96871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61.18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4E0BA7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95082A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3E20E0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88552E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7B4D8AD">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FCE6BE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2080801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772182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死亡抚恤</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D8F49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61.18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8E6795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61.18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7689E6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0ACD0E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68B741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4AC895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71393D1D">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53AE72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20899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2ECE0C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EA0C84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11522D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F4D65A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34AD09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9F33C6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AA6F99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74CE70B5">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3AD112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2089999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627EB1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E05640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6C69DF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803D86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9B401A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922562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6CD195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33347A3">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3A7B9C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5FD0DE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15FCDE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47.09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15ACB6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47.09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FF0532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9E9857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BB6AAA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0FBF51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E9C8F45">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472484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21011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B4DD51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行政事业单位医疗</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8B8F2A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47.09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309817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47.09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4B69DF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08DDAA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D29BB5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AD7628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B4B09CD">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D1EEF6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2101101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1F82D5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行政单位医疗</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D1F1B2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47.09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90CEA1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47.09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EB26C4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6EA03F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F2801D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E285BC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14DE33B4">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FA54A8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3A475A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E4E025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381.29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9BFBF7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151011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381.29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F1771C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4ED75E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2661B3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53510AD9">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A3D220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21103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EA4ECB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污染防治</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453627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381.29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4BCFDA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AA8968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381.29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264E5B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F7B233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F70E6E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116C118E">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2D359A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2110302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82DA28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水体</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1A1B13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381.29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CA7075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0BB45D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381.29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E1E23B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4D9283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32091A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501EB65C">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ABB43D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340CF0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农林水支出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542603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680.09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C6ACAA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680.09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D7D723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282A79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CF2BA6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C9D23C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60E6094A">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CB0F90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71059C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农业农村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BD22A2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483.31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9FCDE2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483.31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1B1DA3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4ECCDD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C66F4A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3918D7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1AC4F01F">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94CB3C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2130199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9793FD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其他农业农村支出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67B719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483.31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8EBF53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483.31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22F315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38A5A2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E38014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88634E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2B632D0">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F5960C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8E2292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农村综合改革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74C7D7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196.78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443F32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196.78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37B238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C8DD91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D3F0BF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9FD72C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19152AC">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E2BF85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2130705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6A4D33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对村民委员会和村党支部的补助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896FDE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196.78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27BCBD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196.78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D6902A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B13F8B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AB066D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0505CC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1A4CC009">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1FC492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26A389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自然资源海洋气象等支出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48498D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24.01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E2C853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95FCCB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24.01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0AD46B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7E2D67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0B5273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13F89606">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ACF9C5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22099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3D5EE0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其他自然资源海洋气象等支出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55134F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24.01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80CB73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10EC87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24.01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08EB00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FA237F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F417BD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5D6131E1">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6AD394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2209999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75CB31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其他自然资源海洋气象等支出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4FBF94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24.01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A7D6AA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FF9308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24.01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2058F1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08518A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30E111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7463E005">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DDE245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635257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住房保障支出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540212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D9D964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975F8A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D9D45C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76821C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831DB7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734BD14D">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DBD3C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22102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95AAB5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住房改革支出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4356EF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18802A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1CA0AB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16151B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8E043F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EA0245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38260499">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2F1662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2210201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AD9115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住房公积金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969B46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16FB3D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1C96BB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391E15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B82FC0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A0881A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bl>
    <w:p w14:paraId="61416CB6">
      <w:pPr>
        <w:pStyle w:val="33"/>
        <w:widowControl/>
        <w:spacing w:before="240" w:after="240"/>
        <w:jc w:val="left"/>
        <w:rPr>
          <w:rFonts w:ascii="Times New Roman" w:hAnsi="Times New Roman" w:eastAsia="Times New Roman" w:cs="Times New Roman"/>
          <w:kern w:val="0"/>
          <w:sz w:val="24"/>
        </w:rPr>
      </w:pPr>
      <w:r>
        <w:rPr>
          <w:rFonts w:ascii="宋体" w:hAnsi="宋体" w:cs="宋体"/>
          <w:kern w:val="0"/>
          <w:sz w:val="24"/>
        </w:rPr>
        <w:t>注：本表反映单位本年度各项支出情况。</w:t>
      </w:r>
    </w:p>
    <w:p w14:paraId="00E64588">
      <w:pPr>
        <w:pStyle w:val="33"/>
        <w:widowControl/>
        <w:spacing w:before="240" w:after="240"/>
        <w:jc w:val="left"/>
        <w:rPr>
          <w:rFonts w:ascii="Times New Roman" w:hAnsi="Times New Roman" w:eastAsia="Times New Roman" w:cs="Times New Roman"/>
          <w:kern w:val="0"/>
          <w:sz w:val="24"/>
        </w:rPr>
      </w:pPr>
      <w:r>
        <w:rPr>
          <w:rFonts w:eastAsia="Times New Roman"/>
          <w:kern w:val="0"/>
          <w:sz w:val="24"/>
        </w:rPr>
        <w:t> </w:t>
      </w:r>
    </w:p>
    <w:p w14:paraId="2A82F695">
      <w:pPr>
        <w:pStyle w:val="32"/>
        <w:widowControl/>
        <w:spacing w:before="240" w:after="240"/>
        <w:ind w:left="720" w:hanging="720"/>
        <w:jc w:val="left"/>
        <w:rPr>
          <w:rFonts w:ascii="Times New Roman" w:hAnsi="Times New Roman" w:eastAsia="Times New Roman" w:cs="Times New Roman"/>
          <w:kern w:val="0"/>
          <w:sz w:val="24"/>
        </w:rPr>
      </w:pPr>
      <w:r>
        <w:rPr>
          <w:rFonts w:ascii="黑体" w:hAnsi="黑体" w:eastAsia="黑体" w:cs="黑体"/>
          <w:kern w:val="0"/>
          <w:sz w:val="32"/>
          <w:szCs w:val="32"/>
        </w:rPr>
        <w:t>四、 财政拨款收入支出决算总表</w:t>
      </w:r>
    </w:p>
    <w:p w14:paraId="27C40357">
      <w:pPr>
        <w:sectPr>
          <w:pgSz w:w="16383" w:h="11906" w:orient="landscape"/>
          <w:pgMar w:top="1440" w:right="1800" w:bottom="1440" w:left="1800" w:header="720" w:footer="720" w:gutter="0"/>
          <w:pgBorders>
            <w:top w:val="none" w:sz="0" w:space="0"/>
            <w:left w:val="none" w:sz="0" w:space="0"/>
            <w:bottom w:val="none" w:sz="0" w:space="0"/>
            <w:right w:val="none" w:sz="0" w:space="0"/>
          </w:pgBorders>
          <w:cols w:space="720" w:num="1"/>
        </w:sectPr>
      </w:pPr>
    </w:p>
    <w:p w14:paraId="7872BA71">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20"/>
        <w:tblW w:w="5000" w:type="pct"/>
        <w:tblInd w:w="20" w:type="dxa"/>
        <w:tblLayout w:type="fixed"/>
        <w:tblCellMar>
          <w:top w:w="15" w:type="dxa"/>
          <w:left w:w="15" w:type="dxa"/>
          <w:bottom w:w="15" w:type="dxa"/>
          <w:right w:w="15" w:type="dxa"/>
        </w:tblCellMar>
      </w:tblPr>
      <w:tblGrid>
        <w:gridCol w:w="2242"/>
        <w:gridCol w:w="1265"/>
        <w:gridCol w:w="2348"/>
        <w:gridCol w:w="1189"/>
        <w:gridCol w:w="1820"/>
        <w:gridCol w:w="1927"/>
        <w:gridCol w:w="2032"/>
      </w:tblGrid>
      <w:tr w14:paraId="0795F4D4">
        <w:tblPrEx>
          <w:tblCellMar>
            <w:top w:w="15" w:type="dxa"/>
            <w:left w:w="15" w:type="dxa"/>
            <w:bottom w:w="15" w:type="dxa"/>
            <w:right w:w="15" w:type="dxa"/>
          </w:tblCellMar>
        </w:tblPrEx>
        <w:trPr>
          <w:tblHeader/>
        </w:trPr>
        <w:tc>
          <w:tcPr>
            <w:gridSpan w:val="7"/>
            <w:noWrap w:val="0"/>
            <w:tcMar>
              <w:top w:w="20" w:type="dxa"/>
              <w:left w:w="20" w:type="dxa"/>
              <w:bottom w:w="20" w:type="dxa"/>
              <w:right w:w="20" w:type="dxa"/>
            </w:tcMar>
            <w:vAlign w:val="center"/>
          </w:tcPr>
          <w:p w14:paraId="49E78242">
            <w:pPr>
              <w:widowControl/>
              <w:spacing w:line="900" w:lineRule="atLeast"/>
              <w:jc w:val="center"/>
              <w:rPr>
                <w:rFonts w:ascii="Times New Roman" w:hAnsi="Times New Roman" w:eastAsia="Times New Roman" w:cs="Times New Roman"/>
                <w:b w:val="0"/>
                <w:bCs w:val="0"/>
                <w:i w:val="0"/>
                <w:iCs w:val="0"/>
                <w:smallCaps w:val="0"/>
                <w:color w:val="000000"/>
                <w:kern w:val="0"/>
                <w:sz w:val="27"/>
                <w:szCs w:val="27"/>
              </w:rPr>
            </w:pPr>
            <w:r>
              <w:rPr>
                <w:rFonts w:ascii="Times New Roman" w:hAnsi="Times New Roman" w:eastAsia="Times New Roman" w:cs="Times New Roman"/>
                <w:b w:val="0"/>
                <w:bCs w:val="0"/>
                <w:i w:val="0"/>
                <w:iCs w:val="0"/>
                <w:smallCaps w:val="0"/>
                <w:color w:val="000000"/>
                <w:kern w:val="0"/>
                <w:sz w:val="27"/>
                <w:szCs w:val="27"/>
              </w:rPr>
              <w:t>财政拨款收入支出决算总表</w:t>
            </w:r>
          </w:p>
        </w:tc>
      </w:tr>
      <w:tr w14:paraId="09712D2A">
        <w:tblPrEx>
          <w:tblCellMar>
            <w:top w:w="15" w:type="dxa"/>
            <w:left w:w="15" w:type="dxa"/>
            <w:bottom w:w="15" w:type="dxa"/>
            <w:right w:w="15" w:type="dxa"/>
          </w:tblCellMar>
        </w:tblPrEx>
        <w:trPr>
          <w:tblHeader/>
        </w:trPr>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7A19D44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0E793B1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1ECEC59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76A6612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7845996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125E805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4BE3616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公开04表</w:t>
            </w:r>
          </w:p>
        </w:tc>
      </w:tr>
      <w:tr w14:paraId="60FC52CC">
        <w:tblPrEx>
          <w:tblCellMar>
            <w:top w:w="15" w:type="dxa"/>
            <w:left w:w="15" w:type="dxa"/>
            <w:bottom w:w="15" w:type="dxa"/>
            <w:right w:w="15" w:type="dxa"/>
          </w:tblCellMar>
        </w:tblPrEx>
        <w:tc>
          <w:tcPr>
            <w:tcW w:w="21600" w:type="dxa"/>
            <w:gridSpan w:val="2"/>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6EE097D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编制单位：长汀县馆前镇人民政府（汇总）</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04E929B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69C17F6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29EA38D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5EB0EB5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2FDDED2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单位：万元</w:t>
            </w:r>
          </w:p>
        </w:tc>
      </w:tr>
      <w:tr w14:paraId="58DC35EC">
        <w:tblPrEx>
          <w:tblCellMar>
            <w:top w:w="15" w:type="dxa"/>
            <w:left w:w="15" w:type="dxa"/>
            <w:bottom w:w="15" w:type="dxa"/>
            <w:right w:w="15" w:type="dxa"/>
          </w:tblCellMar>
        </w:tblPrEx>
        <w:tc>
          <w:tcPr>
            <w:tcW w:w="21600" w:type="dxa"/>
            <w:gridSpan w:val="2"/>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99301E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收入</w:t>
            </w:r>
          </w:p>
        </w:tc>
        <w:tc>
          <w:tcPr>
            <w:tcW w:w="21600" w:type="dxa"/>
            <w:gridSpan w:val="5"/>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DDF6C8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支出</w:t>
            </w:r>
          </w:p>
        </w:tc>
      </w:tr>
      <w:tr w14:paraId="7621DD10">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7DEF4C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项目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FC765D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金额</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5ECE3E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项目（按功能分类）</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757387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4EC1F9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一般公共预算财政拨款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BE4A76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政府性基金预算财政拨款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BF89B1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国有资本经营预算财政拨款</w:t>
            </w:r>
          </w:p>
        </w:tc>
      </w:tr>
      <w:tr w14:paraId="49E5E220">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FB739F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一、一般公共预算财政拨款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4E1ACE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1,568.42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AEAC89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一、一般公共服务支出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B7B34E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647.02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0E09AC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647.02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081424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68D8A1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5A8E8F88">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8C7970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二、政府性基金预算财政拨款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F9E248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2DBC1E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二、外交支出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BF63EA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378241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FD37F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53DE2E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60F444D4">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F74C5A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三、国有资本经营预算财政拨款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84B6C4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41AF74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三、国防支出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3AED46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1A1FA6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8EB550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498B45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64BA6F59">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62C1AD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14ACD8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100D2E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四、公共安全支出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07CBFD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A3D362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2DC960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F23FA9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420B5F4">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4A535D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6D4A89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F4BC35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五、教育支出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703B0E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CA4E24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E6298E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770C97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F1051B8">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220FBE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D0DE91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64CDDA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六、科学技术支出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2023D0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BA0CF1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B934E2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4AB017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A3EC08D">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FD4CD9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CAC069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24D4D0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七、文化旅游体育与传媒支出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8B979D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96065B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4A4748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4CC1A7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F9B58EA">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76BFD0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6F077E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541B36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八、社会保障和就业支出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3AE30C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155.64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7A2683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155.64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1AED32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9D3EA6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2B21D08">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29F2CC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4FD8AF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14852A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九、卫生健康支出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02EFBF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47.09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013900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47.09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0BA157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EA4EE0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36C184EF">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BA4999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597057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74372E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E8695D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0AAED8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481BBB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F1767F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1A9CBCAA">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4993C1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C30475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6F0D43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十一、城乡社区支出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DEA246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16BEF3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B9B4B3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12FDF2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676CC145">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EEAFDF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0EA250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7661B8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十二、农林水支出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D5513C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680.09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48C139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680.09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DA5D96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1720B2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4E7DA57F">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87F20E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87D0A7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85E834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十三、交通运输支出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201B5D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A5B194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FAD1C8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3E8310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1B3A5BDF">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AA149B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A59A53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B38747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十四、资源勘探工业信息等支出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788306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F843F2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B2D3B7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310E99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3F85992B">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4B744A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6D6D09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906D45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十五、商业服务业等支出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CD9C24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7D8D15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474575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46B84A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795EAB6B">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5CDD09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C75531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E1A5AA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十六、金融支出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D06B20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2501E2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4B14F0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4D8424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19770092">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F2E532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FE84D8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A5EFC9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十七、援助其他地区支出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6C1E1D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81184F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B9B9BA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FBC584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3D634252">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005BC8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668F4A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CD3862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十八、自然资源海洋气象等支出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72F939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025DD4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76C192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5C7DC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4B5E340D">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7C093D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91AD0F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20D283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十九、住房保障支出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11C45E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40940A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4B82FB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DC070C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42DB8E55">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49A32C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8B2DE8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4A8EE9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二十、粮油物资储备支出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1BD473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22BED7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66AB35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6AE69F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7FC4CE67">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E60732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D9951A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A262D4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二十一、国有资本经营预算支出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8B8FBF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FC01B9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D10D8D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A53B5D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3C174A82">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D39060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02D0CA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CAE308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二十二、灾害防治及应急管理支出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03A51C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808BC4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C83589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653AF3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64997857">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B470D0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519A76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F0AFC2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二十三、其他支出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2FEED9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FB606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D24634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7014BA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5808BA71">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B7F94A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D01907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9B5822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二十四、债务还本支出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4E84B1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4EB916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547957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EFA206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70339E9A">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E2D8DE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434032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D21702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二十五、债务付息支出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018C86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EC5EB5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F02A28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A2CC26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374A8C2">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BEEA00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A7C4E8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4BF3D5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二十六、抗疫特别国债安排的支出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23DA72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151174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ED5240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EF81B4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196160D8">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6D7EAC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本年收入合计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AD26EC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1,568.42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A2D17D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本年支出合计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C49B8C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1,568.42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6B6460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1,568.42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E63EAE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DE7831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4B90F90">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963F25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年初财政拨款结转和结余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3F540C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ED9365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年末财政拨款结转和结余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AEE6A5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32A9C5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079F07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603E67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5D70F257">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8F34C1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一、一般公共预算财政拨款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430084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CB68DD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34D77B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B8CFDD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1437D7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D14B57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423B1025">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A280A0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二、政府性基金预算财政拨款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FA87FE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921624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B30520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A83E63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4CA773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6E50B8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6F9826F7">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363969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三、国有资本经营预算财政拨款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0BDB06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359CEC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6EBFCF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9C49A3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048DB5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792964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1B063A1">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770126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总计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BD6104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1,568.42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7CEBA4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总计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44DD95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1,568.42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C9557B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1,568.42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306691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73EE8F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bl>
    <w:p w14:paraId="3DFD343B">
      <w:pPr>
        <w:pStyle w:val="33"/>
        <w:widowControl/>
        <w:spacing w:before="240" w:after="240"/>
        <w:jc w:val="left"/>
        <w:rPr>
          <w:rFonts w:ascii="Times New Roman" w:hAnsi="Times New Roman" w:eastAsia="Times New Roman" w:cs="Times New Roman"/>
          <w:kern w:val="0"/>
          <w:sz w:val="24"/>
        </w:rPr>
      </w:pPr>
      <w:r>
        <w:rPr>
          <w:rFonts w:ascii="宋体" w:hAnsi="宋体" w:cs="宋体"/>
          <w:kern w:val="0"/>
          <w:sz w:val="24"/>
        </w:rPr>
        <w:t>注：本表反映单位本年度一般公共预算财政拨款、政府性基金预算财政拨款和国有资本经营预算财政拨款的总收支和年末结转结余情况。</w:t>
      </w:r>
    </w:p>
    <w:p w14:paraId="45439BB3">
      <w:pPr>
        <w:pStyle w:val="33"/>
        <w:widowControl/>
        <w:spacing w:before="240" w:after="240"/>
        <w:jc w:val="left"/>
        <w:rPr>
          <w:rFonts w:ascii="Times New Roman" w:hAnsi="Times New Roman" w:eastAsia="Times New Roman" w:cs="Times New Roman"/>
          <w:kern w:val="0"/>
          <w:sz w:val="24"/>
        </w:rPr>
      </w:pPr>
      <w:r>
        <w:rPr>
          <w:rFonts w:eastAsia="Times New Roman"/>
          <w:kern w:val="0"/>
          <w:sz w:val="24"/>
        </w:rPr>
        <w:t> </w:t>
      </w:r>
    </w:p>
    <w:p w14:paraId="67583453">
      <w:pPr>
        <w:pStyle w:val="32"/>
        <w:widowControl/>
        <w:spacing w:before="240" w:after="240"/>
        <w:ind w:left="720" w:hanging="720"/>
        <w:jc w:val="left"/>
        <w:rPr>
          <w:rFonts w:ascii="Times New Roman" w:hAnsi="Times New Roman" w:eastAsia="Times New Roman" w:cs="Times New Roman"/>
          <w:kern w:val="0"/>
          <w:sz w:val="24"/>
        </w:rPr>
      </w:pPr>
      <w:r>
        <w:rPr>
          <w:rFonts w:ascii="黑体" w:hAnsi="黑体" w:eastAsia="黑体" w:cs="黑体"/>
          <w:kern w:val="0"/>
          <w:sz w:val="32"/>
          <w:szCs w:val="32"/>
        </w:rPr>
        <w:t>五、 一般公共预算财政拨款支出决算表</w:t>
      </w:r>
    </w:p>
    <w:p w14:paraId="040DCD5B">
      <w:pPr>
        <w:sectPr>
          <w:pgSz w:w="16383" w:h="11906" w:orient="landscape"/>
          <w:pgMar w:top="1440" w:right="1800" w:bottom="1440" w:left="1800" w:header="720" w:footer="720" w:gutter="0"/>
          <w:pgBorders>
            <w:top w:val="none" w:sz="0" w:space="0"/>
            <w:left w:val="none" w:sz="0" w:space="0"/>
            <w:bottom w:val="none" w:sz="0" w:space="0"/>
            <w:right w:val="none" w:sz="0" w:space="0"/>
          </w:pgBorders>
          <w:cols w:space="720" w:num="1"/>
        </w:sectPr>
      </w:pPr>
    </w:p>
    <w:p w14:paraId="635C0DA2">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20"/>
        <w:tblW w:w="5000" w:type="pct"/>
        <w:tblInd w:w="20" w:type="dxa"/>
        <w:tblLayout w:type="fixed"/>
        <w:tblCellMar>
          <w:top w:w="15" w:type="dxa"/>
          <w:left w:w="15" w:type="dxa"/>
          <w:bottom w:w="15" w:type="dxa"/>
          <w:right w:w="15" w:type="dxa"/>
        </w:tblCellMar>
      </w:tblPr>
      <w:tblGrid>
        <w:gridCol w:w="1734"/>
        <w:gridCol w:w="1734"/>
        <w:gridCol w:w="1734"/>
        <w:gridCol w:w="3261"/>
        <w:gridCol w:w="1402"/>
        <w:gridCol w:w="1402"/>
        <w:gridCol w:w="1557"/>
      </w:tblGrid>
      <w:tr w14:paraId="1A9FD085">
        <w:tblPrEx>
          <w:tblCellMar>
            <w:top w:w="15" w:type="dxa"/>
            <w:left w:w="15" w:type="dxa"/>
            <w:bottom w:w="15" w:type="dxa"/>
            <w:right w:w="15" w:type="dxa"/>
          </w:tblCellMar>
        </w:tblPrEx>
        <w:trPr>
          <w:tblHeader/>
        </w:trPr>
        <w:tc>
          <w:tcPr>
            <w:gridSpan w:val="7"/>
            <w:noWrap w:val="0"/>
            <w:tcMar>
              <w:top w:w="20" w:type="dxa"/>
              <w:left w:w="20" w:type="dxa"/>
              <w:bottom w:w="20" w:type="dxa"/>
              <w:right w:w="20" w:type="dxa"/>
            </w:tcMar>
            <w:vAlign w:val="center"/>
          </w:tcPr>
          <w:p w14:paraId="1F5D685D">
            <w:pPr>
              <w:widowControl/>
              <w:spacing w:line="900" w:lineRule="atLeast"/>
              <w:jc w:val="center"/>
              <w:rPr>
                <w:rFonts w:ascii="Times New Roman" w:hAnsi="Times New Roman" w:eastAsia="Times New Roman" w:cs="Times New Roman"/>
                <w:b w:val="0"/>
                <w:bCs w:val="0"/>
                <w:i w:val="0"/>
                <w:iCs w:val="0"/>
                <w:smallCaps w:val="0"/>
                <w:color w:val="000000"/>
                <w:kern w:val="0"/>
                <w:sz w:val="27"/>
                <w:szCs w:val="27"/>
              </w:rPr>
            </w:pPr>
            <w:r>
              <w:rPr>
                <w:rFonts w:ascii="Times New Roman" w:hAnsi="Times New Roman" w:eastAsia="Times New Roman" w:cs="Times New Roman"/>
                <w:b w:val="0"/>
                <w:bCs w:val="0"/>
                <w:i w:val="0"/>
                <w:iCs w:val="0"/>
                <w:smallCaps w:val="0"/>
                <w:color w:val="000000"/>
                <w:kern w:val="0"/>
                <w:sz w:val="27"/>
                <w:szCs w:val="27"/>
              </w:rPr>
              <w:t>一般公共预算财政拨款支出决算表</w:t>
            </w:r>
          </w:p>
        </w:tc>
      </w:tr>
      <w:tr w14:paraId="21CB607F">
        <w:tblPrEx>
          <w:tblCellMar>
            <w:top w:w="15" w:type="dxa"/>
            <w:left w:w="15" w:type="dxa"/>
            <w:bottom w:w="15" w:type="dxa"/>
            <w:right w:w="15" w:type="dxa"/>
          </w:tblCellMar>
        </w:tblPrEx>
        <w:trPr>
          <w:tblHeader/>
        </w:trPr>
        <w:tc>
          <w:tcPr>
            <w:tcW w:w="5295"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753AB43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5295"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3FF684C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5295"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650F431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158271A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624FD2B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27FF418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4D2B481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公开05表</w:t>
            </w:r>
          </w:p>
        </w:tc>
      </w:tr>
      <w:tr w14:paraId="21131C96">
        <w:tblPrEx>
          <w:tblCellMar>
            <w:top w:w="15" w:type="dxa"/>
            <w:left w:w="15" w:type="dxa"/>
            <w:bottom w:w="15" w:type="dxa"/>
            <w:right w:w="15" w:type="dxa"/>
          </w:tblCellMar>
        </w:tblPrEx>
        <w:tc>
          <w:tcPr>
            <w:tcW w:w="5295" w:type="dxa"/>
            <w:gridSpan w:val="3"/>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15D7F75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编制单位：长汀县馆前镇人民政府（汇总）</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3D651A8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25935A2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319DD73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51378B2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单位：万元</w:t>
            </w:r>
          </w:p>
        </w:tc>
      </w:tr>
      <w:tr w14:paraId="6303FE8B">
        <w:tblPrEx>
          <w:tblCellMar>
            <w:top w:w="15" w:type="dxa"/>
            <w:left w:w="15" w:type="dxa"/>
            <w:bottom w:w="15" w:type="dxa"/>
            <w:right w:w="15" w:type="dxa"/>
          </w:tblCellMar>
        </w:tblPrEx>
        <w:tc>
          <w:tcPr>
            <w:tcW w:w="5295" w:type="dxa"/>
            <w:gridSpan w:val="4"/>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CD18B6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w:t>
            </w:r>
          </w:p>
        </w:tc>
        <w:tc>
          <w:tcPr>
            <w:tcW w:w="21600"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410375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本年支出</w:t>
            </w:r>
          </w:p>
        </w:tc>
      </w:tr>
      <w:tr w14:paraId="14B644F1">
        <w:tblPrEx>
          <w:tblCellMar>
            <w:top w:w="15" w:type="dxa"/>
            <w:left w:w="15" w:type="dxa"/>
            <w:bottom w:w="15" w:type="dxa"/>
            <w:right w:w="15" w:type="dxa"/>
          </w:tblCellMar>
        </w:tblPrEx>
        <w:tc>
          <w:tcPr>
            <w:tcW w:w="5295" w:type="dxa"/>
            <w:gridSpan w:val="3"/>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79741D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功能分类科目编码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B3584D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科目名称</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7C832A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小计</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C4BD23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基本支出</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19D8CB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项目支出</w:t>
            </w:r>
          </w:p>
        </w:tc>
      </w:tr>
      <w:tr w14:paraId="5C2E3F41">
        <w:tblPrEx>
          <w:tblCellMar>
            <w:top w:w="15" w:type="dxa"/>
            <w:left w:w="15" w:type="dxa"/>
            <w:bottom w:w="15" w:type="dxa"/>
            <w:right w:w="15" w:type="dxa"/>
          </w:tblCellMar>
        </w:tblPrEx>
        <w:tc>
          <w:tcPr>
            <w:gridSpan w:val="3"/>
            <w:vMerge w:val="continue"/>
            <w:tcBorders>
              <w:top w:val="single" w:color="000000" w:sz="6" w:space="0"/>
              <w:left w:val="single" w:color="000000" w:sz="6" w:space="0"/>
              <w:bottom w:val="single" w:color="000000" w:sz="6" w:space="0"/>
              <w:right w:val="single" w:color="000000" w:sz="6" w:space="0"/>
            </w:tcBorders>
            <w:vAlign w:val="center"/>
          </w:tcPr>
          <w:p w14:paraId="151F40CA">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570548CC">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1B25502A">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75BBCF2D">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537706E4">
            <w:pPr>
              <w:rPr>
                <w:rFonts w:ascii="Times New Roman" w:hAnsi="Times New Roman" w:eastAsia="Times New Roman" w:cs="Times New Roman"/>
                <w:b w:val="0"/>
                <w:bCs w:val="0"/>
                <w:i w:val="0"/>
                <w:iCs w:val="0"/>
                <w:smallCaps w:val="0"/>
                <w:color w:val="000000"/>
                <w:kern w:val="0"/>
                <w:sz w:val="26"/>
                <w:szCs w:val="26"/>
              </w:rPr>
            </w:pPr>
          </w:p>
        </w:tc>
      </w:tr>
      <w:tr w14:paraId="4C2B62FB">
        <w:tblPrEx>
          <w:tblCellMar>
            <w:top w:w="15" w:type="dxa"/>
            <w:left w:w="15" w:type="dxa"/>
            <w:bottom w:w="15" w:type="dxa"/>
            <w:right w:w="15" w:type="dxa"/>
          </w:tblCellMar>
        </w:tblPrEx>
        <w:tc>
          <w:tcPr>
            <w:tcW w:w="5295" w:type="dxa"/>
            <w:gridSpan w:val="4"/>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B74D94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E6C990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1,568.42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785E3A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1,568.42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A4A272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465F71EB">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023EBC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E7A715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2BD516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647.02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EE236A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647.02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149F85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9FC1784">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B8F66F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20103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F0C0E4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政府办公厅（室）及相关机构事务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6F8EFC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647.02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708079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647.02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3C4CD8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781556D0">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07CC78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2010301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2D7815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行政运行</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AEEE86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421.51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F13644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421.51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1E0033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198DFB92">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7FFA2F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2010350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0AF445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事业运行</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DFC17A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225.52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32E31C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225.52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1FC899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54B25C6B">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F66E96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666799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科学技术支出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F39134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DC1272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3AAA0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E3C18D9">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120C8A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20699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2E4F95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其他科学技术支出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06E610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0DAA2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B74C91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1C925996">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7ED76C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2069999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26CBEA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其他科学技术支出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97C151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E97797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C80B7A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54C05C29">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D8100F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F5C31F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7CC3EF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155.64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2A54CD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155.64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229026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6FBD359D">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316023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20805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3A7273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行政事业单位养老支出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CD424F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90.63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118475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90.63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627993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F849412">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39B2D5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2080505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A15B61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机关事业单位基本养老保险缴费支出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0D4D27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75.27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297C4E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75.27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DC9F3B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68F30BB">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AABFDB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2080506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0A4924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机关事业单位职业年金缴费支出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E18B6E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15.36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61BA1E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15.36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FE6293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70CA0BFD">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8230D7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20808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E431DD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抚恤</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45E7A3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61.18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FD1B3C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61.18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287BFF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7E0D5162">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5932BC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2080801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8137FA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死亡抚恤</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ADF07E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61.18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1075FC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61.18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B28BF1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1413CD54">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5EFB81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20899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302F46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C8CC63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E37D95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04FFAE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1946217">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941E75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2089999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84DDFF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F80837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0B6417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161A58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7CB1932E">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F3FE01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26817F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4EEBF2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47.09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A2F881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47.09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1DE234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005850C">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E6C774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21011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C2F503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行政事业单位医疗</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ACCB65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47.09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CC1C25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47.09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722C7C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65B6413">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D7381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2101101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14E4B2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行政单位医疗</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0D0CD7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47.09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E05AE7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47.09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69A7BB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1846480">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53666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1EEBDB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农林水支出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7ADC59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680.09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10A72D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680.09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5A4E66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6EC46973">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5157B4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0293F8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农业农村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6876E0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483.31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656C1F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483.31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65D638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696CA7C6">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81E290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2130199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8C41C0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其他农业农村支出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029125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483.31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4D3D05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483.31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A491CC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17C3059C">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1AD5B7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8FB036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农村综合改革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82CD06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196.78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3177B8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196.78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5C1677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AC1D401">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E6E5AE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2130705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8C0CC6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对村民委员会和村党支部的补助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490A8E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196.78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7970D5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196.78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9556AE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1E243BD9">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F5CB04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86EFD9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住房保障支出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2DDCA5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A54F9F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57FA32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61A53049">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4BBD42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22102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7DCCA1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住房改革支出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5BAA9B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2C459B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276BBA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91AAF9A">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0C4D9B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2210201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89D829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住房公积金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25494D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285B23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35F301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bl>
    <w:p w14:paraId="0BE88739">
      <w:pPr>
        <w:pStyle w:val="33"/>
        <w:widowControl/>
        <w:spacing w:before="240" w:after="240"/>
        <w:jc w:val="left"/>
        <w:rPr>
          <w:rFonts w:ascii="Times New Roman" w:hAnsi="Times New Roman" w:eastAsia="Times New Roman" w:cs="Times New Roman"/>
          <w:kern w:val="0"/>
          <w:sz w:val="24"/>
        </w:rPr>
      </w:pPr>
      <w:r>
        <w:rPr>
          <w:rFonts w:ascii="宋体" w:hAnsi="宋体" w:cs="宋体"/>
          <w:kern w:val="0"/>
          <w:sz w:val="24"/>
        </w:rPr>
        <w:t>注：本表反映单位本年度一般公共预算财政拨款支出情况。</w:t>
      </w:r>
    </w:p>
    <w:p w14:paraId="56C64DA9">
      <w:pPr>
        <w:pStyle w:val="33"/>
        <w:widowControl/>
        <w:spacing w:before="240" w:after="240"/>
        <w:jc w:val="left"/>
        <w:rPr>
          <w:rFonts w:ascii="Times New Roman" w:hAnsi="Times New Roman" w:eastAsia="Times New Roman" w:cs="Times New Roman"/>
          <w:kern w:val="0"/>
          <w:sz w:val="24"/>
        </w:rPr>
      </w:pPr>
      <w:r>
        <w:rPr>
          <w:rFonts w:ascii="宋体" w:hAnsi="宋体" w:cs="宋体"/>
          <w:kern w:val="0"/>
          <w:sz w:val="24"/>
        </w:rPr>
        <w:t> </w:t>
      </w:r>
    </w:p>
    <w:p w14:paraId="3A5FD396">
      <w:pPr>
        <w:pStyle w:val="32"/>
        <w:widowControl/>
        <w:spacing w:before="240" w:after="240"/>
        <w:ind w:left="720" w:hanging="720"/>
        <w:jc w:val="left"/>
        <w:rPr>
          <w:rFonts w:ascii="Times New Roman" w:hAnsi="Times New Roman" w:eastAsia="Times New Roman" w:cs="Times New Roman"/>
          <w:kern w:val="0"/>
          <w:sz w:val="24"/>
        </w:rPr>
      </w:pPr>
      <w:r>
        <w:rPr>
          <w:rFonts w:ascii="黑体" w:hAnsi="黑体" w:eastAsia="黑体" w:cs="黑体"/>
          <w:kern w:val="0"/>
          <w:sz w:val="32"/>
          <w:szCs w:val="32"/>
        </w:rPr>
        <w:t xml:space="preserve">六、 一般公共预算财政拨款基本支出决算表 </w:t>
      </w:r>
    </w:p>
    <w:p w14:paraId="639394B7">
      <w:pPr>
        <w:sectPr>
          <w:pgSz w:w="16383" w:h="11906" w:orient="landscape"/>
          <w:pgMar w:top="1440" w:right="1800" w:bottom="1440" w:left="1800" w:header="720" w:footer="720" w:gutter="0"/>
          <w:pgBorders>
            <w:top w:val="none" w:sz="0" w:space="0"/>
            <w:left w:val="none" w:sz="0" w:space="0"/>
            <w:bottom w:val="none" w:sz="0" w:space="0"/>
            <w:right w:val="none" w:sz="0" w:space="0"/>
          </w:pgBorders>
          <w:cols w:space="720" w:num="1"/>
        </w:sectPr>
      </w:pPr>
    </w:p>
    <w:p w14:paraId="15EA09CF">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20"/>
        <w:tblW w:w="5000" w:type="pct"/>
        <w:tblInd w:w="20" w:type="dxa"/>
        <w:tblLayout w:type="fixed"/>
        <w:tblCellMar>
          <w:top w:w="15" w:type="dxa"/>
          <w:left w:w="15" w:type="dxa"/>
          <w:bottom w:w="15" w:type="dxa"/>
          <w:right w:w="15" w:type="dxa"/>
        </w:tblCellMar>
      </w:tblPr>
      <w:tblGrid>
        <w:gridCol w:w="1371"/>
        <w:gridCol w:w="1949"/>
        <w:gridCol w:w="987"/>
        <w:gridCol w:w="1371"/>
        <w:gridCol w:w="1467"/>
        <w:gridCol w:w="890"/>
        <w:gridCol w:w="1371"/>
        <w:gridCol w:w="2334"/>
        <w:gridCol w:w="1083"/>
      </w:tblGrid>
      <w:tr w14:paraId="4C1D8CE1">
        <w:tblPrEx>
          <w:tblCellMar>
            <w:top w:w="15" w:type="dxa"/>
            <w:left w:w="15" w:type="dxa"/>
            <w:bottom w:w="15" w:type="dxa"/>
            <w:right w:w="15" w:type="dxa"/>
          </w:tblCellMar>
        </w:tblPrEx>
        <w:trPr>
          <w:tblHeader/>
        </w:trPr>
        <w:tc>
          <w:tcPr>
            <w:gridSpan w:val="9"/>
            <w:noWrap w:val="0"/>
            <w:tcMar>
              <w:top w:w="20" w:type="dxa"/>
              <w:left w:w="20" w:type="dxa"/>
              <w:bottom w:w="20" w:type="dxa"/>
              <w:right w:w="20" w:type="dxa"/>
            </w:tcMar>
            <w:vAlign w:val="center"/>
          </w:tcPr>
          <w:p w14:paraId="6F4F0FAF">
            <w:pPr>
              <w:widowControl/>
              <w:spacing w:line="900" w:lineRule="atLeast"/>
              <w:jc w:val="center"/>
              <w:rPr>
                <w:rFonts w:ascii="Times New Roman" w:hAnsi="Times New Roman" w:eastAsia="Times New Roman" w:cs="Times New Roman"/>
                <w:b w:val="0"/>
                <w:bCs w:val="0"/>
                <w:i w:val="0"/>
                <w:iCs w:val="0"/>
                <w:smallCaps w:val="0"/>
                <w:color w:val="000000"/>
                <w:kern w:val="0"/>
                <w:sz w:val="27"/>
                <w:szCs w:val="27"/>
              </w:rPr>
            </w:pPr>
            <w:r>
              <w:rPr>
                <w:rFonts w:ascii="Times New Roman" w:hAnsi="Times New Roman" w:eastAsia="Times New Roman" w:cs="Times New Roman"/>
                <w:b w:val="0"/>
                <w:bCs w:val="0"/>
                <w:i w:val="0"/>
                <w:iCs w:val="0"/>
                <w:smallCaps w:val="0"/>
                <w:color w:val="000000"/>
                <w:kern w:val="0"/>
                <w:sz w:val="27"/>
                <w:szCs w:val="27"/>
              </w:rPr>
              <w:t>一般公共预算财政拨款基本支出决算表</w:t>
            </w:r>
          </w:p>
        </w:tc>
      </w:tr>
      <w:tr w14:paraId="14BBFF8D">
        <w:tblPrEx>
          <w:tblCellMar>
            <w:top w:w="15" w:type="dxa"/>
            <w:left w:w="15" w:type="dxa"/>
            <w:bottom w:w="15" w:type="dxa"/>
            <w:right w:w="15" w:type="dxa"/>
          </w:tblCellMar>
        </w:tblPrEx>
        <w:trPr>
          <w:tblHeader/>
        </w:trPr>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1BF338D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2D016AD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43E0C69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76D8E56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2A72536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480D876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25F782F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408D845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5EDA384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公开06表</w:t>
            </w:r>
          </w:p>
        </w:tc>
      </w:tr>
      <w:tr w14:paraId="30EE4F33">
        <w:tblPrEx>
          <w:tblCellMar>
            <w:top w:w="15" w:type="dxa"/>
            <w:left w:w="15" w:type="dxa"/>
            <w:bottom w:w="15" w:type="dxa"/>
            <w:right w:w="15" w:type="dxa"/>
          </w:tblCellMar>
        </w:tblPrEx>
        <w:tc>
          <w:tcPr>
            <w:tcW w:w="21600" w:type="dxa"/>
            <w:gridSpan w:val="3"/>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55B7CB4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编制单位：长汀县馆前镇人民政府（汇总）</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2431F99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1E3C87C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07DB5F2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54B7798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68DD7B6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3D62A18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单位：万元</w:t>
            </w:r>
          </w:p>
        </w:tc>
      </w:tr>
      <w:tr w14:paraId="4F30C735">
        <w:tblPrEx>
          <w:tblCellMar>
            <w:top w:w="15" w:type="dxa"/>
            <w:left w:w="15" w:type="dxa"/>
            <w:bottom w:w="15" w:type="dxa"/>
            <w:right w:w="15" w:type="dxa"/>
          </w:tblCellMar>
        </w:tblPrEx>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2B763D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经济分类科目编码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54ADEF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科目名称</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D5029F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金额</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B21165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经济分类科目编码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0B71CA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科目名称</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D9F448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金额</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BA8A60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经济分类科目编码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53537A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科目名称</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9B63BC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金额</w:t>
            </w:r>
          </w:p>
        </w:tc>
      </w:tr>
      <w:tr w14:paraId="3DC45932">
        <w:tblPrEx>
          <w:tblCellMar>
            <w:top w:w="15" w:type="dxa"/>
            <w:left w:w="15" w:type="dxa"/>
            <w:bottom w:w="15" w:type="dxa"/>
            <w:right w:w="15" w:type="dxa"/>
          </w:tblCellMar>
        </w:tblPrEx>
        <w:tc>
          <w:tcPr>
            <w:vMerge w:val="continue"/>
            <w:tcBorders>
              <w:top w:val="single" w:color="000000" w:sz="6" w:space="0"/>
              <w:left w:val="single" w:color="000000" w:sz="6" w:space="0"/>
              <w:bottom w:val="single" w:color="000000" w:sz="6" w:space="0"/>
              <w:right w:val="single" w:color="000000" w:sz="6" w:space="0"/>
            </w:tcBorders>
            <w:vAlign w:val="center"/>
          </w:tcPr>
          <w:p w14:paraId="08B5B5AB">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69388D96">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099D667D">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558F1506">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7166DBD2">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322E46B6">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3EF26391">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2A1B4427">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44830191">
            <w:pPr>
              <w:rPr>
                <w:rFonts w:ascii="Times New Roman" w:hAnsi="Times New Roman" w:eastAsia="Times New Roman" w:cs="Times New Roman"/>
                <w:b w:val="0"/>
                <w:bCs w:val="0"/>
                <w:i w:val="0"/>
                <w:iCs w:val="0"/>
                <w:smallCaps w:val="0"/>
                <w:color w:val="000000"/>
                <w:kern w:val="0"/>
                <w:sz w:val="26"/>
                <w:szCs w:val="26"/>
              </w:rPr>
            </w:pPr>
          </w:p>
        </w:tc>
      </w:tr>
      <w:tr w14:paraId="222C1E5C">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467824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D2EA04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工资福利支出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BCBD00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954.81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BB7F6D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B43C27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商品和服务支出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1DA95B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249622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30703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C4F547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国内债务发行费用</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1DA485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9953442">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0EAF04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518396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基本工资</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B7B180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184.47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BD1013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F3986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办公费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967EDC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9A4005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30704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AB099B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国外债务发行费用</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120CF3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36BF7A2D">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1EF5FB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E1FC7F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津贴补贴</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AE1A88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156.82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B91F73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328194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印刷费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E4C24E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B07E42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9A59B1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资本性支出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95582E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14.8</w:t>
            </w:r>
          </w:p>
        </w:tc>
      </w:tr>
      <w:tr w14:paraId="7C79567F">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C51005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39EE1C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奖金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B9D5A5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360.37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290274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97248A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咨询费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91D621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8F89C3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7A3B9E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房屋建筑物购建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E12115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27F265A">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422A5C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E0509C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伙食补助费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6D0F28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12.99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E94ACF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E9823F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手续费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0DB4A7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3F4099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BF09EB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办公设备购置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8D915F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14.8</w:t>
            </w:r>
          </w:p>
        </w:tc>
      </w:tr>
      <w:tr w14:paraId="67269301">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CCD461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1A9823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绩效工资</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59ED6A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666BE9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DE809D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水费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C239CB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DE7B54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3067D7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专用设备购置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0D7F71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4775EC1F">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E169F7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1F3360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机关事业单位基本养老保险缴费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735773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75.99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06BD29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71F0D4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电费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09E851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C03491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A6BEF0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基础设施建设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B9E45B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005AD4E">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919A2B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C20D47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职业年金缴费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CC725A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15.36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47FD5A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847B4A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邮电费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C343C0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1B9EA5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D1AF6D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大型修缮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FB864B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702C3AAB">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0C9D23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2AC31C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职工基本医疗保险缴费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14A3D5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18.21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A42265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16E8F7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取暖费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2BD2D2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2CE009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AB3BF6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信息网络及软件购置更新</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86C752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63ECCA85">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4BB9AE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E576D0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公务员医疗补助缴费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B5101D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18.87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95AD3F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A6F4AF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物业管理费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A7B889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C9BA17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559F5A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物资储备</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D4B341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3591CEF7">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C381BC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30112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B05AC9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其他社会保障缴费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EA6DCE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13.86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9ADF68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172B2C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差旅费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914C6B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C7ACFE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077EAD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土地补偿</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F3EF4D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3979AAE8">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2907A7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30113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A5B552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住房公积金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6B1B97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81.57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C94DB6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30212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ACA9F2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因公出国（境）费用</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611ADB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6722B2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C0DDBB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安置补助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1B8FC8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40912CFF">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81FB93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30114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178C09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医疗费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37A9EB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FDDF86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30213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75A1D6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维修（护）费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E5B2EE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4A6ADC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5C9204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地上附着物和青苗补偿</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3A0E36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3B194C92">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1DA38C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D514EC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其他工资福利支出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38AA37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16.29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B43464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30214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6CC9F0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租赁费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7B07DE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D571CE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31012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DC4A06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拆迁补偿</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F63F0B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5A1A427C">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6E70A4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B9DE05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对个人和家庭的补助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827487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92.02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9FD4CC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FAB8E7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会议费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13258B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2C6B64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31013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E9C692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公务用车购置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4864D1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18B7D949">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56654F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27AB75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离休费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912CF8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170C1C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30216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DE09EE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培训费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9DC055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FB309B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31019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3D1182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其他交通工具购置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2C9A26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07DEC65">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BD0DAD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25B5B9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退休费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38C5F9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8F7984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30217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80F7FB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公务接待费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49FA7E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0FE534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31021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ED5A7A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文物和陈列品购置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878BBB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56A41CB7">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2AEB84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6F0B1B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退职（役）费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A2DB98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913599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35A44A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专用材料费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BB3D5C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C5C3D6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31022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B21E01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无形资产购置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3ED8EB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47AEBFDF">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2277BE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4FDB24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抚恤金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AAD4FA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61.18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2A6A7E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6D0131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被装购置费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524925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C24501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205515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其他资本性支出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E63388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9D9A433">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C4ED32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E520F4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生活补助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7A347B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13.5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00CDB4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DB81DD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专用燃料费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620C0C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71C735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ECF708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对企业补助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902963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7FCCCAA6">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C6A8BF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69CC8C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救济费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25C493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79D803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30226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0D7D7D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劳务费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777800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14B215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C59D40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资本金注入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145918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42611130">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1D5746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20AAAF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医疗费补助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6C4B23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1DF646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30227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26F51E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委托业务费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240B20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4073CF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31203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C93AC3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政府投资基金股权投资</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0DE264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7C2B678">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E4CF7D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60A700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助学金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E41277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9B742D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30228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DC9951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工会经费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C8AABC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5078BA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31204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401BFF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费用补贴</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085DF2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CFED54D">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6E691F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4DE357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奖励金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E3EEA6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B012B4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28DA46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福利费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F55FA2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A3A4EC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31205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8462C4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利息补贴</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DB5F05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45BF7614">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2F81DE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C5F188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个人农业生产补贴</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5E60FA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C1EB07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30231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C87041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公务用车运行维护费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967E50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E74F35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31299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80D6E4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其他对企业补助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BA67D5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5EE239C5">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515D80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1C7E63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代缴社会保险费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0B939C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05A8DC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30239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8CEA59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其他交通费用</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4CE1E1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CE0A40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E4E23A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31629D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196.78</w:t>
            </w:r>
          </w:p>
        </w:tc>
      </w:tr>
      <w:tr w14:paraId="09298891">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686ED3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63B501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其他对个人和家庭的补助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99940D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17.35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A12814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30240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FC9463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税金及附加费用</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7D83FA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284492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39907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9ADC59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国家赔偿费用支出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02102C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517500AF">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E2E2D6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B5F80E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E9A878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3824E0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34F4B0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其他商品和服务支出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7EBFF8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259.11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404EE0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39908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7CB40D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对民间非营利组织和群众性自治组织补贴</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85D1E8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196.78</w:t>
            </w:r>
          </w:p>
        </w:tc>
      </w:tr>
      <w:tr w14:paraId="251FF5D0">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EC9516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C03002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FAA4E5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C768C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71F928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债务利息及费用支出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CA6696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803F41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39909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771D61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经常性赠与</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FBA31F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4376DF62">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C2D624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13BFCB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63C1DF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9BCBB8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30701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2AEE1B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国内债务付息</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73819D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EEC2ED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39910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2F3CC6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资本性赠与</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546CE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558717A4">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A4699C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3C24DF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BCA960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9DB9DC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30702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683A64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国外债务付息</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F51324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294FA9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02EE9D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30F323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58248329">
        <w:tblPrEx>
          <w:tblCellMar>
            <w:top w:w="15" w:type="dxa"/>
            <w:left w:w="15" w:type="dxa"/>
            <w:bottom w:w="15" w:type="dxa"/>
            <w:right w:w="15" w:type="dxa"/>
          </w:tblCellMar>
        </w:tblPrEx>
        <w:tc>
          <w:tcPr>
            <w:tcW w:w="21600" w:type="dxa"/>
            <w:gridSpan w:val="2"/>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CDC454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人员经费合计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15210E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1,046.83</w:t>
            </w:r>
          </w:p>
        </w:tc>
        <w:tc>
          <w:tcPr>
            <w:tcW w:w="21600" w:type="dxa"/>
            <w:gridSpan w:val="5"/>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EB03E0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公用经费合计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428730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521.59</w:t>
            </w:r>
          </w:p>
        </w:tc>
      </w:tr>
    </w:tbl>
    <w:p w14:paraId="10D338E1">
      <w:pPr>
        <w:pStyle w:val="33"/>
        <w:widowControl/>
        <w:spacing w:before="240" w:after="240"/>
        <w:jc w:val="left"/>
        <w:rPr>
          <w:rFonts w:ascii="Times New Roman" w:hAnsi="Times New Roman" w:eastAsia="Times New Roman" w:cs="Times New Roman"/>
          <w:kern w:val="0"/>
          <w:sz w:val="24"/>
        </w:rPr>
      </w:pPr>
      <w:r>
        <w:rPr>
          <w:rFonts w:ascii="宋体" w:hAnsi="宋体" w:cs="宋体"/>
          <w:kern w:val="0"/>
          <w:sz w:val="24"/>
        </w:rPr>
        <w:t>注：本表反映单位本年度一般公共预算财政拨款基本支出明细情况。</w:t>
      </w:r>
    </w:p>
    <w:p w14:paraId="63C2A093">
      <w:pPr>
        <w:pStyle w:val="33"/>
        <w:widowControl/>
        <w:spacing w:before="240" w:after="240"/>
        <w:jc w:val="left"/>
        <w:rPr>
          <w:rFonts w:ascii="Times New Roman" w:hAnsi="Times New Roman" w:eastAsia="Times New Roman" w:cs="Times New Roman"/>
          <w:kern w:val="0"/>
          <w:sz w:val="24"/>
        </w:rPr>
      </w:pPr>
      <w:r>
        <w:rPr>
          <w:rFonts w:eastAsia="Times New Roman"/>
          <w:kern w:val="0"/>
          <w:sz w:val="24"/>
        </w:rPr>
        <w:t> </w:t>
      </w:r>
    </w:p>
    <w:p w14:paraId="7A7E56CF">
      <w:pPr>
        <w:pStyle w:val="33"/>
        <w:widowControl/>
        <w:spacing w:before="240" w:after="240"/>
        <w:jc w:val="left"/>
        <w:rPr>
          <w:rFonts w:ascii="Times New Roman" w:hAnsi="Times New Roman" w:eastAsia="Times New Roman" w:cs="Times New Roman"/>
          <w:kern w:val="0"/>
          <w:sz w:val="24"/>
        </w:rPr>
      </w:pPr>
      <w:r>
        <w:rPr>
          <w:rFonts w:eastAsia="Times New Roman"/>
          <w:kern w:val="0"/>
          <w:sz w:val="24"/>
        </w:rPr>
        <w:t> </w:t>
      </w:r>
    </w:p>
    <w:p w14:paraId="46B5F7BB">
      <w:pPr>
        <w:pStyle w:val="32"/>
        <w:widowControl/>
        <w:spacing w:before="240" w:after="240"/>
        <w:ind w:left="720" w:hanging="720"/>
        <w:jc w:val="left"/>
        <w:rPr>
          <w:rFonts w:ascii="Times New Roman" w:hAnsi="Times New Roman" w:eastAsia="Times New Roman" w:cs="Times New Roman"/>
          <w:kern w:val="0"/>
          <w:sz w:val="24"/>
        </w:rPr>
      </w:pPr>
      <w:r>
        <w:rPr>
          <w:rFonts w:ascii="黑体" w:hAnsi="黑体" w:eastAsia="黑体" w:cs="黑体"/>
          <w:kern w:val="0"/>
          <w:sz w:val="32"/>
          <w:szCs w:val="32"/>
        </w:rPr>
        <w:t xml:space="preserve">七、 一般公共预算财政拨款“三公”经费支出决算表 </w:t>
      </w:r>
    </w:p>
    <w:p w14:paraId="733FA858">
      <w:pPr>
        <w:sectPr>
          <w:pgSz w:w="16383" w:h="11906" w:orient="landscape"/>
          <w:pgMar w:top="1440" w:right="1800" w:bottom="1440" w:left="1800" w:header="720" w:footer="720" w:gutter="0"/>
          <w:pgBorders>
            <w:top w:val="none" w:sz="0" w:space="0"/>
            <w:left w:val="none" w:sz="0" w:space="0"/>
            <w:bottom w:val="none" w:sz="0" w:space="0"/>
            <w:right w:val="none" w:sz="0" w:space="0"/>
          </w:pgBorders>
          <w:cols w:space="720" w:num="1"/>
        </w:sectPr>
      </w:pPr>
    </w:p>
    <w:p w14:paraId="4C7D5212">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20"/>
        <w:tblW w:w="5000" w:type="pct"/>
        <w:tblInd w:w="20" w:type="dxa"/>
        <w:tblLayout w:type="fixed"/>
        <w:tblCellMar>
          <w:top w:w="15" w:type="dxa"/>
          <w:left w:w="15" w:type="dxa"/>
          <w:bottom w:w="15" w:type="dxa"/>
          <w:right w:w="15" w:type="dxa"/>
        </w:tblCellMar>
      </w:tblPr>
      <w:tblGrid>
        <w:gridCol w:w="6278"/>
        <w:gridCol w:w="2982"/>
        <w:gridCol w:w="3563"/>
      </w:tblGrid>
      <w:tr w14:paraId="10B09E20">
        <w:tblPrEx>
          <w:tblCellMar>
            <w:top w:w="15" w:type="dxa"/>
            <w:left w:w="15" w:type="dxa"/>
            <w:bottom w:w="15" w:type="dxa"/>
            <w:right w:w="15" w:type="dxa"/>
          </w:tblCellMar>
        </w:tblPrEx>
        <w:trPr>
          <w:tblHeader/>
        </w:trPr>
        <w:tc>
          <w:tcPr>
            <w:gridSpan w:val="3"/>
            <w:noWrap w:val="0"/>
            <w:tcMar>
              <w:top w:w="20" w:type="dxa"/>
              <w:left w:w="20" w:type="dxa"/>
              <w:bottom w:w="20" w:type="dxa"/>
              <w:right w:w="20" w:type="dxa"/>
            </w:tcMar>
            <w:vAlign w:val="center"/>
          </w:tcPr>
          <w:p w14:paraId="4D168913">
            <w:pPr>
              <w:widowControl/>
              <w:spacing w:line="900" w:lineRule="atLeast"/>
              <w:jc w:val="center"/>
              <w:rPr>
                <w:rFonts w:ascii="Times New Roman" w:hAnsi="Times New Roman" w:eastAsia="Times New Roman" w:cs="Times New Roman"/>
                <w:b w:val="0"/>
                <w:bCs w:val="0"/>
                <w:i w:val="0"/>
                <w:iCs w:val="0"/>
                <w:smallCaps w:val="0"/>
                <w:color w:val="000000"/>
                <w:kern w:val="0"/>
                <w:sz w:val="27"/>
                <w:szCs w:val="27"/>
              </w:rPr>
            </w:pPr>
            <w:r>
              <w:rPr>
                <w:rFonts w:ascii="Times New Roman" w:hAnsi="Times New Roman" w:eastAsia="Times New Roman" w:cs="Times New Roman"/>
                <w:b w:val="0"/>
                <w:bCs w:val="0"/>
                <w:i w:val="0"/>
                <w:iCs w:val="0"/>
                <w:smallCaps w:val="0"/>
                <w:color w:val="000000"/>
                <w:kern w:val="0"/>
                <w:sz w:val="27"/>
                <w:szCs w:val="27"/>
              </w:rPr>
              <w:t>一般公共预算财政拨款“三公”经费支出决算表</w:t>
            </w:r>
          </w:p>
        </w:tc>
      </w:tr>
      <w:tr w14:paraId="34D90A17">
        <w:tblPrEx>
          <w:tblCellMar>
            <w:top w:w="15" w:type="dxa"/>
            <w:left w:w="15" w:type="dxa"/>
            <w:bottom w:w="15" w:type="dxa"/>
            <w:right w:w="15" w:type="dxa"/>
          </w:tblCellMar>
        </w:tblPrEx>
        <w:trPr>
          <w:tblHeader/>
        </w:trPr>
        <w:tc>
          <w:tcPr>
            <w:tcW w:w="21600" w:type="dxa"/>
            <w:gridSpan w:val="2"/>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7655979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607D8BB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公开07表</w:t>
            </w:r>
          </w:p>
        </w:tc>
      </w:tr>
      <w:tr w14:paraId="5FEF24EE">
        <w:tblPrEx>
          <w:tblCellMar>
            <w:top w:w="15" w:type="dxa"/>
            <w:left w:w="15" w:type="dxa"/>
            <w:bottom w:w="15" w:type="dxa"/>
            <w:right w:w="15" w:type="dxa"/>
          </w:tblCellMar>
        </w:tblPrEx>
        <w:trPr>
          <w:tblHeader/>
        </w:trPr>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424665B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编制单位：长汀县馆前镇人民政府（汇总）</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7FF0CA1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02D1C3F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单位：万元</w:t>
            </w:r>
          </w:p>
        </w:tc>
      </w:tr>
      <w:tr w14:paraId="12AECE1F">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986BD6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60F9C9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行次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A814B3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决算数</w:t>
            </w:r>
          </w:p>
        </w:tc>
      </w:tr>
      <w:tr w14:paraId="74AF5201">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04F9EA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7D7EA3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D8DDD01">
            <w:pPr>
              <w:widowControl/>
              <w:jc w:val="center"/>
              <w:rPr>
                <w:rFonts w:hint="eastAsia" w:ascii="Times New Roman" w:hAnsi="Times New Roman" w:eastAsia="宋体" w:cs="Times New Roman"/>
                <w:b w:val="0"/>
                <w:bCs w:val="0"/>
                <w:i w:val="0"/>
                <w:iCs w:val="0"/>
                <w:smallCaps w:val="0"/>
                <w:color w:val="000000"/>
                <w:kern w:val="0"/>
                <w:sz w:val="26"/>
                <w:szCs w:val="26"/>
                <w:lang w:val="en-US" w:eastAsia="zh-CN"/>
              </w:rPr>
            </w:pPr>
            <w:r>
              <w:rPr>
                <w:rFonts w:ascii="Times New Roman" w:hAnsi="Times New Roman" w:eastAsia="Times New Roman" w:cs="Times New Roman"/>
                <w:b w:val="0"/>
                <w:bCs w:val="0"/>
                <w:i w:val="0"/>
                <w:iCs w:val="0"/>
                <w:smallCaps w:val="0"/>
                <w:color w:val="000000"/>
                <w:kern w:val="0"/>
                <w:sz w:val="26"/>
                <w:szCs w:val="26"/>
              </w:rPr>
              <w:t> </w:t>
            </w:r>
            <w:r>
              <w:rPr>
                <w:rFonts w:hint="eastAsia" w:eastAsia="宋体" w:cs="Times New Roman"/>
                <w:b w:val="0"/>
                <w:bCs w:val="0"/>
                <w:i w:val="0"/>
                <w:iCs w:val="0"/>
                <w:smallCaps w:val="0"/>
                <w:color w:val="000000"/>
                <w:kern w:val="0"/>
                <w:sz w:val="26"/>
                <w:szCs w:val="26"/>
                <w:lang w:val="en-US" w:eastAsia="zh-CN"/>
              </w:rPr>
              <w:t>0</w:t>
            </w:r>
          </w:p>
        </w:tc>
      </w:tr>
      <w:tr w14:paraId="65CB6548">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7BD836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 因公出国（境）费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AAD1D6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11B6D78">
            <w:pPr>
              <w:widowControl/>
              <w:jc w:val="center"/>
              <w:rPr>
                <w:rFonts w:ascii="Times New Roman" w:hAnsi="Times New Roman" w:eastAsia="Times New Roman" w:cs="Times New Roman"/>
                <w:b w:val="0"/>
                <w:bCs w:val="0"/>
                <w:i w:val="0"/>
                <w:iCs w:val="0"/>
                <w:smallCaps w:val="0"/>
                <w:color w:val="000000"/>
                <w:kern w:val="0"/>
                <w:sz w:val="26"/>
                <w:szCs w:val="26"/>
              </w:rPr>
            </w:pPr>
            <w:r>
              <w:rPr>
                <w:rFonts w:hint="eastAsia" w:eastAsia="宋体" w:cs="Times New Roman"/>
                <w:b w:val="0"/>
                <w:bCs w:val="0"/>
                <w:i w:val="0"/>
                <w:iCs w:val="0"/>
                <w:smallCaps w:val="0"/>
                <w:color w:val="000000"/>
                <w:kern w:val="0"/>
                <w:sz w:val="26"/>
                <w:szCs w:val="26"/>
                <w:lang w:val="en-US" w:eastAsia="zh-CN"/>
              </w:rPr>
              <w:t>0</w:t>
            </w:r>
            <w:r>
              <w:rPr>
                <w:rFonts w:ascii="Times New Roman" w:hAnsi="Times New Roman" w:eastAsia="Times New Roman" w:cs="Times New Roman"/>
                <w:b w:val="0"/>
                <w:bCs w:val="0"/>
                <w:i w:val="0"/>
                <w:iCs w:val="0"/>
                <w:smallCaps w:val="0"/>
                <w:color w:val="000000"/>
                <w:kern w:val="0"/>
                <w:sz w:val="26"/>
                <w:szCs w:val="26"/>
              </w:rPr>
              <w:t> </w:t>
            </w:r>
          </w:p>
        </w:tc>
      </w:tr>
      <w:tr w14:paraId="07A59238">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C571E7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 公务用车购置及运行维护费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5FA58E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3005624">
            <w:pPr>
              <w:widowControl/>
              <w:jc w:val="center"/>
              <w:rPr>
                <w:rFonts w:ascii="Times New Roman" w:hAnsi="Times New Roman" w:eastAsia="Times New Roman" w:cs="Times New Roman"/>
                <w:b w:val="0"/>
                <w:bCs w:val="0"/>
                <w:i w:val="0"/>
                <w:iCs w:val="0"/>
                <w:smallCaps w:val="0"/>
                <w:color w:val="000000"/>
                <w:kern w:val="0"/>
                <w:sz w:val="26"/>
                <w:szCs w:val="26"/>
              </w:rPr>
            </w:pPr>
            <w:r>
              <w:rPr>
                <w:rFonts w:hint="eastAsia" w:eastAsia="宋体" w:cs="Times New Roman"/>
                <w:b w:val="0"/>
                <w:bCs w:val="0"/>
                <w:i w:val="0"/>
                <w:iCs w:val="0"/>
                <w:smallCaps w:val="0"/>
                <w:color w:val="000000"/>
                <w:kern w:val="0"/>
                <w:sz w:val="26"/>
                <w:szCs w:val="26"/>
                <w:lang w:val="en-US" w:eastAsia="zh-CN"/>
              </w:rPr>
              <w:t>0</w:t>
            </w:r>
            <w:r>
              <w:rPr>
                <w:rFonts w:ascii="Times New Roman" w:hAnsi="Times New Roman" w:eastAsia="Times New Roman" w:cs="Times New Roman"/>
                <w:b w:val="0"/>
                <w:bCs w:val="0"/>
                <w:i w:val="0"/>
                <w:iCs w:val="0"/>
                <w:smallCaps w:val="0"/>
                <w:color w:val="000000"/>
                <w:kern w:val="0"/>
                <w:sz w:val="26"/>
                <w:szCs w:val="26"/>
              </w:rPr>
              <w:t> </w:t>
            </w:r>
          </w:p>
        </w:tc>
      </w:tr>
      <w:tr w14:paraId="299D61DF">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BA7415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其中：（1）公务用车购置费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9CED42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E8357FE">
            <w:pPr>
              <w:widowControl/>
              <w:jc w:val="center"/>
              <w:rPr>
                <w:rFonts w:ascii="Times New Roman" w:hAnsi="Times New Roman" w:eastAsia="Times New Roman" w:cs="Times New Roman"/>
                <w:b w:val="0"/>
                <w:bCs w:val="0"/>
                <w:i w:val="0"/>
                <w:iCs w:val="0"/>
                <w:smallCaps w:val="0"/>
                <w:color w:val="000000"/>
                <w:kern w:val="0"/>
                <w:sz w:val="26"/>
                <w:szCs w:val="26"/>
              </w:rPr>
            </w:pPr>
            <w:r>
              <w:rPr>
                <w:rFonts w:hint="eastAsia" w:eastAsia="宋体" w:cs="Times New Roman"/>
                <w:b w:val="0"/>
                <w:bCs w:val="0"/>
                <w:i w:val="0"/>
                <w:iCs w:val="0"/>
                <w:smallCaps w:val="0"/>
                <w:color w:val="000000"/>
                <w:kern w:val="0"/>
                <w:sz w:val="26"/>
                <w:szCs w:val="26"/>
                <w:lang w:val="en-US" w:eastAsia="zh-CN"/>
              </w:rPr>
              <w:t>0</w:t>
            </w:r>
            <w:r>
              <w:rPr>
                <w:rFonts w:ascii="Times New Roman" w:hAnsi="Times New Roman" w:eastAsia="Times New Roman" w:cs="Times New Roman"/>
                <w:b w:val="0"/>
                <w:bCs w:val="0"/>
                <w:i w:val="0"/>
                <w:iCs w:val="0"/>
                <w:smallCaps w:val="0"/>
                <w:color w:val="000000"/>
                <w:kern w:val="0"/>
                <w:sz w:val="26"/>
                <w:szCs w:val="26"/>
              </w:rPr>
              <w:t> </w:t>
            </w:r>
          </w:p>
        </w:tc>
      </w:tr>
      <w:tr w14:paraId="427D18EE">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10223E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（2）公务用车运行维护费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B0B257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AFB3B95">
            <w:pPr>
              <w:widowControl/>
              <w:jc w:val="center"/>
              <w:rPr>
                <w:rFonts w:ascii="Times New Roman" w:hAnsi="Times New Roman" w:eastAsia="Times New Roman" w:cs="Times New Roman"/>
                <w:b w:val="0"/>
                <w:bCs w:val="0"/>
                <w:i w:val="0"/>
                <w:iCs w:val="0"/>
                <w:smallCaps w:val="0"/>
                <w:color w:val="000000"/>
                <w:kern w:val="0"/>
                <w:sz w:val="26"/>
                <w:szCs w:val="26"/>
              </w:rPr>
            </w:pPr>
            <w:r>
              <w:rPr>
                <w:rFonts w:hint="eastAsia" w:eastAsia="宋体" w:cs="Times New Roman"/>
                <w:b w:val="0"/>
                <w:bCs w:val="0"/>
                <w:i w:val="0"/>
                <w:iCs w:val="0"/>
                <w:smallCaps w:val="0"/>
                <w:color w:val="000000"/>
                <w:kern w:val="0"/>
                <w:sz w:val="26"/>
                <w:szCs w:val="26"/>
                <w:lang w:val="en-US" w:eastAsia="zh-CN"/>
              </w:rPr>
              <w:t>0</w:t>
            </w:r>
            <w:r>
              <w:rPr>
                <w:rFonts w:ascii="Times New Roman" w:hAnsi="Times New Roman" w:eastAsia="Times New Roman" w:cs="Times New Roman"/>
                <w:b w:val="0"/>
                <w:bCs w:val="0"/>
                <w:i w:val="0"/>
                <w:iCs w:val="0"/>
                <w:smallCaps w:val="0"/>
                <w:color w:val="000000"/>
                <w:kern w:val="0"/>
                <w:sz w:val="26"/>
                <w:szCs w:val="26"/>
              </w:rPr>
              <w:t> </w:t>
            </w:r>
          </w:p>
        </w:tc>
      </w:tr>
      <w:tr w14:paraId="6F53DF78">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9E85CB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 公务接待费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8E26F1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57A19B8">
            <w:pPr>
              <w:widowControl/>
              <w:jc w:val="center"/>
              <w:rPr>
                <w:rFonts w:ascii="Times New Roman" w:hAnsi="Times New Roman" w:eastAsia="Times New Roman" w:cs="Times New Roman"/>
                <w:b w:val="0"/>
                <w:bCs w:val="0"/>
                <w:i w:val="0"/>
                <w:iCs w:val="0"/>
                <w:smallCaps w:val="0"/>
                <w:color w:val="000000"/>
                <w:kern w:val="0"/>
                <w:sz w:val="26"/>
                <w:szCs w:val="26"/>
              </w:rPr>
            </w:pPr>
            <w:r>
              <w:rPr>
                <w:rFonts w:hint="eastAsia" w:eastAsia="宋体" w:cs="Times New Roman"/>
                <w:b w:val="0"/>
                <w:bCs w:val="0"/>
                <w:i w:val="0"/>
                <w:iCs w:val="0"/>
                <w:smallCaps w:val="0"/>
                <w:color w:val="000000"/>
                <w:kern w:val="0"/>
                <w:sz w:val="26"/>
                <w:szCs w:val="26"/>
                <w:lang w:val="en-US" w:eastAsia="zh-CN"/>
              </w:rPr>
              <w:t>0</w:t>
            </w:r>
            <w:r>
              <w:rPr>
                <w:rFonts w:ascii="Times New Roman" w:hAnsi="Times New Roman" w:eastAsia="Times New Roman" w:cs="Times New Roman"/>
                <w:b w:val="0"/>
                <w:bCs w:val="0"/>
                <w:i w:val="0"/>
                <w:iCs w:val="0"/>
                <w:smallCaps w:val="0"/>
                <w:color w:val="000000"/>
                <w:kern w:val="0"/>
                <w:sz w:val="26"/>
                <w:szCs w:val="26"/>
              </w:rPr>
              <w:t> </w:t>
            </w:r>
          </w:p>
        </w:tc>
      </w:tr>
    </w:tbl>
    <w:p w14:paraId="4EB347DD">
      <w:pPr>
        <w:pStyle w:val="4"/>
        <w:widowControl/>
        <w:spacing w:before="240" w:after="240"/>
        <w:jc w:val="left"/>
        <w:rPr>
          <w:rFonts w:ascii="Times New Roman" w:hAnsi="Times New Roman" w:eastAsia="Times New Roman" w:cs="Times New Roman"/>
          <w:kern w:val="0"/>
          <w:sz w:val="24"/>
        </w:rPr>
      </w:pPr>
      <w:r>
        <w:rPr>
          <w:rFonts w:ascii="宋体" w:hAnsi="宋体" w:cs="宋体"/>
          <w:kern w:val="0"/>
          <w:sz w:val="24"/>
        </w:rPr>
        <w:t>注：本表反映单位本年度“三公”经费支出决算情况，包括当年一般公共预算财政拨款和以前年度结转资金安排的实际支出。</w:t>
      </w:r>
    </w:p>
    <w:p w14:paraId="26BF346F">
      <w:pPr>
        <w:pStyle w:val="4"/>
        <w:widowControl/>
        <w:spacing w:before="100" w:after="100"/>
        <w:ind w:left="0" w:right="0" w:firstLine="0"/>
        <w:jc w:val="left"/>
        <w:rPr>
          <w:rFonts w:ascii="Times New Roman" w:hAnsi="Times New Roman" w:eastAsia="Times New Roman" w:cs="Times New Roman"/>
          <w:kern w:val="0"/>
          <w:sz w:val="24"/>
        </w:rPr>
      </w:pPr>
      <w:r>
        <w:rPr>
          <w:rFonts w:ascii="宋体" w:hAnsi="宋体" w:cs="宋体"/>
          <w:spacing w:val="0"/>
          <w:kern w:val="0"/>
          <w:sz w:val="32"/>
          <w:szCs w:val="32"/>
        </w:rPr>
        <w:t> </w:t>
      </w:r>
    </w:p>
    <w:p w14:paraId="1D17A961">
      <w:pPr>
        <w:pStyle w:val="4"/>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32"/>
          <w:szCs w:val="32"/>
        </w:rPr>
        <w:t xml:space="preserve">八、政府性基金预算财政拨款收入支出决算表 </w:t>
      </w:r>
    </w:p>
    <w:p w14:paraId="77157F2A">
      <w:pPr>
        <w:sectPr>
          <w:pgSz w:w="16383" w:h="11906" w:orient="landscape"/>
          <w:pgMar w:top="1440" w:right="1800" w:bottom="1440" w:left="1800" w:header="720" w:footer="720" w:gutter="0"/>
          <w:pgBorders>
            <w:top w:val="none" w:sz="0" w:space="0"/>
            <w:left w:val="none" w:sz="0" w:space="0"/>
            <w:bottom w:val="none" w:sz="0" w:space="0"/>
            <w:right w:val="none" w:sz="0" w:space="0"/>
          </w:pgBorders>
          <w:cols w:space="720" w:num="1"/>
        </w:sectPr>
      </w:pPr>
    </w:p>
    <w:p w14:paraId="1B3528D6">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20"/>
        <w:tblW w:w="5000" w:type="pct"/>
        <w:tblInd w:w="20" w:type="dxa"/>
        <w:tblLayout w:type="fixed"/>
        <w:tblCellMar>
          <w:top w:w="15" w:type="dxa"/>
          <w:left w:w="15" w:type="dxa"/>
          <w:bottom w:w="15" w:type="dxa"/>
          <w:right w:w="15" w:type="dxa"/>
        </w:tblCellMar>
      </w:tblPr>
      <w:tblGrid>
        <w:gridCol w:w="1109"/>
        <w:gridCol w:w="1109"/>
        <w:gridCol w:w="1109"/>
        <w:gridCol w:w="1257"/>
        <w:gridCol w:w="1776"/>
        <w:gridCol w:w="1257"/>
        <w:gridCol w:w="912"/>
        <w:gridCol w:w="1257"/>
        <w:gridCol w:w="1257"/>
        <w:gridCol w:w="1778"/>
      </w:tblGrid>
      <w:tr w14:paraId="0D323FD9">
        <w:tblPrEx>
          <w:tblCellMar>
            <w:top w:w="15" w:type="dxa"/>
            <w:left w:w="15" w:type="dxa"/>
            <w:bottom w:w="15" w:type="dxa"/>
            <w:right w:w="15" w:type="dxa"/>
          </w:tblCellMar>
        </w:tblPrEx>
        <w:trPr>
          <w:tblHeader/>
        </w:trPr>
        <w:tc>
          <w:tcPr>
            <w:gridSpan w:val="10"/>
            <w:noWrap w:val="0"/>
            <w:tcMar>
              <w:top w:w="20" w:type="dxa"/>
              <w:left w:w="20" w:type="dxa"/>
              <w:bottom w:w="20" w:type="dxa"/>
              <w:right w:w="20" w:type="dxa"/>
            </w:tcMar>
            <w:vAlign w:val="center"/>
          </w:tcPr>
          <w:p w14:paraId="1C496252">
            <w:pPr>
              <w:widowControl/>
              <w:spacing w:line="900" w:lineRule="atLeast"/>
              <w:jc w:val="center"/>
              <w:rPr>
                <w:rFonts w:ascii="Times New Roman" w:hAnsi="Times New Roman" w:eastAsia="Times New Roman" w:cs="Times New Roman"/>
                <w:b w:val="0"/>
                <w:bCs w:val="0"/>
                <w:i w:val="0"/>
                <w:iCs w:val="0"/>
                <w:smallCaps w:val="0"/>
                <w:color w:val="000000"/>
                <w:kern w:val="0"/>
                <w:sz w:val="27"/>
                <w:szCs w:val="27"/>
              </w:rPr>
            </w:pPr>
            <w:r>
              <w:rPr>
                <w:rFonts w:ascii="Times New Roman" w:hAnsi="Times New Roman" w:eastAsia="Times New Roman" w:cs="Times New Roman"/>
                <w:b w:val="0"/>
                <w:bCs w:val="0"/>
                <w:i w:val="0"/>
                <w:iCs w:val="0"/>
                <w:smallCaps w:val="0"/>
                <w:color w:val="000000"/>
                <w:kern w:val="0"/>
                <w:sz w:val="27"/>
                <w:szCs w:val="27"/>
              </w:rPr>
              <w:t>政府性基金预算财政拨款收入支出决算表</w:t>
            </w:r>
          </w:p>
        </w:tc>
      </w:tr>
      <w:tr w14:paraId="2FD98223">
        <w:tblPrEx>
          <w:tblCellMar>
            <w:top w:w="15" w:type="dxa"/>
            <w:left w:w="15" w:type="dxa"/>
            <w:bottom w:w="15" w:type="dxa"/>
            <w:right w:w="15" w:type="dxa"/>
          </w:tblCellMar>
        </w:tblPrEx>
        <w:trPr>
          <w:tblHeader/>
        </w:trPr>
        <w:tc>
          <w:tcPr>
            <w:tcW w:w="5295"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070B523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5295"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24A04BE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5295"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11A7564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726CB6D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6C3E84D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5E70059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00499CC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65E8328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3848636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7F29118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公开08表</w:t>
            </w:r>
          </w:p>
        </w:tc>
      </w:tr>
      <w:tr w14:paraId="6083F378">
        <w:tblPrEx>
          <w:tblCellMar>
            <w:top w:w="15" w:type="dxa"/>
            <w:left w:w="15" w:type="dxa"/>
            <w:bottom w:w="15" w:type="dxa"/>
            <w:right w:w="15" w:type="dxa"/>
          </w:tblCellMar>
        </w:tblPrEx>
        <w:tc>
          <w:tcPr>
            <w:tcW w:w="5295" w:type="dxa"/>
            <w:gridSpan w:val="5"/>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1C01CE7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编制单位：长汀县馆前镇人民政府（汇总）</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1F46B2A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5EA3F05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4D8B18B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5302BC4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62C7C89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单位：万元</w:t>
            </w:r>
          </w:p>
        </w:tc>
      </w:tr>
      <w:tr w14:paraId="716CF422">
        <w:tblPrEx>
          <w:tblCellMar>
            <w:top w:w="15" w:type="dxa"/>
            <w:left w:w="15" w:type="dxa"/>
            <w:bottom w:w="15" w:type="dxa"/>
            <w:right w:w="15" w:type="dxa"/>
          </w:tblCellMar>
        </w:tblPrEx>
        <w:tc>
          <w:tcPr>
            <w:tcW w:w="5295" w:type="dxa"/>
            <w:gridSpan w:val="4"/>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1E5AB3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9839F6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年初结转和结余 </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48A266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本年收入</w:t>
            </w:r>
          </w:p>
        </w:tc>
        <w:tc>
          <w:tcPr>
            <w:tcW w:w="21600"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124955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本年支出</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6EE1C4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年末结转和结余</w:t>
            </w:r>
          </w:p>
        </w:tc>
      </w:tr>
      <w:tr w14:paraId="77E5E8BE">
        <w:tblPrEx>
          <w:tblCellMar>
            <w:top w:w="15" w:type="dxa"/>
            <w:left w:w="15" w:type="dxa"/>
            <w:bottom w:w="15" w:type="dxa"/>
            <w:right w:w="15" w:type="dxa"/>
          </w:tblCellMar>
        </w:tblPrEx>
        <w:tc>
          <w:tcPr>
            <w:tcW w:w="5295" w:type="dxa"/>
            <w:gridSpan w:val="3"/>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047500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支出功能分类科目编码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778B90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科目名称</w:t>
            </w:r>
          </w:p>
        </w:tc>
        <w:tc>
          <w:tcPr>
            <w:vMerge w:val="continue"/>
            <w:tcBorders>
              <w:top w:val="single" w:color="000000" w:sz="6" w:space="0"/>
              <w:left w:val="single" w:color="000000" w:sz="6" w:space="0"/>
              <w:bottom w:val="single" w:color="000000" w:sz="6" w:space="0"/>
              <w:right w:val="single" w:color="000000" w:sz="6" w:space="0"/>
            </w:tcBorders>
            <w:vAlign w:val="center"/>
          </w:tcPr>
          <w:p w14:paraId="0F2E3A30">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02CE73F8">
            <w:pPr>
              <w:rPr>
                <w:rFonts w:ascii="Times New Roman" w:hAnsi="Times New Roman" w:eastAsia="Times New Roman" w:cs="Times New Roman"/>
                <w:b w:val="0"/>
                <w:bCs w:val="0"/>
                <w:i w:val="0"/>
                <w:iCs w:val="0"/>
                <w:smallCaps w:val="0"/>
                <w:color w:val="000000"/>
                <w:kern w:val="0"/>
                <w:sz w:val="26"/>
                <w:szCs w:val="26"/>
              </w:rPr>
            </w:pP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05CE1C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小计</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8C1323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基本支出 </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D208C8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项目支出</w:t>
            </w:r>
          </w:p>
        </w:tc>
        <w:tc>
          <w:tcPr>
            <w:vMerge w:val="continue"/>
            <w:tcBorders>
              <w:top w:val="single" w:color="000000" w:sz="6" w:space="0"/>
              <w:left w:val="single" w:color="000000" w:sz="6" w:space="0"/>
              <w:bottom w:val="single" w:color="000000" w:sz="6" w:space="0"/>
              <w:right w:val="single" w:color="000000" w:sz="6" w:space="0"/>
            </w:tcBorders>
            <w:vAlign w:val="center"/>
          </w:tcPr>
          <w:p w14:paraId="316570F6">
            <w:pPr>
              <w:rPr>
                <w:rFonts w:ascii="Times New Roman" w:hAnsi="Times New Roman" w:eastAsia="Times New Roman" w:cs="Times New Roman"/>
                <w:b w:val="0"/>
                <w:bCs w:val="0"/>
                <w:i w:val="0"/>
                <w:iCs w:val="0"/>
                <w:smallCaps w:val="0"/>
                <w:color w:val="000000"/>
                <w:kern w:val="0"/>
                <w:sz w:val="26"/>
                <w:szCs w:val="26"/>
              </w:rPr>
            </w:pPr>
          </w:p>
        </w:tc>
      </w:tr>
      <w:tr w14:paraId="45259A90">
        <w:tblPrEx>
          <w:tblCellMar>
            <w:top w:w="15" w:type="dxa"/>
            <w:left w:w="15" w:type="dxa"/>
            <w:bottom w:w="15" w:type="dxa"/>
            <w:right w:w="15" w:type="dxa"/>
          </w:tblCellMar>
        </w:tblPrEx>
        <w:tc>
          <w:tcPr>
            <w:gridSpan w:val="3"/>
            <w:vMerge w:val="continue"/>
            <w:tcBorders>
              <w:top w:val="single" w:color="000000" w:sz="6" w:space="0"/>
              <w:left w:val="single" w:color="000000" w:sz="6" w:space="0"/>
              <w:bottom w:val="single" w:color="000000" w:sz="6" w:space="0"/>
              <w:right w:val="single" w:color="000000" w:sz="6" w:space="0"/>
            </w:tcBorders>
            <w:vAlign w:val="center"/>
          </w:tcPr>
          <w:p w14:paraId="70E6BABD">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6E05B1A0">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694BC9EA">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4458D247">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09305DF7">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4E258D8C">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235BDEDC">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0C1B8290">
            <w:pPr>
              <w:rPr>
                <w:rFonts w:ascii="Times New Roman" w:hAnsi="Times New Roman" w:eastAsia="Times New Roman" w:cs="Times New Roman"/>
                <w:b w:val="0"/>
                <w:bCs w:val="0"/>
                <w:i w:val="0"/>
                <w:iCs w:val="0"/>
                <w:smallCaps w:val="0"/>
                <w:color w:val="000000"/>
                <w:kern w:val="0"/>
                <w:sz w:val="26"/>
                <w:szCs w:val="26"/>
              </w:rPr>
            </w:pPr>
          </w:p>
        </w:tc>
      </w:tr>
      <w:tr w14:paraId="19D0AD7C">
        <w:tblPrEx>
          <w:tblCellMar>
            <w:top w:w="15" w:type="dxa"/>
            <w:left w:w="15" w:type="dxa"/>
            <w:bottom w:w="15" w:type="dxa"/>
            <w:right w:w="15" w:type="dxa"/>
          </w:tblCellMar>
        </w:tblPrEx>
        <w:tc>
          <w:tcPr>
            <w:tcW w:w="5295"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22DC2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类</w:t>
            </w:r>
          </w:p>
        </w:tc>
        <w:tc>
          <w:tcPr>
            <w:tcW w:w="5295"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AEC40D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款</w:t>
            </w:r>
          </w:p>
        </w:tc>
        <w:tc>
          <w:tcPr>
            <w:tcW w:w="5295"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A4925C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702F7F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栏次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DA4061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FB0C30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552FC3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98D6EE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DE460A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D652AE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w:t>
            </w:r>
          </w:p>
        </w:tc>
      </w:tr>
      <w:tr w14:paraId="639C0DF3">
        <w:tblPrEx>
          <w:tblCellMar>
            <w:top w:w="15" w:type="dxa"/>
            <w:left w:w="15" w:type="dxa"/>
            <w:bottom w:w="15" w:type="dxa"/>
            <w:right w:w="15" w:type="dxa"/>
          </w:tblCellMar>
        </w:tblPrEx>
        <w:tc>
          <w:tcPr>
            <w:vMerge w:val="continue"/>
            <w:tcBorders>
              <w:top w:val="single" w:color="000000" w:sz="6" w:space="0"/>
              <w:left w:val="single" w:color="000000" w:sz="6" w:space="0"/>
              <w:bottom w:val="single" w:color="000000" w:sz="6" w:space="0"/>
              <w:right w:val="single" w:color="000000" w:sz="6" w:space="0"/>
            </w:tcBorders>
            <w:vAlign w:val="center"/>
          </w:tcPr>
          <w:p w14:paraId="1C9BCD2F">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5F9F5BC8">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755E7D74">
            <w:pPr>
              <w:rPr>
                <w:rFonts w:ascii="Times New Roman" w:hAnsi="Times New Roman" w:eastAsia="Times New Roman" w:cs="Times New Roman"/>
                <w:b w:val="0"/>
                <w:bCs w:val="0"/>
                <w:i w:val="0"/>
                <w:iCs w:val="0"/>
                <w:smallCaps w:val="0"/>
                <w:color w:val="000000"/>
                <w:kern w:val="0"/>
                <w:sz w:val="26"/>
                <w:szCs w:val="26"/>
              </w:rPr>
            </w:pP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DCB3D5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6CCFF3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CC0B4A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9B6BC3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753E88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41D5AA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B1A9F0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7370FB0F">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9B892F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9DF3E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84A1B3C">
            <w:pPr>
              <w:widowControl/>
              <w:jc w:val="center"/>
              <w:rPr>
                <w:rFonts w:ascii="Times New Roman" w:hAnsi="Times New Roman" w:eastAsia="Times New Roman" w:cs="Times New Roman"/>
                <w:b w:val="0"/>
                <w:bCs w:val="0"/>
                <w:i w:val="0"/>
                <w:iCs w:val="0"/>
                <w:smallCaps w:val="0"/>
                <w:color w:val="000000"/>
                <w:kern w:val="0"/>
                <w:sz w:val="26"/>
                <w:szCs w:val="26"/>
              </w:rPr>
            </w:pPr>
            <w:r>
              <w:rPr>
                <w:rFonts w:hint="eastAsia" w:eastAsia="宋体" w:cs="Times New Roman"/>
                <w:b w:val="0"/>
                <w:bCs w:val="0"/>
                <w:i w:val="0"/>
                <w:iCs w:val="0"/>
                <w:smallCaps w:val="0"/>
                <w:color w:val="000000"/>
                <w:kern w:val="0"/>
                <w:sz w:val="26"/>
                <w:szCs w:val="26"/>
                <w:lang w:val="en-US" w:eastAsia="zh-CN"/>
              </w:rPr>
              <w:t>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722653E">
            <w:pPr>
              <w:widowControl/>
              <w:jc w:val="center"/>
              <w:rPr>
                <w:rFonts w:ascii="Times New Roman" w:hAnsi="Times New Roman" w:eastAsia="Times New Roman" w:cs="Times New Roman"/>
                <w:b w:val="0"/>
                <w:bCs w:val="0"/>
                <w:i w:val="0"/>
                <w:iCs w:val="0"/>
                <w:smallCaps w:val="0"/>
                <w:color w:val="000000"/>
                <w:kern w:val="0"/>
                <w:sz w:val="26"/>
                <w:szCs w:val="26"/>
              </w:rPr>
            </w:pPr>
            <w:r>
              <w:rPr>
                <w:rFonts w:hint="eastAsia" w:eastAsia="宋体" w:cs="Times New Roman"/>
                <w:b w:val="0"/>
                <w:bCs w:val="0"/>
                <w:i w:val="0"/>
                <w:iCs w:val="0"/>
                <w:smallCaps w:val="0"/>
                <w:color w:val="000000"/>
                <w:kern w:val="0"/>
                <w:sz w:val="26"/>
                <w:szCs w:val="26"/>
                <w:lang w:val="en-US" w:eastAsia="zh-CN"/>
              </w:rPr>
              <w:t>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BC9A14B">
            <w:pPr>
              <w:widowControl/>
              <w:jc w:val="center"/>
              <w:rPr>
                <w:rFonts w:ascii="Times New Roman" w:hAnsi="Times New Roman" w:eastAsia="Times New Roman" w:cs="Times New Roman"/>
                <w:b w:val="0"/>
                <w:bCs w:val="0"/>
                <w:i w:val="0"/>
                <w:iCs w:val="0"/>
                <w:smallCaps w:val="0"/>
                <w:color w:val="000000"/>
                <w:kern w:val="0"/>
                <w:sz w:val="26"/>
                <w:szCs w:val="26"/>
              </w:rPr>
            </w:pPr>
            <w:r>
              <w:rPr>
                <w:rFonts w:hint="eastAsia" w:eastAsia="宋体" w:cs="Times New Roman"/>
                <w:b w:val="0"/>
                <w:bCs w:val="0"/>
                <w:i w:val="0"/>
                <w:iCs w:val="0"/>
                <w:smallCaps w:val="0"/>
                <w:color w:val="000000"/>
                <w:kern w:val="0"/>
                <w:sz w:val="26"/>
                <w:szCs w:val="26"/>
                <w:lang w:val="en-US" w:eastAsia="zh-CN"/>
              </w:rPr>
              <w:t>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29B6DD8">
            <w:pPr>
              <w:widowControl/>
              <w:jc w:val="center"/>
              <w:rPr>
                <w:rFonts w:ascii="Times New Roman" w:hAnsi="Times New Roman" w:eastAsia="Times New Roman" w:cs="Times New Roman"/>
                <w:b w:val="0"/>
                <w:bCs w:val="0"/>
                <w:i w:val="0"/>
                <w:iCs w:val="0"/>
                <w:smallCaps w:val="0"/>
                <w:color w:val="000000"/>
                <w:kern w:val="0"/>
                <w:sz w:val="26"/>
                <w:szCs w:val="26"/>
              </w:rPr>
            </w:pPr>
            <w:r>
              <w:rPr>
                <w:rFonts w:hint="eastAsia" w:eastAsia="宋体" w:cs="Times New Roman"/>
                <w:b w:val="0"/>
                <w:bCs w:val="0"/>
                <w:i w:val="0"/>
                <w:iCs w:val="0"/>
                <w:smallCaps w:val="0"/>
                <w:color w:val="000000"/>
                <w:kern w:val="0"/>
                <w:sz w:val="26"/>
                <w:szCs w:val="26"/>
                <w:lang w:val="en-US" w:eastAsia="zh-CN"/>
              </w:rPr>
              <w:t>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B9A06B1">
            <w:pPr>
              <w:widowControl/>
              <w:jc w:val="center"/>
              <w:rPr>
                <w:rFonts w:ascii="Times New Roman" w:hAnsi="Times New Roman" w:eastAsia="Times New Roman" w:cs="Times New Roman"/>
                <w:b w:val="0"/>
                <w:bCs w:val="0"/>
                <w:i w:val="0"/>
                <w:iCs w:val="0"/>
                <w:smallCaps w:val="0"/>
                <w:color w:val="000000"/>
                <w:kern w:val="0"/>
                <w:sz w:val="26"/>
                <w:szCs w:val="26"/>
              </w:rPr>
            </w:pPr>
            <w:r>
              <w:rPr>
                <w:rFonts w:hint="eastAsia" w:eastAsia="宋体" w:cs="Times New Roman"/>
                <w:b w:val="0"/>
                <w:bCs w:val="0"/>
                <w:i w:val="0"/>
                <w:iCs w:val="0"/>
                <w:smallCaps w:val="0"/>
                <w:color w:val="000000"/>
                <w:kern w:val="0"/>
                <w:sz w:val="26"/>
                <w:szCs w:val="26"/>
                <w:lang w:val="en-US" w:eastAsia="zh-CN"/>
              </w:rPr>
              <w:t>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22E05ED">
            <w:pPr>
              <w:widowControl/>
              <w:jc w:val="center"/>
              <w:rPr>
                <w:rFonts w:ascii="Times New Roman" w:hAnsi="Times New Roman" w:eastAsia="Times New Roman" w:cs="Times New Roman"/>
                <w:b w:val="0"/>
                <w:bCs w:val="0"/>
                <w:i w:val="0"/>
                <w:iCs w:val="0"/>
                <w:smallCaps w:val="0"/>
                <w:color w:val="000000"/>
                <w:kern w:val="0"/>
                <w:sz w:val="26"/>
                <w:szCs w:val="26"/>
              </w:rPr>
            </w:pPr>
            <w:r>
              <w:rPr>
                <w:rFonts w:hint="eastAsia" w:eastAsia="宋体" w:cs="Times New Roman"/>
                <w:b w:val="0"/>
                <w:bCs w:val="0"/>
                <w:i w:val="0"/>
                <w:iCs w:val="0"/>
                <w:smallCaps w:val="0"/>
                <w:color w:val="000000"/>
                <w:kern w:val="0"/>
                <w:sz w:val="26"/>
                <w:szCs w:val="26"/>
                <w:lang w:val="en-US" w:eastAsia="zh-CN"/>
              </w:rPr>
              <w:t>0</w:t>
            </w:r>
          </w:p>
        </w:tc>
      </w:tr>
    </w:tbl>
    <w:p w14:paraId="1B57F1EB">
      <w:pPr>
        <w:pStyle w:val="33"/>
        <w:widowControl/>
        <w:spacing w:before="240" w:after="240"/>
        <w:jc w:val="left"/>
        <w:rPr>
          <w:rFonts w:ascii="Times New Roman" w:hAnsi="Times New Roman" w:eastAsia="Times New Roman" w:cs="Times New Roman"/>
          <w:kern w:val="0"/>
          <w:sz w:val="24"/>
        </w:rPr>
      </w:pPr>
      <w:r>
        <w:rPr>
          <w:rFonts w:ascii="宋体" w:hAnsi="宋体" w:cs="宋体"/>
          <w:kern w:val="0"/>
          <w:sz w:val="24"/>
        </w:rPr>
        <w:t>注：</w:t>
      </w:r>
      <w:r>
        <w:rPr>
          <w:rFonts w:eastAsia="Times New Roman"/>
          <w:kern w:val="0"/>
          <w:sz w:val="24"/>
        </w:rPr>
        <w:t>1.</w:t>
      </w:r>
      <w:r>
        <w:rPr>
          <w:rFonts w:ascii="黑体....." w:hAnsi="黑体....." w:eastAsia="黑体....." w:cs="黑体....."/>
          <w:kern w:val="0"/>
          <w:sz w:val="24"/>
        </w:rPr>
        <w:t> </w:t>
      </w:r>
      <w:r>
        <w:rPr>
          <w:rFonts w:ascii="宋体" w:hAnsi="宋体" w:cs="宋体"/>
          <w:kern w:val="0"/>
          <w:sz w:val="24"/>
        </w:rPr>
        <w:t>本表反映单位本年度政府性基金预算财政拨款收入、支出及结转和结余情况。</w:t>
      </w:r>
    </w:p>
    <w:p w14:paraId="77CC9227">
      <w:pPr>
        <w:pStyle w:val="4"/>
        <w:widowControl/>
        <w:spacing w:before="240" w:after="240"/>
        <w:ind w:firstLine="480"/>
        <w:jc w:val="left"/>
        <w:rPr>
          <w:rFonts w:ascii="Times New Roman" w:hAnsi="Times New Roman" w:eastAsia="Times New Roman" w:cs="Times New Roman"/>
          <w:kern w:val="0"/>
          <w:sz w:val="24"/>
        </w:rPr>
      </w:pPr>
      <w:r>
        <w:rPr>
          <w:rFonts w:eastAsia="Times New Roman"/>
          <w:kern w:val="0"/>
          <w:sz w:val="24"/>
        </w:rPr>
        <w:t xml:space="preserve">2. </w:t>
      </w:r>
      <w:r>
        <w:rPr>
          <w:rFonts w:ascii="宋体" w:hAnsi="宋体" w:cs="宋体"/>
          <w:kern w:val="0"/>
          <w:sz w:val="24"/>
        </w:rPr>
        <w:t>本单位</w:t>
      </w:r>
      <w:r>
        <w:rPr>
          <w:rFonts w:eastAsia="Times New Roman"/>
          <w:kern w:val="0"/>
          <w:sz w:val="24"/>
        </w:rPr>
        <w:t>2023</w:t>
      </w:r>
      <w:r>
        <w:rPr>
          <w:rFonts w:ascii="宋体" w:hAnsi="宋体" w:cs="宋体"/>
          <w:kern w:val="0"/>
          <w:sz w:val="24"/>
        </w:rPr>
        <w:t>年度没有使用政府性基金预算拨款安排的收支。</w:t>
      </w:r>
    </w:p>
    <w:p w14:paraId="32DEFE78">
      <w:pPr>
        <w:pStyle w:val="4"/>
        <w:widowControl/>
        <w:spacing w:before="240" w:after="240"/>
        <w:ind w:firstLine="480"/>
        <w:jc w:val="left"/>
        <w:rPr>
          <w:rFonts w:ascii="Times New Roman" w:hAnsi="Times New Roman" w:eastAsia="Times New Roman" w:cs="Times New Roman"/>
          <w:kern w:val="0"/>
          <w:sz w:val="24"/>
        </w:rPr>
      </w:pPr>
      <w:r>
        <w:rPr>
          <w:rFonts w:eastAsia="Times New Roman"/>
          <w:kern w:val="0"/>
          <w:sz w:val="24"/>
        </w:rPr>
        <w:t> </w:t>
      </w:r>
    </w:p>
    <w:p w14:paraId="5A12F26F">
      <w:pPr>
        <w:pStyle w:val="33"/>
        <w:widowControl/>
        <w:spacing w:before="240" w:after="240"/>
        <w:ind w:left="720" w:hanging="720"/>
        <w:jc w:val="left"/>
        <w:rPr>
          <w:rFonts w:ascii="Times New Roman" w:hAnsi="Times New Roman" w:eastAsia="Times New Roman" w:cs="Times New Roman"/>
          <w:kern w:val="0"/>
          <w:sz w:val="24"/>
        </w:rPr>
      </w:pPr>
      <w:r>
        <w:rPr>
          <w:rFonts w:hint="eastAsia" w:ascii="黑体" w:hAnsi="黑体" w:eastAsia="黑体" w:cs="黑体"/>
          <w:kern w:val="0"/>
          <w:sz w:val="32"/>
          <w:szCs w:val="32"/>
          <w:lang w:eastAsia="zh-CN"/>
        </w:rPr>
        <w:t>九</w:t>
      </w:r>
      <w:bookmarkStart w:id="1" w:name="_GoBack"/>
      <w:bookmarkEnd w:id="1"/>
      <w:r>
        <w:rPr>
          <w:rFonts w:ascii="黑体" w:hAnsi="黑体" w:eastAsia="黑体" w:cs="黑体"/>
          <w:kern w:val="0"/>
          <w:sz w:val="32"/>
          <w:szCs w:val="32"/>
        </w:rPr>
        <w:t>、 国有资本经营预算财政拨款支出决算表</w:t>
      </w:r>
    </w:p>
    <w:p w14:paraId="13CC1793">
      <w:pPr>
        <w:sectPr>
          <w:pgSz w:w="16383" w:h="11906" w:orient="landscape"/>
          <w:pgMar w:top="1440" w:right="1800" w:bottom="1440" w:left="1800" w:header="720" w:footer="720" w:gutter="0"/>
          <w:pgBorders>
            <w:top w:val="none" w:sz="0" w:space="0"/>
            <w:left w:val="none" w:sz="0" w:space="0"/>
            <w:bottom w:val="none" w:sz="0" w:space="0"/>
            <w:right w:val="none" w:sz="0" w:space="0"/>
          </w:pgBorders>
          <w:cols w:space="720" w:num="1"/>
        </w:sectPr>
      </w:pPr>
    </w:p>
    <w:p w14:paraId="275226C1">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20"/>
        <w:tblW w:w="5000" w:type="pct"/>
        <w:tblInd w:w="20" w:type="dxa"/>
        <w:tblLayout w:type="fixed"/>
        <w:tblCellMar>
          <w:top w:w="15" w:type="dxa"/>
          <w:left w:w="15" w:type="dxa"/>
          <w:bottom w:w="15" w:type="dxa"/>
          <w:right w:w="15" w:type="dxa"/>
        </w:tblCellMar>
      </w:tblPr>
      <w:tblGrid>
        <w:gridCol w:w="2114"/>
        <w:gridCol w:w="2114"/>
        <w:gridCol w:w="1156"/>
        <w:gridCol w:w="1416"/>
        <w:gridCol w:w="1546"/>
      </w:tblGrid>
      <w:tr w14:paraId="7BB63A20">
        <w:tblPrEx>
          <w:tblCellMar>
            <w:top w:w="15" w:type="dxa"/>
            <w:left w:w="15" w:type="dxa"/>
            <w:bottom w:w="15" w:type="dxa"/>
            <w:right w:w="15" w:type="dxa"/>
          </w:tblCellMar>
        </w:tblPrEx>
        <w:trPr>
          <w:tblHeader/>
        </w:trPr>
        <w:tc>
          <w:tcPr>
            <w:gridSpan w:val="5"/>
            <w:noWrap w:val="0"/>
            <w:tcMar>
              <w:top w:w="20" w:type="dxa"/>
              <w:left w:w="20" w:type="dxa"/>
              <w:bottom w:w="20" w:type="dxa"/>
              <w:right w:w="20" w:type="dxa"/>
            </w:tcMar>
            <w:vAlign w:val="center"/>
          </w:tcPr>
          <w:p w14:paraId="22D0502A">
            <w:pPr>
              <w:widowControl/>
              <w:spacing w:line="900" w:lineRule="atLeast"/>
              <w:jc w:val="center"/>
              <w:rPr>
                <w:rFonts w:ascii="Times New Roman" w:hAnsi="Times New Roman" w:eastAsia="Times New Roman" w:cs="Times New Roman"/>
                <w:b w:val="0"/>
                <w:bCs w:val="0"/>
                <w:i w:val="0"/>
                <w:iCs w:val="0"/>
                <w:smallCaps w:val="0"/>
                <w:color w:val="000000"/>
                <w:kern w:val="0"/>
                <w:sz w:val="27"/>
                <w:szCs w:val="27"/>
              </w:rPr>
            </w:pPr>
            <w:r>
              <w:rPr>
                <w:rFonts w:ascii="Times New Roman" w:hAnsi="Times New Roman" w:eastAsia="Times New Roman" w:cs="Times New Roman"/>
                <w:b w:val="0"/>
                <w:bCs w:val="0"/>
                <w:i w:val="0"/>
                <w:iCs w:val="0"/>
                <w:smallCaps w:val="0"/>
                <w:color w:val="000000"/>
                <w:kern w:val="0"/>
                <w:sz w:val="27"/>
                <w:szCs w:val="27"/>
              </w:rPr>
              <w:t>国有资本经营预算财政拨款支出决算表</w:t>
            </w:r>
          </w:p>
        </w:tc>
      </w:tr>
      <w:tr w14:paraId="537D1CEB">
        <w:tblPrEx>
          <w:tblCellMar>
            <w:top w:w="15" w:type="dxa"/>
            <w:left w:w="15" w:type="dxa"/>
            <w:bottom w:w="15" w:type="dxa"/>
            <w:right w:w="15" w:type="dxa"/>
          </w:tblCellMar>
        </w:tblPrEx>
        <w:trPr>
          <w:tblHeader/>
        </w:trPr>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1DA7F55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44C66B1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476D42A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7AE212B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4257BD0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公开09表</w:t>
            </w:r>
          </w:p>
        </w:tc>
      </w:tr>
      <w:tr w14:paraId="438861F2">
        <w:tblPrEx>
          <w:tblCellMar>
            <w:top w:w="15" w:type="dxa"/>
            <w:left w:w="15" w:type="dxa"/>
            <w:bottom w:w="15" w:type="dxa"/>
            <w:right w:w="15" w:type="dxa"/>
          </w:tblCellMar>
        </w:tblPrEx>
        <w:tc>
          <w:tcPr>
            <w:tcW w:w="21600" w:type="dxa"/>
            <w:gridSpan w:val="2"/>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78D5B3C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2"/>
                <w:szCs w:val="22"/>
              </w:rPr>
              <w:t>编制单位：长汀县馆前镇人民政府（汇总）</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23A437B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49C491E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4CC661F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2"/>
                <w:szCs w:val="22"/>
              </w:rPr>
              <w:t>单位：万元</w:t>
            </w:r>
          </w:p>
        </w:tc>
      </w:tr>
      <w:tr w14:paraId="5E7C886C">
        <w:tblPrEx>
          <w:tblCellMar>
            <w:top w:w="15" w:type="dxa"/>
            <w:left w:w="15" w:type="dxa"/>
            <w:bottom w:w="15" w:type="dxa"/>
            <w:right w:w="15" w:type="dxa"/>
          </w:tblCellMar>
        </w:tblPrEx>
        <w:tc>
          <w:tcPr>
            <w:tcW w:w="21600" w:type="dxa"/>
            <w:gridSpan w:val="2"/>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0568DC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 目</w:t>
            </w:r>
          </w:p>
        </w:tc>
        <w:tc>
          <w:tcPr>
            <w:tcW w:w="21600"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9A416F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本年支出</w:t>
            </w:r>
          </w:p>
        </w:tc>
      </w:tr>
      <w:tr w14:paraId="57E0DA87">
        <w:tblPrEx>
          <w:tblCellMar>
            <w:top w:w="15" w:type="dxa"/>
            <w:left w:w="15" w:type="dxa"/>
            <w:bottom w:w="15" w:type="dxa"/>
            <w:right w:w="15" w:type="dxa"/>
          </w:tblCellMar>
        </w:tblPrEx>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89203A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功能分类科目编码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F71669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科目名称</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71097C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合计</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54FF75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基本支出</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922DB1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项目支出</w:t>
            </w:r>
          </w:p>
        </w:tc>
      </w:tr>
      <w:tr w14:paraId="7DC258F8">
        <w:tblPrEx>
          <w:tblCellMar>
            <w:top w:w="15" w:type="dxa"/>
            <w:left w:w="15" w:type="dxa"/>
            <w:bottom w:w="15" w:type="dxa"/>
            <w:right w:w="15" w:type="dxa"/>
          </w:tblCellMar>
        </w:tblPrEx>
        <w:tc>
          <w:tcPr>
            <w:vMerge w:val="continue"/>
            <w:tcBorders>
              <w:top w:val="single" w:color="000000" w:sz="6" w:space="0"/>
              <w:left w:val="single" w:color="000000" w:sz="6" w:space="0"/>
              <w:bottom w:val="single" w:color="000000" w:sz="6" w:space="0"/>
              <w:right w:val="single" w:color="000000" w:sz="6" w:space="0"/>
            </w:tcBorders>
            <w:vAlign w:val="center"/>
          </w:tcPr>
          <w:p w14:paraId="3AA2807E">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42BB5247">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713D904B">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20FE72DF">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161523D1">
            <w:pPr>
              <w:rPr>
                <w:rFonts w:ascii="Times New Roman" w:hAnsi="Times New Roman" w:eastAsia="Times New Roman" w:cs="Times New Roman"/>
                <w:b w:val="0"/>
                <w:bCs w:val="0"/>
                <w:i w:val="0"/>
                <w:iCs w:val="0"/>
                <w:smallCaps w:val="0"/>
                <w:color w:val="000000"/>
                <w:kern w:val="0"/>
                <w:sz w:val="26"/>
                <w:szCs w:val="26"/>
              </w:rPr>
            </w:pPr>
          </w:p>
        </w:tc>
      </w:tr>
      <w:tr w14:paraId="01F81B55">
        <w:tblPrEx>
          <w:tblCellMar>
            <w:top w:w="15" w:type="dxa"/>
            <w:left w:w="15" w:type="dxa"/>
            <w:bottom w:w="15" w:type="dxa"/>
            <w:right w:w="15" w:type="dxa"/>
          </w:tblCellMar>
        </w:tblPrEx>
        <w:tc>
          <w:tcPr>
            <w:vMerge w:val="continue"/>
            <w:tcBorders>
              <w:top w:val="single" w:color="000000" w:sz="6" w:space="0"/>
              <w:left w:val="single" w:color="000000" w:sz="6" w:space="0"/>
              <w:bottom w:val="single" w:color="000000" w:sz="6" w:space="0"/>
              <w:right w:val="single" w:color="000000" w:sz="6" w:space="0"/>
            </w:tcBorders>
            <w:vAlign w:val="center"/>
          </w:tcPr>
          <w:p w14:paraId="562C89EF">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6F30925E">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49C1C583">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3EB1C643">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1AE8EDD0">
            <w:pPr>
              <w:rPr>
                <w:rFonts w:ascii="Times New Roman" w:hAnsi="Times New Roman" w:eastAsia="Times New Roman" w:cs="Times New Roman"/>
                <w:b w:val="0"/>
                <w:bCs w:val="0"/>
                <w:i w:val="0"/>
                <w:iCs w:val="0"/>
                <w:smallCaps w:val="0"/>
                <w:color w:val="000000"/>
                <w:kern w:val="0"/>
                <w:sz w:val="26"/>
                <w:szCs w:val="26"/>
              </w:rPr>
            </w:pPr>
          </w:p>
        </w:tc>
      </w:tr>
      <w:tr w14:paraId="7F3196A8">
        <w:tblPrEx>
          <w:tblCellMar>
            <w:top w:w="15" w:type="dxa"/>
            <w:left w:w="15" w:type="dxa"/>
            <w:bottom w:w="15" w:type="dxa"/>
            <w:right w:w="15" w:type="dxa"/>
          </w:tblCellMar>
        </w:tblPrEx>
        <w:tc>
          <w:tcPr>
            <w:tcW w:w="21600" w:type="dxa"/>
            <w:gridSpan w:val="2"/>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A0924B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栏次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720EBE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DA1651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983A39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r>
      <w:tr w14:paraId="59265669">
        <w:tblPrEx>
          <w:tblCellMar>
            <w:top w:w="15" w:type="dxa"/>
            <w:left w:w="15" w:type="dxa"/>
            <w:bottom w:w="15" w:type="dxa"/>
            <w:right w:w="15" w:type="dxa"/>
          </w:tblCellMar>
        </w:tblPrEx>
        <w:tc>
          <w:tcPr>
            <w:tcW w:w="21600" w:type="dxa"/>
            <w:gridSpan w:val="2"/>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2A938F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ED2F7CA">
            <w:pPr>
              <w:widowControl/>
              <w:jc w:val="center"/>
              <w:rPr>
                <w:rFonts w:ascii="Times New Roman" w:hAnsi="Times New Roman" w:eastAsia="Times New Roman" w:cs="Times New Roman"/>
                <w:b w:val="0"/>
                <w:bCs w:val="0"/>
                <w:i w:val="0"/>
                <w:iCs w:val="0"/>
                <w:smallCaps w:val="0"/>
                <w:color w:val="000000"/>
                <w:kern w:val="0"/>
                <w:sz w:val="26"/>
                <w:szCs w:val="26"/>
              </w:rPr>
            </w:pPr>
            <w:r>
              <w:rPr>
                <w:rFonts w:hint="eastAsia" w:eastAsia="宋体" w:cs="Times New Roman"/>
                <w:b w:val="0"/>
                <w:bCs w:val="0"/>
                <w:i w:val="0"/>
                <w:iCs w:val="0"/>
                <w:smallCaps w:val="0"/>
                <w:color w:val="000000"/>
                <w:kern w:val="0"/>
                <w:sz w:val="26"/>
                <w:szCs w:val="26"/>
                <w:lang w:val="en-US" w:eastAsia="zh-CN"/>
              </w:rPr>
              <w:t>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F207F31">
            <w:pPr>
              <w:widowControl/>
              <w:jc w:val="center"/>
              <w:rPr>
                <w:rFonts w:ascii="Times New Roman" w:hAnsi="Times New Roman" w:eastAsia="Times New Roman" w:cs="Times New Roman"/>
                <w:b w:val="0"/>
                <w:bCs w:val="0"/>
                <w:i w:val="0"/>
                <w:iCs w:val="0"/>
                <w:smallCaps w:val="0"/>
                <w:color w:val="000000"/>
                <w:kern w:val="0"/>
                <w:sz w:val="26"/>
                <w:szCs w:val="26"/>
              </w:rPr>
            </w:pPr>
            <w:r>
              <w:rPr>
                <w:rFonts w:hint="eastAsia" w:eastAsia="宋体" w:cs="Times New Roman"/>
                <w:b w:val="0"/>
                <w:bCs w:val="0"/>
                <w:i w:val="0"/>
                <w:iCs w:val="0"/>
                <w:smallCaps w:val="0"/>
                <w:color w:val="000000"/>
                <w:kern w:val="0"/>
                <w:sz w:val="26"/>
                <w:szCs w:val="26"/>
                <w:lang w:val="en-US" w:eastAsia="zh-CN"/>
              </w:rPr>
              <w:t>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B6CED65">
            <w:pPr>
              <w:widowControl/>
              <w:jc w:val="center"/>
              <w:rPr>
                <w:rFonts w:ascii="Times New Roman" w:hAnsi="Times New Roman" w:eastAsia="Times New Roman" w:cs="Times New Roman"/>
                <w:b w:val="0"/>
                <w:bCs w:val="0"/>
                <w:i w:val="0"/>
                <w:iCs w:val="0"/>
                <w:smallCaps w:val="0"/>
                <w:color w:val="000000"/>
                <w:kern w:val="0"/>
                <w:sz w:val="26"/>
                <w:szCs w:val="26"/>
              </w:rPr>
            </w:pPr>
            <w:r>
              <w:rPr>
                <w:rFonts w:hint="eastAsia" w:eastAsia="宋体" w:cs="Times New Roman"/>
                <w:b w:val="0"/>
                <w:bCs w:val="0"/>
                <w:i w:val="0"/>
                <w:iCs w:val="0"/>
                <w:smallCaps w:val="0"/>
                <w:color w:val="000000"/>
                <w:kern w:val="0"/>
                <w:sz w:val="26"/>
                <w:szCs w:val="26"/>
                <w:lang w:val="en-US" w:eastAsia="zh-CN"/>
              </w:rPr>
              <w:t>0</w:t>
            </w:r>
          </w:p>
        </w:tc>
      </w:tr>
      <w:tr w14:paraId="1F84351D">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C2C1E7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AC4773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DFE9AA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A53FF1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F3DA99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bl>
    <w:p w14:paraId="47EDEB8D">
      <w:pPr>
        <w:pStyle w:val="4"/>
        <w:widowControl/>
        <w:spacing w:before="240" w:after="240"/>
        <w:jc w:val="left"/>
        <w:rPr>
          <w:rFonts w:ascii="Times New Roman" w:hAnsi="Times New Roman" w:eastAsia="Times New Roman" w:cs="Times New Roman"/>
          <w:kern w:val="0"/>
          <w:sz w:val="24"/>
        </w:rPr>
      </w:pPr>
      <w:r>
        <w:rPr>
          <w:rFonts w:ascii="宋体" w:hAnsi="宋体" w:cs="宋体"/>
          <w:kern w:val="0"/>
          <w:sz w:val="24"/>
        </w:rPr>
        <w:t>注：1.本表反映单位本年度国有资本经营预算财政拨款支出情况。</w:t>
      </w:r>
    </w:p>
    <w:p w14:paraId="1435E21A">
      <w:pPr>
        <w:pStyle w:val="33"/>
        <w:widowControl/>
        <w:numPr>
          <w:ilvl w:val="0"/>
          <w:numId w:val="1"/>
        </w:numPr>
        <w:spacing w:before="240" w:after="240"/>
        <w:ind w:left="480" w:leftChars="0" w:firstLine="0" w:firstLineChars="0"/>
        <w:jc w:val="left"/>
        <w:rPr>
          <w:rFonts w:ascii="宋体" w:hAnsi="宋体" w:cs="宋体"/>
          <w:kern w:val="0"/>
          <w:sz w:val="24"/>
        </w:rPr>
      </w:pPr>
      <w:r>
        <w:rPr>
          <w:rFonts w:ascii="宋体" w:hAnsi="宋体" w:cs="宋体"/>
          <w:kern w:val="0"/>
          <w:sz w:val="24"/>
        </w:rPr>
        <w:t>本单位2023年度没有使用国有资本经营预算财政拨款安排的支出。</w:t>
      </w:r>
    </w:p>
    <w:p w14:paraId="01393AC3">
      <w:pPr>
        <w:pStyle w:val="33"/>
        <w:widowControl/>
        <w:numPr>
          <w:ilvl w:val="0"/>
          <w:numId w:val="0"/>
        </w:numPr>
        <w:pBdr>
          <w:top w:val="none" w:color="auto" w:sz="0" w:space="1"/>
          <w:left w:val="none" w:color="auto" w:sz="0" w:space="4"/>
          <w:bottom w:val="none" w:color="auto" w:sz="0" w:space="1"/>
          <w:right w:val="none" w:color="auto" w:sz="0" w:space="4"/>
        </w:pBdr>
        <w:spacing w:before="240" w:after="240"/>
        <w:jc w:val="left"/>
        <w:rPr>
          <w:rFonts w:ascii="宋体" w:hAnsi="宋体" w:cs="宋体"/>
          <w:kern w:val="0"/>
          <w:sz w:val="24"/>
        </w:rPr>
      </w:pPr>
    </w:p>
    <w:p w14:paraId="099CD421">
      <w:pPr>
        <w:pStyle w:val="33"/>
        <w:widowControl/>
        <w:numPr>
          <w:ilvl w:val="0"/>
          <w:numId w:val="0"/>
        </w:numPr>
        <w:pBdr>
          <w:top w:val="none" w:color="auto" w:sz="0" w:space="1"/>
          <w:left w:val="none" w:color="auto" w:sz="0" w:space="4"/>
          <w:bottom w:val="none" w:color="auto" w:sz="0" w:space="1"/>
          <w:right w:val="none" w:color="auto" w:sz="0" w:space="4"/>
        </w:pBdr>
        <w:spacing w:before="240" w:after="240"/>
        <w:jc w:val="left"/>
        <w:rPr>
          <w:rFonts w:ascii="宋体" w:hAnsi="宋体" w:cs="宋体"/>
          <w:kern w:val="0"/>
          <w:sz w:val="24"/>
        </w:rPr>
      </w:pPr>
    </w:p>
    <w:p w14:paraId="47491DAA">
      <w:pPr>
        <w:pStyle w:val="33"/>
        <w:widowControl/>
        <w:numPr>
          <w:ilvl w:val="0"/>
          <w:numId w:val="0"/>
        </w:numPr>
        <w:pBdr>
          <w:top w:val="none" w:color="auto" w:sz="0" w:space="1"/>
          <w:left w:val="none" w:color="auto" w:sz="0" w:space="4"/>
          <w:bottom w:val="none" w:color="auto" w:sz="0" w:space="1"/>
          <w:right w:val="none" w:color="auto" w:sz="0" w:space="4"/>
        </w:pBdr>
        <w:spacing w:before="240" w:after="240"/>
        <w:jc w:val="left"/>
        <w:rPr>
          <w:rFonts w:ascii="宋体" w:hAnsi="宋体" w:cs="宋体"/>
          <w:kern w:val="0"/>
          <w:sz w:val="24"/>
        </w:rPr>
      </w:pPr>
    </w:p>
    <w:p w14:paraId="78D46420">
      <w:pPr>
        <w:pStyle w:val="33"/>
        <w:widowControl/>
        <w:numPr>
          <w:ilvl w:val="0"/>
          <w:numId w:val="0"/>
        </w:numPr>
        <w:pBdr>
          <w:top w:val="none" w:color="auto" w:sz="0" w:space="1"/>
          <w:left w:val="none" w:color="auto" w:sz="0" w:space="4"/>
          <w:bottom w:val="none" w:color="auto" w:sz="0" w:space="1"/>
          <w:right w:val="none" w:color="auto" w:sz="0" w:space="4"/>
        </w:pBdr>
        <w:spacing w:before="240" w:after="240"/>
        <w:jc w:val="left"/>
        <w:rPr>
          <w:rFonts w:ascii="宋体" w:hAnsi="宋体" w:cs="宋体"/>
          <w:kern w:val="0"/>
          <w:sz w:val="24"/>
        </w:rPr>
      </w:pPr>
    </w:p>
    <w:p w14:paraId="5F486A52">
      <w:pPr>
        <w:pStyle w:val="33"/>
        <w:widowControl/>
        <w:numPr>
          <w:ilvl w:val="0"/>
          <w:numId w:val="0"/>
        </w:numPr>
        <w:pBdr>
          <w:top w:val="none" w:color="auto" w:sz="0" w:space="1"/>
          <w:left w:val="none" w:color="auto" w:sz="0" w:space="4"/>
          <w:bottom w:val="none" w:color="auto" w:sz="0" w:space="1"/>
          <w:right w:val="none" w:color="auto" w:sz="0" w:space="4"/>
        </w:pBdr>
        <w:spacing w:before="240" w:after="240"/>
        <w:jc w:val="left"/>
        <w:rPr>
          <w:rFonts w:ascii="宋体" w:hAnsi="宋体" w:cs="宋体"/>
          <w:kern w:val="0"/>
          <w:sz w:val="24"/>
        </w:rPr>
      </w:pPr>
    </w:p>
    <w:p w14:paraId="79CD51C3">
      <w:pPr>
        <w:pStyle w:val="33"/>
        <w:widowControl/>
        <w:numPr>
          <w:ilvl w:val="0"/>
          <w:numId w:val="0"/>
        </w:numPr>
        <w:pBdr>
          <w:top w:val="none" w:color="auto" w:sz="0" w:space="1"/>
          <w:left w:val="none" w:color="auto" w:sz="0" w:space="4"/>
          <w:bottom w:val="none" w:color="auto" w:sz="0" w:space="1"/>
          <w:right w:val="none" w:color="auto" w:sz="0" w:space="4"/>
        </w:pBdr>
        <w:spacing w:before="240" w:after="240"/>
        <w:jc w:val="left"/>
        <w:rPr>
          <w:rFonts w:ascii="宋体" w:hAnsi="宋体" w:cs="宋体"/>
          <w:kern w:val="0"/>
          <w:sz w:val="24"/>
        </w:rPr>
      </w:pPr>
    </w:p>
    <w:p w14:paraId="12761563">
      <w:pPr>
        <w:pStyle w:val="33"/>
        <w:widowControl/>
        <w:numPr>
          <w:ilvl w:val="0"/>
          <w:numId w:val="0"/>
        </w:numPr>
        <w:pBdr>
          <w:top w:val="none" w:color="auto" w:sz="0" w:space="1"/>
          <w:left w:val="none" w:color="auto" w:sz="0" w:space="4"/>
          <w:bottom w:val="none" w:color="auto" w:sz="0" w:space="1"/>
          <w:right w:val="none" w:color="auto" w:sz="0" w:space="4"/>
        </w:pBdr>
        <w:spacing w:before="240" w:after="240"/>
        <w:jc w:val="left"/>
        <w:rPr>
          <w:rFonts w:ascii="宋体" w:hAnsi="宋体" w:cs="宋体"/>
          <w:kern w:val="0"/>
          <w:sz w:val="24"/>
        </w:rPr>
      </w:pPr>
    </w:p>
    <w:p w14:paraId="334298A9">
      <w:pPr>
        <w:pStyle w:val="33"/>
        <w:widowControl/>
        <w:numPr>
          <w:ilvl w:val="0"/>
          <w:numId w:val="0"/>
        </w:numPr>
        <w:pBdr>
          <w:top w:val="none" w:color="auto" w:sz="0" w:space="1"/>
          <w:left w:val="none" w:color="auto" w:sz="0" w:space="4"/>
          <w:bottom w:val="none" w:color="auto" w:sz="0" w:space="1"/>
          <w:right w:val="none" w:color="auto" w:sz="0" w:space="4"/>
        </w:pBdr>
        <w:spacing w:before="240" w:after="240"/>
        <w:jc w:val="left"/>
        <w:rPr>
          <w:rFonts w:ascii="宋体" w:hAnsi="宋体" w:cs="宋体"/>
          <w:kern w:val="0"/>
          <w:sz w:val="24"/>
        </w:rPr>
      </w:pPr>
    </w:p>
    <w:p w14:paraId="68DCE95B">
      <w:pPr>
        <w:pStyle w:val="33"/>
        <w:widowControl/>
        <w:numPr>
          <w:ilvl w:val="0"/>
          <w:numId w:val="0"/>
        </w:numPr>
        <w:pBdr>
          <w:top w:val="none" w:color="auto" w:sz="0" w:space="1"/>
          <w:left w:val="none" w:color="auto" w:sz="0" w:space="4"/>
          <w:bottom w:val="none" w:color="auto" w:sz="0" w:space="1"/>
          <w:right w:val="none" w:color="auto" w:sz="0" w:space="4"/>
        </w:pBdr>
        <w:spacing w:before="240" w:after="240"/>
        <w:jc w:val="left"/>
        <w:rPr>
          <w:rFonts w:ascii="宋体" w:hAnsi="宋体" w:cs="宋体"/>
          <w:kern w:val="0"/>
          <w:sz w:val="24"/>
        </w:rPr>
      </w:pPr>
    </w:p>
    <w:p w14:paraId="6F82CD82">
      <w:pPr>
        <w:pStyle w:val="25"/>
        <w:widowControl/>
        <w:spacing w:before="240" w:after="240"/>
        <w:jc w:val="left"/>
        <w:rPr>
          <w:rFonts w:ascii="黑体" w:hAnsi="黑体" w:eastAsia="黑体" w:cs="黑体"/>
          <w:kern w:val="0"/>
          <w:sz w:val="56"/>
          <w:szCs w:val="56"/>
        </w:rPr>
      </w:pPr>
    </w:p>
    <w:p w14:paraId="6124F97D">
      <w:pPr>
        <w:pStyle w:val="25"/>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56"/>
          <w:szCs w:val="56"/>
        </w:rPr>
        <w:t>第三部分 </w:t>
      </w:r>
    </w:p>
    <w:p w14:paraId="6E0812C3">
      <w:pPr>
        <w:pStyle w:val="4"/>
        <w:widowControl/>
        <w:spacing w:before="240" w:after="240" w:line="600" w:lineRule="atLeast"/>
        <w:jc w:val="center"/>
        <w:rPr>
          <w:rFonts w:ascii="Times New Roman" w:hAnsi="Times New Roman" w:eastAsia="Times New Roman" w:cs="Times New Roman"/>
          <w:kern w:val="0"/>
          <w:sz w:val="24"/>
        </w:rPr>
      </w:pPr>
      <w:r>
        <w:rPr>
          <w:rFonts w:hint="eastAsia" w:ascii="黑体" w:hAnsi="黑体" w:eastAsia="黑体" w:cs="黑体"/>
          <w:kern w:val="0"/>
          <w:sz w:val="56"/>
          <w:szCs w:val="56"/>
          <w:lang w:val="en-US" w:eastAsia="zh-CN"/>
        </w:rPr>
        <w:t>2023</w:t>
      </w:r>
      <w:r>
        <w:rPr>
          <w:rFonts w:ascii="黑体" w:hAnsi="黑体" w:eastAsia="黑体" w:cs="黑体"/>
          <w:kern w:val="0"/>
          <w:sz w:val="56"/>
          <w:szCs w:val="56"/>
        </w:rPr>
        <w:t>年度决算情况说明</w:t>
      </w:r>
    </w:p>
    <w:p w14:paraId="31588E69">
      <w:pPr>
        <w:pStyle w:val="4"/>
        <w:widowControl/>
        <w:spacing w:before="240" w:after="240" w:line="600" w:lineRule="atLeast"/>
        <w:jc w:val="center"/>
        <w:rPr>
          <w:rFonts w:ascii="Times New Roman" w:hAnsi="Times New Roman" w:eastAsia="Times New Roman" w:cs="Times New Roman"/>
          <w:kern w:val="0"/>
          <w:sz w:val="24"/>
        </w:rPr>
      </w:pPr>
      <w:r>
        <w:rPr>
          <w:rFonts w:ascii="黑体" w:hAnsi="黑体" w:eastAsia="黑体" w:cs="黑体"/>
          <w:kern w:val="0"/>
          <w:sz w:val="36"/>
          <w:szCs w:val="36"/>
        </w:rPr>
        <w:t> </w:t>
      </w:r>
    </w:p>
    <w:p w14:paraId="20D6DF2D">
      <w:pPr>
        <w:pStyle w:val="4"/>
        <w:widowControl/>
        <w:spacing w:before="240" w:after="240" w:line="600" w:lineRule="atLeast"/>
        <w:ind w:firstLine="640"/>
        <w:jc w:val="left"/>
        <w:rPr>
          <w:rFonts w:ascii="Times New Roman" w:hAnsi="Times New Roman" w:eastAsia="Times New Roman" w:cs="Times New Roman"/>
          <w:kern w:val="0"/>
          <w:sz w:val="24"/>
        </w:rPr>
      </w:pPr>
      <w:r>
        <w:rPr>
          <w:rFonts w:ascii="黑体" w:hAnsi="黑体" w:eastAsia="黑体" w:cs="黑体"/>
          <w:kern w:val="0"/>
          <w:sz w:val="32"/>
          <w:szCs w:val="32"/>
        </w:rPr>
        <w:t>一、收入支出决算总体情况说明</w:t>
      </w:r>
    </w:p>
    <w:p w14:paraId="1F5722BC">
      <w:pPr>
        <w:pStyle w:val="4"/>
        <w:widowControl/>
        <w:spacing w:before="240" w:after="240" w:line="600" w:lineRule="atLeast"/>
        <w:ind w:firstLine="640"/>
        <w:jc w:val="left"/>
        <w:rPr>
          <w:rFonts w:ascii="Times New Roman" w:hAnsi="Times New Roman" w:eastAsia="Times New Roman" w:cs="Times New Roman"/>
          <w:kern w:val="0"/>
          <w:sz w:val="24"/>
        </w:rPr>
      </w:pPr>
      <w:r>
        <w:rPr>
          <w:rFonts w:ascii="楷体_GB2312" w:hAnsi="楷体_GB2312" w:eastAsia="楷体_GB2312" w:cs="楷体_GB2312"/>
          <w:kern w:val="0"/>
          <w:sz w:val="32"/>
          <w:szCs w:val="32"/>
        </w:rPr>
        <w:t>（一）收入支出决算总体情况说明</w:t>
      </w:r>
    </w:p>
    <w:p w14:paraId="17D2BFE8">
      <w:pPr>
        <w:tabs>
          <w:tab w:val="left" w:pos="7513"/>
        </w:tabs>
        <w:adjustRightInd w:val="0"/>
        <w:snapToGrid w:val="0"/>
        <w:spacing w:line="600" w:lineRule="exact"/>
        <w:ind w:firstLine="640" w:firstLineChars="200"/>
        <w:rPr>
          <w:rFonts w:hint="eastAsia" w:ascii="仿宋_GB2312" w:hAnsi="仿宋_GB2312" w:eastAsia="仿宋_GB2312" w:cs="仿宋_GB2312"/>
          <w:sz w:val="32"/>
          <w:szCs w:val="32"/>
          <w:highlight w:val="none"/>
        </w:rPr>
      </w:pPr>
      <w:r>
        <w:rPr>
          <w:rFonts w:ascii="仿宋" w:hAnsi="仿宋" w:eastAsia="仿宋" w:cs="仿宋"/>
          <w:kern w:val="0"/>
          <w:sz w:val="32"/>
          <w:szCs w:val="32"/>
          <w:highlight w:val="none"/>
        </w:rPr>
        <w:t>2023 年度</w:t>
      </w:r>
      <w:r>
        <w:rPr>
          <w:rFonts w:hint="eastAsia" w:ascii="仿宋_GB2312" w:hAnsi="仿宋_GB2312" w:eastAsia="仿宋_GB2312" w:cs="仿宋_GB2312"/>
          <w:sz w:val="32"/>
          <w:szCs w:val="32"/>
          <w:highlight w:val="none"/>
        </w:rPr>
        <w:t>本部门年初结转和结余</w:t>
      </w:r>
      <w:r>
        <w:rPr>
          <w:rFonts w:hint="eastAsia" w:ascii="仿宋_GB2312" w:hAnsi="仿宋_GB2312" w:eastAsia="仿宋_GB2312" w:cs="仿宋_GB2312"/>
          <w:sz w:val="32"/>
          <w:szCs w:val="32"/>
          <w:highlight w:val="none"/>
          <w:lang w:val="en-US" w:eastAsia="zh-CN"/>
        </w:rPr>
        <w:t>866.74</w:t>
      </w:r>
      <w:r>
        <w:rPr>
          <w:rFonts w:hint="eastAsia" w:ascii="仿宋_GB2312" w:hAnsi="仿宋_GB2312" w:eastAsia="仿宋_GB2312" w:cs="仿宋_GB2312"/>
          <w:sz w:val="32"/>
          <w:szCs w:val="32"/>
          <w:highlight w:val="none"/>
        </w:rPr>
        <w:t>万元，使用非财政拨款结余</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万元，</w:t>
      </w:r>
      <w:r>
        <w:rPr>
          <w:rFonts w:ascii="仿宋" w:hAnsi="仿宋" w:eastAsia="仿宋" w:cs="仿宋"/>
          <w:kern w:val="0"/>
          <w:sz w:val="32"/>
          <w:szCs w:val="32"/>
          <w:highlight w:val="none"/>
        </w:rPr>
        <w:t>本单位</w:t>
      </w:r>
      <w:r>
        <w:rPr>
          <w:rFonts w:ascii="仿宋" w:hAnsi="仿宋" w:eastAsia="仿宋" w:cs="仿宋"/>
          <w:spacing w:val="0"/>
          <w:kern w:val="0"/>
          <w:sz w:val="32"/>
          <w:szCs w:val="32"/>
          <w:highlight w:val="none"/>
        </w:rPr>
        <w:t>收入总计</w:t>
      </w:r>
      <w:r>
        <w:rPr>
          <w:rFonts w:hint="eastAsia" w:ascii="仿宋" w:hAnsi="仿宋" w:eastAsia="仿宋" w:cs="仿宋"/>
          <w:spacing w:val="0"/>
          <w:kern w:val="0"/>
          <w:sz w:val="32"/>
          <w:szCs w:val="32"/>
          <w:highlight w:val="none"/>
          <w:lang w:val="en-US" w:eastAsia="zh-CN"/>
        </w:rPr>
        <w:t>2790.32</w:t>
      </w:r>
      <w:r>
        <w:rPr>
          <w:rFonts w:ascii="仿宋" w:hAnsi="仿宋" w:eastAsia="仿宋" w:cs="仿宋"/>
          <w:spacing w:val="0"/>
          <w:kern w:val="0"/>
          <w:sz w:val="32"/>
          <w:szCs w:val="32"/>
          <w:highlight w:val="none"/>
        </w:rPr>
        <w:t>万元，支出总计</w:t>
      </w:r>
      <w:r>
        <w:rPr>
          <w:rFonts w:hint="eastAsia" w:ascii="仿宋" w:hAnsi="仿宋" w:eastAsia="仿宋" w:cs="仿宋"/>
          <w:spacing w:val="0"/>
          <w:kern w:val="0"/>
          <w:sz w:val="32"/>
          <w:szCs w:val="32"/>
          <w:highlight w:val="none"/>
          <w:lang w:val="en-US" w:eastAsia="zh-CN"/>
        </w:rPr>
        <w:t>2411.93</w:t>
      </w:r>
      <w:r>
        <w:rPr>
          <w:rFonts w:ascii="仿宋" w:hAnsi="仿宋" w:eastAsia="仿宋" w:cs="仿宋"/>
          <w:spacing w:val="0"/>
          <w:kern w:val="0"/>
          <w:sz w:val="32"/>
          <w:szCs w:val="32"/>
          <w:highlight w:val="none"/>
        </w:rPr>
        <w:t>万元，各增加</w:t>
      </w:r>
      <w:r>
        <w:rPr>
          <w:rFonts w:hint="eastAsia" w:ascii="仿宋_GB2312" w:hAnsi="仿宋_GB2312" w:eastAsia="仿宋_GB2312" w:cs="仿宋_GB2312"/>
          <w:sz w:val="32"/>
          <w:szCs w:val="32"/>
          <w:highlight w:val="none"/>
        </w:rPr>
        <w:t>结余分配</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万元，年末结转和结余</w:t>
      </w:r>
      <w:r>
        <w:rPr>
          <w:rFonts w:hint="eastAsia" w:ascii="仿宋_GB2312" w:hAnsi="仿宋_GB2312" w:eastAsia="仿宋_GB2312" w:cs="仿宋_GB2312"/>
          <w:sz w:val="32"/>
          <w:szCs w:val="32"/>
          <w:highlight w:val="none"/>
          <w:lang w:val="en-US" w:eastAsia="zh-CN"/>
        </w:rPr>
        <w:t>378.39</w:t>
      </w:r>
      <w:r>
        <w:rPr>
          <w:rFonts w:hint="eastAsia" w:ascii="仿宋_GB2312" w:hAnsi="仿宋_GB2312" w:eastAsia="仿宋_GB2312" w:cs="仿宋_GB2312"/>
          <w:sz w:val="32"/>
          <w:szCs w:val="32"/>
          <w:highlight w:val="none"/>
        </w:rPr>
        <w:t>万元。</w:t>
      </w:r>
    </w:p>
    <w:p w14:paraId="2C1FA1CE">
      <w:pPr>
        <w:autoSpaceDE w:val="0"/>
        <w:autoSpaceDN w:val="0"/>
        <w:adjustRightInd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年收入</w:t>
      </w:r>
      <w:r>
        <w:rPr>
          <w:rFonts w:hint="eastAsia" w:ascii="仿宋_GB2312" w:hAnsi="仿宋_GB2312" w:eastAsia="仿宋_GB2312" w:cs="仿宋_GB2312"/>
          <w:sz w:val="32"/>
          <w:szCs w:val="32"/>
          <w:highlight w:val="none"/>
          <w:lang w:val="en-US" w:eastAsia="zh-CN"/>
        </w:rPr>
        <w:t>1923.58</w:t>
      </w:r>
      <w:r>
        <w:rPr>
          <w:rFonts w:hint="eastAsia" w:ascii="仿宋_GB2312" w:hAnsi="仿宋_GB2312" w:eastAsia="仿宋_GB2312" w:cs="仿宋_GB2312"/>
          <w:sz w:val="32"/>
          <w:szCs w:val="32"/>
          <w:highlight w:val="none"/>
        </w:rPr>
        <w:t>万元，比上年决算数</w:t>
      </w:r>
      <w:r>
        <w:rPr>
          <w:rFonts w:hint="eastAsia" w:ascii="仿宋_GB2312" w:hAnsi="仿宋_GB2312" w:eastAsia="仿宋_GB2312" w:cs="仿宋_GB2312"/>
          <w:sz w:val="32"/>
          <w:szCs w:val="32"/>
          <w:highlight w:val="none"/>
          <w:lang w:eastAsia="zh-CN"/>
        </w:rPr>
        <w:t>增加</w:t>
      </w:r>
      <w:r>
        <w:rPr>
          <w:rFonts w:hint="eastAsia" w:ascii="仿宋_GB2312" w:hAnsi="仿宋_GB2312" w:eastAsia="仿宋_GB2312" w:cs="仿宋_GB2312"/>
          <w:sz w:val="32"/>
          <w:szCs w:val="32"/>
          <w:highlight w:val="none"/>
          <w:lang w:val="en-US" w:eastAsia="zh-CN"/>
        </w:rPr>
        <w:t>74.29</w:t>
      </w:r>
      <w:r>
        <w:rPr>
          <w:rFonts w:hint="eastAsia" w:ascii="仿宋_GB2312" w:hAnsi="仿宋_GB2312" w:eastAsia="仿宋_GB2312" w:cs="仿宋_GB2312"/>
          <w:sz w:val="32"/>
          <w:szCs w:val="32"/>
          <w:highlight w:val="none"/>
        </w:rPr>
        <w:t>元，</w:t>
      </w:r>
      <w:r>
        <w:rPr>
          <w:rFonts w:hint="eastAsia" w:ascii="仿宋_GB2312" w:hAnsi="仿宋_GB2312" w:eastAsia="仿宋_GB2312" w:cs="仿宋_GB2312"/>
          <w:sz w:val="32"/>
          <w:szCs w:val="32"/>
          <w:highlight w:val="none"/>
          <w:lang w:eastAsia="zh-CN"/>
        </w:rPr>
        <w:t>增长</w:t>
      </w:r>
      <w:r>
        <w:rPr>
          <w:rFonts w:hint="eastAsia" w:ascii="仿宋_GB2312" w:hAnsi="仿宋_GB2312" w:eastAsia="仿宋_GB2312" w:cs="仿宋_GB2312"/>
          <w:sz w:val="32"/>
          <w:szCs w:val="32"/>
          <w:highlight w:val="none"/>
          <w:lang w:val="en-US" w:eastAsia="zh-CN"/>
        </w:rPr>
        <w:t>4.02</w:t>
      </w:r>
      <w:r>
        <w:rPr>
          <w:rFonts w:hint="eastAsia" w:ascii="仿宋_GB2312" w:hAnsi="仿宋_GB2312" w:eastAsia="仿宋_GB2312" w:cs="仿宋_GB2312"/>
          <w:sz w:val="32"/>
          <w:szCs w:val="32"/>
          <w:highlight w:val="none"/>
        </w:rPr>
        <w:t>％，具体情况如下：</w:t>
      </w:r>
    </w:p>
    <w:p w14:paraId="10828ED2">
      <w:pPr>
        <w:autoSpaceDE w:val="0"/>
        <w:autoSpaceDN w:val="0"/>
        <w:adjustRightInd w:val="0"/>
        <w:spacing w:line="600" w:lineRule="exact"/>
        <w:ind w:left="160" w:leftChars="76" w:firstLine="480" w:firstLineChars="15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 一般公共预算财政拨款收入</w:t>
      </w:r>
      <w:r>
        <w:rPr>
          <w:rFonts w:hint="eastAsia" w:ascii="仿宋_GB2312" w:hAnsi="仿宋_GB2312" w:eastAsia="仿宋_GB2312" w:cs="仿宋_GB2312"/>
          <w:sz w:val="32"/>
          <w:szCs w:val="32"/>
          <w:highlight w:val="none"/>
          <w:lang w:val="en-US" w:eastAsia="zh-CN"/>
        </w:rPr>
        <w:t>1568.42</w:t>
      </w:r>
      <w:r>
        <w:rPr>
          <w:rFonts w:hint="eastAsia" w:ascii="仿宋_GB2312" w:hAnsi="仿宋_GB2312" w:eastAsia="仿宋_GB2312" w:cs="仿宋_GB2312"/>
          <w:sz w:val="32"/>
          <w:szCs w:val="32"/>
          <w:highlight w:val="none"/>
        </w:rPr>
        <w:t>万元。</w:t>
      </w:r>
    </w:p>
    <w:p w14:paraId="3D1902A0">
      <w:pPr>
        <w:autoSpaceDE w:val="0"/>
        <w:autoSpaceDN w:val="0"/>
        <w:adjustRightInd w:val="0"/>
        <w:spacing w:line="600" w:lineRule="exact"/>
        <w:ind w:left="160" w:leftChars="76" w:firstLine="480" w:firstLineChars="15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 政府性基金预算财政拨款收入</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万元。</w:t>
      </w:r>
    </w:p>
    <w:p w14:paraId="45D9387B">
      <w:pPr>
        <w:autoSpaceDE w:val="0"/>
        <w:autoSpaceDN w:val="0"/>
        <w:adjustRightInd w:val="0"/>
        <w:spacing w:line="600" w:lineRule="exact"/>
        <w:ind w:left="160" w:leftChars="76" w:firstLine="480" w:firstLineChars="15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 国有资本经营预算财政拨款收入</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万元。</w:t>
      </w:r>
    </w:p>
    <w:p w14:paraId="4625BD57">
      <w:pPr>
        <w:autoSpaceDE w:val="0"/>
        <w:autoSpaceDN w:val="0"/>
        <w:adjustRightInd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 上级补助收入</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万元。</w:t>
      </w:r>
    </w:p>
    <w:p w14:paraId="3FB6E771">
      <w:pPr>
        <w:autoSpaceDE w:val="0"/>
        <w:autoSpaceDN w:val="0"/>
        <w:adjustRightInd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5. 事业收入</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万元。</w:t>
      </w:r>
    </w:p>
    <w:p w14:paraId="7B1A7C63">
      <w:pPr>
        <w:autoSpaceDE w:val="0"/>
        <w:autoSpaceDN w:val="0"/>
        <w:adjustRightInd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6. 经营收入</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万元。</w:t>
      </w:r>
    </w:p>
    <w:p w14:paraId="34992D82">
      <w:pPr>
        <w:autoSpaceDE w:val="0"/>
        <w:autoSpaceDN w:val="0"/>
        <w:adjustRightInd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7.附属单位上缴收入</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万元。</w:t>
      </w:r>
    </w:p>
    <w:p w14:paraId="1264A54C">
      <w:pPr>
        <w:autoSpaceDE w:val="0"/>
        <w:autoSpaceDN w:val="0"/>
        <w:adjustRightInd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8.其他收入</w:t>
      </w:r>
      <w:r>
        <w:rPr>
          <w:rFonts w:hint="eastAsia" w:ascii="仿宋_GB2312" w:hAnsi="仿宋_GB2312" w:eastAsia="仿宋_GB2312" w:cs="仿宋_GB2312"/>
          <w:sz w:val="32"/>
          <w:szCs w:val="32"/>
          <w:highlight w:val="none"/>
          <w:lang w:val="en-US" w:eastAsia="zh-CN"/>
        </w:rPr>
        <w:t>355.16</w:t>
      </w:r>
      <w:r>
        <w:rPr>
          <w:rFonts w:hint="eastAsia" w:ascii="仿宋_GB2312" w:hAnsi="仿宋_GB2312" w:eastAsia="仿宋_GB2312" w:cs="仿宋_GB2312"/>
          <w:sz w:val="32"/>
          <w:szCs w:val="32"/>
          <w:highlight w:val="none"/>
        </w:rPr>
        <w:t>万元。</w:t>
      </w:r>
    </w:p>
    <w:p w14:paraId="16EDCEB7">
      <w:pPr>
        <w:autoSpaceDE w:val="0"/>
        <w:autoSpaceDN w:val="0"/>
        <w:adjustRightInd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年支出</w:t>
      </w:r>
      <w:r>
        <w:rPr>
          <w:rFonts w:hint="eastAsia" w:ascii="仿宋_GB2312" w:hAnsi="仿宋_GB2312" w:eastAsia="仿宋_GB2312" w:cs="仿宋_GB2312"/>
          <w:sz w:val="32"/>
          <w:szCs w:val="32"/>
          <w:highlight w:val="none"/>
          <w:lang w:val="en-US" w:eastAsia="zh-CN"/>
        </w:rPr>
        <w:t>2411.93</w:t>
      </w:r>
      <w:r>
        <w:rPr>
          <w:rFonts w:hint="eastAsia" w:ascii="仿宋_GB2312" w:hAnsi="仿宋_GB2312" w:eastAsia="仿宋_GB2312" w:cs="仿宋_GB2312"/>
          <w:sz w:val="32"/>
          <w:szCs w:val="32"/>
          <w:highlight w:val="none"/>
        </w:rPr>
        <w:t>万元，比上年决算数</w:t>
      </w:r>
      <w:r>
        <w:rPr>
          <w:rFonts w:hint="eastAsia" w:ascii="仿宋_GB2312" w:hAnsi="仿宋_GB2312" w:eastAsia="仿宋_GB2312" w:cs="仿宋_GB2312"/>
          <w:sz w:val="32"/>
          <w:szCs w:val="32"/>
          <w:highlight w:val="none"/>
          <w:lang w:eastAsia="zh-CN"/>
        </w:rPr>
        <w:t>增加</w:t>
      </w:r>
      <w:r>
        <w:rPr>
          <w:rFonts w:hint="eastAsia" w:ascii="仿宋_GB2312" w:hAnsi="仿宋_GB2312" w:eastAsia="仿宋_GB2312" w:cs="仿宋_GB2312"/>
          <w:sz w:val="32"/>
          <w:szCs w:val="32"/>
          <w:highlight w:val="none"/>
          <w:lang w:val="en-US" w:eastAsia="zh-CN"/>
        </w:rPr>
        <w:t>167.36</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增长</w:t>
      </w:r>
      <w:r>
        <w:rPr>
          <w:rFonts w:hint="eastAsia" w:ascii="仿宋_GB2312" w:hAnsi="仿宋_GB2312" w:eastAsia="仿宋_GB2312" w:cs="仿宋_GB2312"/>
          <w:sz w:val="32"/>
          <w:szCs w:val="32"/>
          <w:highlight w:val="none"/>
          <w:lang w:val="en-US" w:eastAsia="zh-CN"/>
        </w:rPr>
        <w:t>7.46</w:t>
      </w:r>
      <w:r>
        <w:rPr>
          <w:rFonts w:hint="eastAsia" w:ascii="仿宋_GB2312" w:hAnsi="仿宋_GB2312" w:eastAsia="仿宋_GB2312" w:cs="仿宋_GB2312"/>
          <w:sz w:val="32"/>
          <w:szCs w:val="32"/>
          <w:highlight w:val="none"/>
        </w:rPr>
        <w:t>％，具体情况如下：</w:t>
      </w:r>
    </w:p>
    <w:p w14:paraId="4A5A992C">
      <w:pPr>
        <w:tabs>
          <w:tab w:val="left" w:pos="7513"/>
        </w:tabs>
        <w:adjustRightInd w:val="0"/>
        <w:snapToGrid w:val="0"/>
        <w:spacing w:line="600" w:lineRule="exact"/>
        <w:ind w:left="237" w:leftChars="113" w:firstLine="480" w:firstLineChars="15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1.基本支出</w:t>
      </w:r>
      <w:r>
        <w:rPr>
          <w:rFonts w:hint="eastAsia" w:ascii="仿宋_GB2312" w:hAnsi="仿宋_GB2312" w:eastAsia="仿宋_GB2312" w:cs="仿宋_GB2312"/>
          <w:sz w:val="32"/>
          <w:szCs w:val="32"/>
          <w:highlight w:val="none"/>
          <w:lang w:val="en-US" w:eastAsia="zh-CN"/>
        </w:rPr>
        <w:t>2006.63</w:t>
      </w:r>
      <w:r>
        <w:rPr>
          <w:rFonts w:hint="eastAsia" w:ascii="仿宋_GB2312" w:hAnsi="仿宋_GB2312" w:eastAsia="仿宋_GB2312" w:cs="仿宋_GB2312"/>
          <w:sz w:val="32"/>
          <w:szCs w:val="32"/>
          <w:highlight w:val="none"/>
        </w:rPr>
        <w:t>万元。其中，人员支出</w:t>
      </w:r>
      <w:r>
        <w:rPr>
          <w:rFonts w:hint="default" w:ascii="仿宋_GB2312" w:hAnsi="仿宋_GB2312" w:eastAsia="仿宋_GB2312" w:cs="仿宋_GB2312"/>
          <w:sz w:val="32"/>
          <w:szCs w:val="32"/>
          <w:highlight w:val="none"/>
          <w:lang w:val="en-US" w:eastAsia="zh-CN"/>
        </w:rPr>
        <w:t>1090.68</w:t>
      </w:r>
      <w:r>
        <w:rPr>
          <w:rFonts w:hint="eastAsia" w:ascii="仿宋_GB2312" w:hAnsi="仿宋_GB2312" w:eastAsia="仿宋_GB2312" w:cs="仿宋_GB2312"/>
          <w:sz w:val="32"/>
          <w:szCs w:val="32"/>
          <w:highlight w:val="none"/>
        </w:rPr>
        <w:t>万元，公用支出</w:t>
      </w:r>
      <w:r>
        <w:rPr>
          <w:rFonts w:hint="default" w:ascii="仿宋_GB2312" w:hAnsi="仿宋_GB2312" w:eastAsia="仿宋_GB2312" w:cs="仿宋_GB2312"/>
          <w:sz w:val="32"/>
          <w:szCs w:val="32"/>
          <w:highlight w:val="none"/>
          <w:lang w:val="en-US" w:eastAsia="zh-CN"/>
        </w:rPr>
        <w:t>915.95</w:t>
      </w:r>
      <w:r>
        <w:rPr>
          <w:rFonts w:hint="eastAsia" w:ascii="仿宋_GB2312" w:hAnsi="仿宋_GB2312" w:eastAsia="仿宋_GB2312" w:cs="仿宋_GB2312"/>
          <w:sz w:val="32"/>
          <w:szCs w:val="32"/>
          <w:highlight w:val="none"/>
        </w:rPr>
        <w:t>万元。</w:t>
      </w:r>
    </w:p>
    <w:p w14:paraId="42166C72">
      <w:pPr>
        <w:tabs>
          <w:tab w:val="left" w:pos="7513"/>
        </w:tabs>
        <w:adjustRightInd w:val="0"/>
        <w:snapToGrid w:val="0"/>
        <w:spacing w:line="600" w:lineRule="exact"/>
        <w:ind w:left="716" w:leftChars="341"/>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2.项目支出</w:t>
      </w:r>
      <w:r>
        <w:rPr>
          <w:rFonts w:hint="eastAsia" w:ascii="仿宋_GB2312" w:hAnsi="仿宋_GB2312" w:eastAsia="仿宋_GB2312" w:cs="仿宋_GB2312"/>
          <w:sz w:val="32"/>
          <w:szCs w:val="32"/>
          <w:highlight w:val="none"/>
          <w:lang w:val="en-US" w:eastAsia="zh-CN"/>
        </w:rPr>
        <w:t>405.3</w:t>
      </w:r>
      <w:r>
        <w:rPr>
          <w:rFonts w:hint="eastAsia" w:ascii="仿宋_GB2312" w:hAnsi="仿宋_GB2312" w:eastAsia="仿宋_GB2312" w:cs="仿宋_GB2312"/>
          <w:sz w:val="32"/>
          <w:szCs w:val="32"/>
          <w:highlight w:val="none"/>
        </w:rPr>
        <w:t>万元。</w:t>
      </w:r>
    </w:p>
    <w:p w14:paraId="099017C0">
      <w:pPr>
        <w:tabs>
          <w:tab w:val="left" w:pos="7513"/>
        </w:tabs>
        <w:adjustRightInd w:val="0"/>
        <w:snapToGrid w:val="0"/>
        <w:spacing w:line="600" w:lineRule="exact"/>
        <w:ind w:left="716" w:leftChars="341"/>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3.上缴上级支出</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万元。</w:t>
      </w:r>
    </w:p>
    <w:p w14:paraId="28EC93C5">
      <w:pPr>
        <w:tabs>
          <w:tab w:val="left" w:pos="7513"/>
        </w:tabs>
        <w:adjustRightInd w:val="0"/>
        <w:snapToGrid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4.经营支出</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万元。</w:t>
      </w:r>
    </w:p>
    <w:p w14:paraId="37CDD85A">
      <w:p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5.对附属单位补助支出</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万元。</w:t>
      </w:r>
    </w:p>
    <w:p w14:paraId="67B2EA4B">
      <w:pPr>
        <w:pStyle w:val="4"/>
        <w:widowControl/>
        <w:spacing w:before="240" w:after="240" w:line="600" w:lineRule="atLeast"/>
        <w:ind w:firstLine="640"/>
        <w:jc w:val="left"/>
        <w:rPr>
          <w:rFonts w:ascii="Times New Roman" w:hAnsi="Times New Roman" w:eastAsia="Times New Roman" w:cs="Times New Roman"/>
          <w:kern w:val="0"/>
          <w:sz w:val="24"/>
          <w:highlight w:val="none"/>
        </w:rPr>
      </w:pPr>
      <w:r>
        <w:rPr>
          <w:rFonts w:hint="eastAsia" w:ascii="黑体" w:hAnsi="黑体" w:eastAsia="黑体" w:cs="黑体"/>
          <w:kern w:val="0"/>
          <w:sz w:val="32"/>
          <w:szCs w:val="32"/>
          <w:highlight w:val="none"/>
          <w:lang w:eastAsia="zh-CN"/>
        </w:rPr>
        <w:t>二</w:t>
      </w:r>
      <w:r>
        <w:rPr>
          <w:rFonts w:ascii="黑体" w:hAnsi="黑体" w:eastAsia="黑体" w:cs="黑体"/>
          <w:kern w:val="0"/>
          <w:sz w:val="32"/>
          <w:szCs w:val="32"/>
          <w:highlight w:val="none"/>
        </w:rPr>
        <w:t>、一般公共预算拨款支出决算情况说明</w:t>
      </w:r>
    </w:p>
    <w:p w14:paraId="1C4FC0A7">
      <w:pPr>
        <w:pStyle w:val="4"/>
        <w:widowControl/>
        <w:spacing w:before="240" w:after="240" w:line="600" w:lineRule="atLeast"/>
        <w:ind w:firstLine="640"/>
        <w:jc w:val="left"/>
        <w:rPr>
          <w:rFonts w:ascii="Times New Roman" w:hAnsi="Times New Roman" w:eastAsia="Times New Roman" w:cs="Times New Roman"/>
          <w:kern w:val="0"/>
          <w:sz w:val="24"/>
          <w:highlight w:val="none"/>
        </w:rPr>
      </w:pPr>
      <w:r>
        <w:rPr>
          <w:rFonts w:ascii="仿宋" w:hAnsi="仿宋" w:eastAsia="仿宋" w:cs="仿宋"/>
          <w:spacing w:val="0"/>
          <w:kern w:val="0"/>
          <w:sz w:val="32"/>
          <w:szCs w:val="32"/>
          <w:highlight w:val="none"/>
        </w:rPr>
        <w:t>2023年一般公共预算支出1,568.42万元，</w:t>
      </w:r>
      <w:r>
        <w:rPr>
          <w:rFonts w:hint="eastAsia" w:ascii="仿宋_GB2312" w:hAnsi="仿宋_GB2312" w:eastAsia="仿宋_GB2312" w:cs="仿宋_GB2312"/>
          <w:sz w:val="32"/>
          <w:szCs w:val="32"/>
          <w:highlight w:val="none"/>
        </w:rPr>
        <w:t>比上年决算数增加</w:t>
      </w:r>
      <w:r>
        <w:rPr>
          <w:rFonts w:hint="eastAsia" w:ascii="仿宋_GB2312" w:hAnsi="仿宋_GB2312" w:eastAsia="仿宋_GB2312" w:cs="仿宋_GB2312"/>
          <w:sz w:val="32"/>
          <w:szCs w:val="32"/>
          <w:highlight w:val="none"/>
          <w:lang w:val="en-US" w:eastAsia="zh-CN"/>
        </w:rPr>
        <w:t>219.47</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增长</w:t>
      </w:r>
      <w:r>
        <w:rPr>
          <w:rFonts w:hint="eastAsia" w:ascii="仿宋" w:hAnsi="仿宋" w:eastAsia="仿宋" w:cs="仿宋"/>
          <w:spacing w:val="0"/>
          <w:kern w:val="0"/>
          <w:sz w:val="32"/>
          <w:szCs w:val="32"/>
          <w:highlight w:val="none"/>
          <w:lang w:val="en-US" w:eastAsia="zh-CN"/>
        </w:rPr>
        <w:t>16.27</w:t>
      </w:r>
      <w:r>
        <w:rPr>
          <w:rFonts w:hint="default" w:ascii="仿宋" w:hAnsi="仿宋" w:eastAsia="仿宋" w:cs="仿宋"/>
          <w:spacing w:val="0"/>
          <w:kern w:val="0"/>
          <w:sz w:val="32"/>
          <w:szCs w:val="32"/>
          <w:highlight w:val="none"/>
          <w:lang w:val="en-US"/>
        </w:rPr>
        <w:t xml:space="preserve">% </w:t>
      </w:r>
      <w:r>
        <w:rPr>
          <w:rFonts w:ascii="仿宋" w:hAnsi="仿宋" w:eastAsia="仿宋" w:cs="仿宋"/>
          <w:kern w:val="0"/>
          <w:sz w:val="32"/>
          <w:szCs w:val="32"/>
          <w:highlight w:val="none"/>
        </w:rPr>
        <w:t>具体情况如下(按</w:t>
      </w:r>
      <w:r>
        <w:rPr>
          <w:rFonts w:ascii="仿宋" w:hAnsi="仿宋" w:eastAsia="仿宋" w:cs="仿宋"/>
          <w:b/>
          <w:bCs/>
          <w:kern w:val="0"/>
          <w:sz w:val="32"/>
          <w:szCs w:val="32"/>
          <w:highlight w:val="none"/>
        </w:rPr>
        <w:t>项级科目</w:t>
      </w:r>
      <w:r>
        <w:rPr>
          <w:rFonts w:ascii="仿宋" w:hAnsi="仿宋" w:eastAsia="仿宋" w:cs="仿宋"/>
          <w:kern w:val="0"/>
          <w:sz w:val="32"/>
          <w:szCs w:val="32"/>
          <w:highlight w:val="none"/>
        </w:rPr>
        <w:t>分类统计)：</w:t>
      </w:r>
    </w:p>
    <w:p w14:paraId="5AD510E9">
      <w:pPr>
        <w:spacing w:line="60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（一）2010301-行政运行421.5万元，较上年决算数减少5.02万元，下降1.18%。主要原因是缩减一般性支出。</w:t>
      </w:r>
    </w:p>
    <w:p w14:paraId="520480E7">
      <w:pPr>
        <w:spacing w:line="60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（二）2010350-事业运行225.52万元，较上年决算数增加13.47万元，增长6.35%。主要原因是本年事业人员增加，支出相应增加。</w:t>
      </w:r>
    </w:p>
    <w:p w14:paraId="6EFFF74D">
      <w:pPr>
        <w:spacing w:line="60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（三）2069999-其他科学技术支出0.4万元，较上年决算数增加0.4万元，增长100%。主要原因是本年度增加科学技术支出。</w:t>
      </w:r>
    </w:p>
    <w:p w14:paraId="656D72A9">
      <w:pPr>
        <w:spacing w:line="60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（四）2080505-机关事业单位基本养老保险缴费支出75.27万元，较上年决算数增加25.2万元，增长（下降）50.33%。主要原因是本年度养老保险基数增加，养老保险缴费支出增加。</w:t>
      </w:r>
    </w:p>
    <w:p w14:paraId="3518D5A7">
      <w:pPr>
        <w:spacing w:line="60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（五）</w:t>
      </w:r>
      <w:r>
        <w:rPr>
          <w:rFonts w:hint="eastAsia" w:ascii="仿宋_GB2312" w:hAnsi="仿宋_GB2312" w:eastAsia="仿宋_GB2312" w:cs="仿宋_GB2312"/>
          <w:sz w:val="32"/>
          <w:szCs w:val="32"/>
          <w:highlight w:val="none"/>
          <w:lang w:val="en-US" w:eastAsia="zh-CN"/>
        </w:rPr>
        <w:t>2080506-机关事业单位职业年金缴费支出15.36万元，</w:t>
      </w:r>
      <w:r>
        <w:rPr>
          <w:rFonts w:hint="eastAsia" w:ascii="仿宋_GB2312" w:hAnsi="仿宋_GB2312" w:eastAsia="仿宋_GB2312" w:cs="仿宋_GB2312"/>
          <w:sz w:val="32"/>
          <w:szCs w:val="32"/>
          <w:highlight w:val="none"/>
          <w:lang w:eastAsia="zh-CN"/>
        </w:rPr>
        <w:t>较上年决算数增加</w:t>
      </w:r>
      <w:r>
        <w:rPr>
          <w:rFonts w:hint="eastAsia" w:ascii="仿宋_GB2312" w:hAnsi="仿宋_GB2312" w:eastAsia="仿宋_GB2312" w:cs="仿宋_GB2312"/>
          <w:sz w:val="32"/>
          <w:szCs w:val="32"/>
          <w:highlight w:val="none"/>
          <w:lang w:val="en-US" w:eastAsia="zh-CN"/>
        </w:rPr>
        <w:t>11.41</w:t>
      </w:r>
      <w:r>
        <w:rPr>
          <w:rFonts w:hint="eastAsia" w:ascii="仿宋_GB2312" w:hAnsi="仿宋_GB2312" w:eastAsia="仿宋_GB2312" w:cs="仿宋_GB2312"/>
          <w:sz w:val="32"/>
          <w:szCs w:val="32"/>
          <w:highlight w:val="none"/>
          <w:lang w:eastAsia="zh-CN"/>
        </w:rPr>
        <w:t>万元，增长</w:t>
      </w:r>
      <w:r>
        <w:rPr>
          <w:rFonts w:hint="eastAsia" w:ascii="仿宋_GB2312" w:hAnsi="仿宋_GB2312" w:eastAsia="仿宋_GB2312" w:cs="仿宋_GB2312"/>
          <w:sz w:val="32"/>
          <w:szCs w:val="32"/>
          <w:highlight w:val="none"/>
          <w:lang w:val="en-US" w:eastAsia="zh-CN"/>
        </w:rPr>
        <w:t>288.86</w:t>
      </w:r>
      <w:r>
        <w:rPr>
          <w:rFonts w:hint="eastAsia" w:ascii="仿宋_GB2312" w:hAnsi="仿宋_GB2312" w:eastAsia="仿宋_GB2312" w:cs="仿宋_GB2312"/>
          <w:sz w:val="32"/>
          <w:szCs w:val="32"/>
          <w:highlight w:val="none"/>
          <w:lang w:eastAsia="zh-CN"/>
        </w:rPr>
        <w:t>%。主要原因是人员变动，职业年金记实</w:t>
      </w:r>
      <w:r>
        <w:rPr>
          <w:rFonts w:hint="eastAsia" w:ascii="仿宋_GB2312" w:hAnsi="仿宋_GB2312" w:eastAsia="仿宋_GB2312" w:cs="仿宋_GB2312"/>
          <w:sz w:val="32"/>
          <w:szCs w:val="32"/>
          <w:highlight w:val="none"/>
          <w:lang w:val="en-US" w:eastAsia="zh-CN"/>
        </w:rPr>
        <w:t>/补记</w:t>
      </w:r>
      <w:r>
        <w:rPr>
          <w:rFonts w:hint="eastAsia" w:ascii="仿宋_GB2312" w:hAnsi="仿宋_GB2312" w:eastAsia="仿宋_GB2312" w:cs="仿宋_GB2312"/>
          <w:sz w:val="32"/>
          <w:szCs w:val="32"/>
          <w:highlight w:val="none"/>
          <w:lang w:eastAsia="zh-CN"/>
        </w:rPr>
        <w:t>。</w:t>
      </w:r>
    </w:p>
    <w:p w14:paraId="66E6EE99">
      <w:pPr>
        <w:spacing w:line="60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（六）2080801</w:t>
      </w:r>
      <w:r>
        <w:rPr>
          <w:rFonts w:hint="eastAsia" w:ascii="仿宋_GB2312" w:hAnsi="仿宋_GB2312" w:eastAsia="仿宋_GB2312" w:cs="仿宋_GB2312"/>
          <w:sz w:val="32"/>
          <w:szCs w:val="32"/>
          <w:highlight w:val="none"/>
          <w:lang w:val="en-US" w:eastAsia="zh-CN"/>
        </w:rPr>
        <w:t>-死亡抚恤支出61.18万元，较上年度决算数增加45.05万元，增长279.53%，主要原因本年度退休人员死亡。</w:t>
      </w:r>
    </w:p>
    <w:p w14:paraId="157D203F">
      <w:pPr>
        <w:spacing w:line="600" w:lineRule="exact"/>
        <w:ind w:firstLine="640" w:firstLineChars="200"/>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（七）</w:t>
      </w:r>
      <w:r>
        <w:rPr>
          <w:rFonts w:hint="eastAsia" w:ascii="仿宋_GB2312" w:hAnsi="仿宋_GB2312" w:eastAsia="仿宋_GB2312" w:cs="仿宋_GB2312"/>
          <w:sz w:val="32"/>
          <w:szCs w:val="32"/>
          <w:highlight w:val="none"/>
          <w:lang w:eastAsia="zh-CN"/>
        </w:rPr>
        <w:t>208</w:t>
      </w:r>
      <w:r>
        <w:rPr>
          <w:rFonts w:hint="eastAsia" w:ascii="仿宋_GB2312" w:hAnsi="仿宋_GB2312" w:eastAsia="仿宋_GB2312" w:cs="仿宋_GB2312"/>
          <w:sz w:val="32"/>
          <w:szCs w:val="32"/>
          <w:highlight w:val="none"/>
          <w:lang w:val="en-US" w:eastAsia="zh-CN"/>
        </w:rPr>
        <w:t>9999-其他社会保障和就业支出3.83万元，较上年度决算数增加3.83万元，增长100%，主要原因本年度调整会计记账科目，为工伤、失业、生育险缴费支出。</w:t>
      </w:r>
    </w:p>
    <w:p w14:paraId="1B4EAB8D">
      <w:pPr>
        <w:spacing w:line="60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（八）</w:t>
      </w:r>
      <w:r>
        <w:rPr>
          <w:rFonts w:hint="eastAsia" w:ascii="仿宋_GB2312" w:hAnsi="仿宋_GB2312" w:eastAsia="仿宋_GB2312" w:cs="仿宋_GB2312"/>
          <w:sz w:val="32"/>
          <w:szCs w:val="32"/>
          <w:highlight w:val="none"/>
          <w:lang w:val="en-US" w:eastAsia="zh-CN"/>
        </w:rPr>
        <w:t>2101101-行政单位医疗47.09万元，</w:t>
      </w:r>
      <w:r>
        <w:rPr>
          <w:rFonts w:hint="eastAsia" w:ascii="仿宋_GB2312" w:hAnsi="仿宋_GB2312" w:eastAsia="仿宋_GB2312" w:cs="仿宋_GB2312"/>
          <w:sz w:val="32"/>
          <w:szCs w:val="32"/>
          <w:highlight w:val="none"/>
          <w:lang w:eastAsia="zh-CN"/>
        </w:rPr>
        <w:t>较上年决算数增加</w:t>
      </w:r>
      <w:r>
        <w:rPr>
          <w:rFonts w:hint="eastAsia" w:ascii="仿宋_GB2312" w:hAnsi="仿宋_GB2312" w:eastAsia="仿宋_GB2312" w:cs="仿宋_GB2312"/>
          <w:sz w:val="32"/>
          <w:szCs w:val="32"/>
          <w:highlight w:val="none"/>
          <w:lang w:val="en-US" w:eastAsia="zh-CN"/>
        </w:rPr>
        <w:t>1.92</w:t>
      </w:r>
      <w:r>
        <w:rPr>
          <w:rFonts w:hint="eastAsia" w:ascii="仿宋_GB2312" w:hAnsi="仿宋_GB2312" w:eastAsia="仿宋_GB2312" w:cs="仿宋_GB2312"/>
          <w:sz w:val="32"/>
          <w:szCs w:val="32"/>
          <w:highlight w:val="none"/>
          <w:lang w:eastAsia="zh-CN"/>
        </w:rPr>
        <w:t>万元，增长</w:t>
      </w:r>
      <w:r>
        <w:rPr>
          <w:rFonts w:hint="eastAsia" w:ascii="仿宋_GB2312" w:hAnsi="仿宋_GB2312" w:eastAsia="仿宋_GB2312" w:cs="仿宋_GB2312"/>
          <w:sz w:val="32"/>
          <w:szCs w:val="32"/>
          <w:highlight w:val="none"/>
          <w:lang w:val="en-US" w:eastAsia="zh-CN"/>
        </w:rPr>
        <w:t>4.25</w:t>
      </w:r>
      <w:r>
        <w:rPr>
          <w:rFonts w:hint="eastAsia" w:ascii="仿宋_GB2312" w:hAnsi="仿宋_GB2312" w:eastAsia="仿宋_GB2312" w:cs="仿宋_GB2312"/>
          <w:sz w:val="32"/>
          <w:szCs w:val="32"/>
          <w:highlight w:val="none"/>
          <w:lang w:eastAsia="zh-CN"/>
        </w:rPr>
        <w:t>%。主要原因是本年度医疗保险基数增加，医疗保险缴费支出增加。</w:t>
      </w:r>
    </w:p>
    <w:p w14:paraId="349005FB">
      <w:p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（九）213</w:t>
      </w:r>
      <w:r>
        <w:rPr>
          <w:rFonts w:hint="eastAsia" w:ascii="仿宋_GB2312" w:hAnsi="仿宋_GB2312" w:eastAsia="仿宋_GB2312" w:cs="仿宋_GB2312"/>
          <w:sz w:val="32"/>
          <w:szCs w:val="32"/>
          <w:highlight w:val="none"/>
          <w:lang w:val="en-US" w:eastAsia="zh-CN"/>
        </w:rPr>
        <w:t>01</w:t>
      </w:r>
      <w:r>
        <w:rPr>
          <w:rFonts w:hint="eastAsia" w:ascii="仿宋_GB2312" w:hAnsi="仿宋_GB2312" w:eastAsia="仿宋_GB2312" w:cs="仿宋_GB2312"/>
          <w:sz w:val="32"/>
          <w:szCs w:val="32"/>
          <w:highlight w:val="none"/>
          <w:lang w:eastAsia="zh-CN"/>
        </w:rPr>
        <w:t>99</w:t>
      </w:r>
      <w:r>
        <w:rPr>
          <w:rFonts w:hint="eastAsia" w:ascii="仿宋_GB2312" w:hAnsi="仿宋_GB2312" w:eastAsia="仿宋_GB2312" w:cs="仿宋_GB2312"/>
          <w:sz w:val="32"/>
          <w:szCs w:val="32"/>
          <w:highlight w:val="none"/>
          <w:lang w:val="en-US" w:eastAsia="zh-CN"/>
        </w:rPr>
        <w:t>-其他农业农村支出483.31万元，</w:t>
      </w:r>
      <w:r>
        <w:rPr>
          <w:rFonts w:hint="eastAsia" w:ascii="仿宋_GB2312" w:hAnsi="仿宋_GB2312" w:eastAsia="仿宋_GB2312" w:cs="仿宋_GB2312"/>
          <w:sz w:val="32"/>
          <w:szCs w:val="32"/>
          <w:highlight w:val="none"/>
        </w:rPr>
        <w:t>较上年决算数</w:t>
      </w:r>
      <w:r>
        <w:rPr>
          <w:rFonts w:hint="eastAsia" w:ascii="仿宋_GB2312" w:hAnsi="仿宋_GB2312" w:eastAsia="仿宋_GB2312" w:cs="仿宋_GB2312"/>
          <w:sz w:val="32"/>
          <w:szCs w:val="32"/>
          <w:highlight w:val="none"/>
          <w:lang w:eastAsia="zh-CN"/>
        </w:rPr>
        <w:t>增加</w:t>
      </w:r>
      <w:r>
        <w:rPr>
          <w:rFonts w:hint="eastAsia" w:ascii="仿宋_GB2312" w:hAnsi="仿宋_GB2312" w:eastAsia="仿宋_GB2312" w:cs="仿宋_GB2312"/>
          <w:sz w:val="32"/>
          <w:szCs w:val="32"/>
          <w:highlight w:val="none"/>
          <w:lang w:val="en-US" w:eastAsia="zh-CN"/>
        </w:rPr>
        <w:t>68.71</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增长</w:t>
      </w:r>
      <w:r>
        <w:rPr>
          <w:rFonts w:hint="eastAsia" w:ascii="仿宋_GB2312" w:hAnsi="仿宋_GB2312" w:eastAsia="仿宋_GB2312" w:cs="仿宋_GB2312"/>
          <w:sz w:val="32"/>
          <w:szCs w:val="32"/>
          <w:highlight w:val="none"/>
          <w:lang w:val="en-US" w:eastAsia="zh-CN"/>
        </w:rPr>
        <w:t>16.57</w:t>
      </w:r>
      <w:r>
        <w:rPr>
          <w:rFonts w:hint="eastAsia" w:ascii="仿宋_GB2312" w:hAnsi="仿宋_GB2312" w:eastAsia="仿宋_GB2312" w:cs="仿宋_GB2312"/>
          <w:sz w:val="32"/>
          <w:szCs w:val="32"/>
          <w:highlight w:val="none"/>
        </w:rPr>
        <w:t>%。主要原因是</w:t>
      </w:r>
      <w:r>
        <w:rPr>
          <w:rFonts w:hint="eastAsia" w:ascii="仿宋_GB2312" w:hAnsi="仿宋_GB2312" w:eastAsia="仿宋_GB2312" w:cs="仿宋_GB2312"/>
          <w:sz w:val="32"/>
          <w:szCs w:val="32"/>
          <w:highlight w:val="none"/>
          <w:lang w:eastAsia="zh-CN"/>
        </w:rPr>
        <w:t>本年度烟叶税返增加</w:t>
      </w:r>
      <w:r>
        <w:rPr>
          <w:rFonts w:hint="eastAsia" w:ascii="仿宋_GB2312" w:hAnsi="仿宋_GB2312" w:eastAsia="仿宋_GB2312" w:cs="仿宋_GB2312"/>
          <w:sz w:val="32"/>
          <w:szCs w:val="32"/>
          <w:highlight w:val="none"/>
        </w:rPr>
        <w:t>。</w:t>
      </w:r>
    </w:p>
    <w:p w14:paraId="23FF3393">
      <w:pPr>
        <w:rPr>
          <w:rFonts w:hint="eastAsia"/>
          <w:highlight w:val="none"/>
        </w:rPr>
      </w:pPr>
    </w:p>
    <w:p w14:paraId="15C97858">
      <w:pPr>
        <w:spacing w:line="60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（十）2130705</w:t>
      </w:r>
      <w:r>
        <w:rPr>
          <w:rFonts w:hint="eastAsia" w:ascii="仿宋_GB2312" w:hAnsi="仿宋_GB2312" w:eastAsia="仿宋_GB2312" w:cs="仿宋_GB2312"/>
          <w:sz w:val="32"/>
          <w:szCs w:val="32"/>
          <w:highlight w:val="none"/>
          <w:lang w:val="en-US" w:eastAsia="zh-CN"/>
        </w:rPr>
        <w:t>-对村民委员会和村党支部的补助196.78万元，</w:t>
      </w:r>
      <w:r>
        <w:rPr>
          <w:rFonts w:hint="eastAsia" w:ascii="仿宋_GB2312" w:hAnsi="仿宋_GB2312" w:eastAsia="仿宋_GB2312" w:cs="仿宋_GB2312"/>
          <w:sz w:val="32"/>
          <w:szCs w:val="32"/>
          <w:highlight w:val="none"/>
        </w:rPr>
        <w:t>较上年决算数</w:t>
      </w:r>
      <w:r>
        <w:rPr>
          <w:rFonts w:hint="eastAsia" w:ascii="仿宋_GB2312" w:hAnsi="仿宋_GB2312" w:eastAsia="仿宋_GB2312" w:cs="仿宋_GB2312"/>
          <w:sz w:val="32"/>
          <w:szCs w:val="32"/>
          <w:highlight w:val="none"/>
          <w:lang w:eastAsia="zh-CN"/>
        </w:rPr>
        <w:t>增加</w:t>
      </w:r>
      <w:r>
        <w:rPr>
          <w:rFonts w:hint="eastAsia" w:ascii="仿宋_GB2312" w:hAnsi="仿宋_GB2312" w:eastAsia="仿宋_GB2312" w:cs="仿宋_GB2312"/>
          <w:sz w:val="32"/>
          <w:szCs w:val="32"/>
          <w:highlight w:val="none"/>
          <w:lang w:val="en-US" w:eastAsia="zh-CN"/>
        </w:rPr>
        <w:t>52.57</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增长</w:t>
      </w:r>
      <w:r>
        <w:rPr>
          <w:rFonts w:hint="eastAsia" w:ascii="仿宋_GB2312" w:hAnsi="仿宋_GB2312" w:eastAsia="仿宋_GB2312" w:cs="仿宋_GB2312"/>
          <w:sz w:val="32"/>
          <w:szCs w:val="32"/>
          <w:highlight w:val="none"/>
          <w:lang w:val="en-US" w:eastAsia="zh-CN"/>
        </w:rPr>
        <w:t>36.45</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去年本科目与2139999</w:t>
      </w:r>
      <w:r>
        <w:rPr>
          <w:rFonts w:hint="eastAsia" w:ascii="仿宋_GB2312" w:hAnsi="仿宋_GB2312" w:eastAsia="仿宋_GB2312" w:cs="仿宋_GB2312"/>
          <w:sz w:val="32"/>
          <w:szCs w:val="32"/>
          <w:highlight w:val="none"/>
          <w:lang w:val="en-US" w:eastAsia="zh-CN"/>
        </w:rPr>
        <w:t>-其他农林水支出合并计算，部分列支在</w:t>
      </w:r>
      <w:r>
        <w:rPr>
          <w:rFonts w:hint="eastAsia" w:ascii="仿宋_GB2312" w:hAnsi="仿宋_GB2312" w:eastAsia="仿宋_GB2312" w:cs="仿宋_GB2312"/>
          <w:sz w:val="32"/>
          <w:szCs w:val="32"/>
          <w:highlight w:val="none"/>
          <w:lang w:eastAsia="zh-CN"/>
        </w:rPr>
        <w:t>2139999</w:t>
      </w:r>
      <w:r>
        <w:rPr>
          <w:rFonts w:hint="eastAsia" w:ascii="仿宋_GB2312" w:hAnsi="仿宋_GB2312" w:eastAsia="仿宋_GB2312" w:cs="仿宋_GB2312"/>
          <w:sz w:val="32"/>
          <w:szCs w:val="32"/>
          <w:highlight w:val="none"/>
          <w:lang w:val="en-US" w:eastAsia="zh-CN"/>
        </w:rPr>
        <w:t>-其他农林水支出科目</w:t>
      </w:r>
      <w:r>
        <w:rPr>
          <w:rFonts w:hint="eastAsia" w:ascii="仿宋_GB2312" w:hAnsi="仿宋_GB2312" w:eastAsia="仿宋_GB2312" w:cs="仿宋_GB2312"/>
          <w:sz w:val="32"/>
          <w:szCs w:val="32"/>
          <w:highlight w:val="none"/>
          <w:lang w:eastAsia="zh-CN"/>
        </w:rPr>
        <w:t>。</w:t>
      </w:r>
    </w:p>
    <w:p w14:paraId="2290CCC1">
      <w:pPr>
        <w:spacing w:line="60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（十一）2210201</w:t>
      </w:r>
      <w:r>
        <w:rPr>
          <w:rFonts w:hint="eastAsia" w:ascii="仿宋_GB2312" w:hAnsi="仿宋_GB2312" w:eastAsia="仿宋_GB2312" w:cs="仿宋_GB2312"/>
          <w:sz w:val="32"/>
          <w:szCs w:val="32"/>
          <w:highlight w:val="none"/>
          <w:lang w:val="en-US" w:eastAsia="zh-CN"/>
        </w:rPr>
        <w:t>-住房公积金38.18万元，</w:t>
      </w:r>
      <w:r>
        <w:rPr>
          <w:rFonts w:hint="eastAsia" w:ascii="仿宋_GB2312" w:hAnsi="仿宋_GB2312" w:eastAsia="仿宋_GB2312" w:cs="仿宋_GB2312"/>
          <w:sz w:val="32"/>
          <w:szCs w:val="32"/>
          <w:highlight w:val="none"/>
        </w:rPr>
        <w:t>较上年决算数</w:t>
      </w:r>
      <w:r>
        <w:rPr>
          <w:rFonts w:hint="eastAsia" w:ascii="仿宋_GB2312" w:hAnsi="仿宋_GB2312" w:eastAsia="仿宋_GB2312" w:cs="仿宋_GB2312"/>
          <w:sz w:val="32"/>
          <w:szCs w:val="32"/>
          <w:highlight w:val="none"/>
          <w:lang w:eastAsia="zh-CN"/>
        </w:rPr>
        <w:t>增加</w:t>
      </w:r>
      <w:r>
        <w:rPr>
          <w:rFonts w:hint="eastAsia" w:ascii="仿宋_GB2312" w:hAnsi="仿宋_GB2312" w:eastAsia="仿宋_GB2312" w:cs="仿宋_GB2312"/>
          <w:sz w:val="32"/>
          <w:szCs w:val="32"/>
          <w:highlight w:val="none"/>
          <w:lang w:val="en-US" w:eastAsia="zh-CN"/>
        </w:rPr>
        <w:t>1.55</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增长</w:t>
      </w:r>
      <w:r>
        <w:rPr>
          <w:rFonts w:hint="eastAsia" w:ascii="仿宋_GB2312" w:hAnsi="仿宋_GB2312" w:eastAsia="仿宋_GB2312" w:cs="仿宋_GB2312"/>
          <w:sz w:val="32"/>
          <w:szCs w:val="32"/>
          <w:highlight w:val="none"/>
          <w:lang w:val="en-US" w:eastAsia="zh-CN"/>
        </w:rPr>
        <w:t>4.23</w:t>
      </w:r>
      <w:r>
        <w:rPr>
          <w:rFonts w:hint="eastAsia" w:ascii="仿宋_GB2312" w:hAnsi="仿宋_GB2312" w:eastAsia="仿宋_GB2312" w:cs="仿宋_GB2312"/>
          <w:sz w:val="32"/>
          <w:szCs w:val="32"/>
          <w:highlight w:val="none"/>
        </w:rPr>
        <w:t>%。主要原因是</w:t>
      </w:r>
      <w:r>
        <w:rPr>
          <w:rFonts w:hint="eastAsia" w:ascii="仿宋_GB2312" w:hAnsi="仿宋_GB2312" w:eastAsia="仿宋_GB2312" w:cs="仿宋_GB2312"/>
          <w:sz w:val="32"/>
          <w:szCs w:val="32"/>
          <w:highlight w:val="none"/>
          <w:lang w:eastAsia="zh-CN"/>
        </w:rPr>
        <w:t>本年度公积金缴费基数调整，公积金缴费支出增加。</w:t>
      </w:r>
    </w:p>
    <w:p w14:paraId="1DE133C0">
      <w:pPr>
        <w:pStyle w:val="4"/>
        <w:widowControl/>
        <w:spacing w:before="240" w:after="240" w:line="600" w:lineRule="atLeast"/>
        <w:ind w:firstLine="640"/>
        <w:jc w:val="left"/>
        <w:rPr>
          <w:rFonts w:ascii="Times New Roman" w:hAnsi="Times New Roman" w:eastAsia="Times New Roman" w:cs="Times New Roman"/>
          <w:kern w:val="0"/>
          <w:sz w:val="24"/>
          <w:highlight w:val="none"/>
        </w:rPr>
      </w:pPr>
      <w:r>
        <w:rPr>
          <w:rFonts w:hint="eastAsia" w:ascii="黑体" w:hAnsi="黑体" w:eastAsia="黑体" w:cs="黑体"/>
          <w:kern w:val="0"/>
          <w:sz w:val="32"/>
          <w:szCs w:val="32"/>
          <w:highlight w:val="none"/>
          <w:lang w:eastAsia="zh-CN"/>
        </w:rPr>
        <w:t>三</w:t>
      </w:r>
      <w:r>
        <w:rPr>
          <w:rFonts w:ascii="黑体" w:hAnsi="黑体" w:eastAsia="黑体" w:cs="黑体"/>
          <w:kern w:val="0"/>
          <w:sz w:val="32"/>
          <w:szCs w:val="32"/>
          <w:highlight w:val="none"/>
        </w:rPr>
        <w:t>、政府性基金预算财政拨款支出决算情况说明</w:t>
      </w:r>
    </w:p>
    <w:p w14:paraId="70BE0739">
      <w:pPr>
        <w:tabs>
          <w:tab w:val="left" w:pos="7513"/>
        </w:tabs>
        <w:adjustRightInd w:val="0"/>
        <w:snapToGrid w:val="0"/>
        <w:spacing w:line="600" w:lineRule="exact"/>
        <w:ind w:firstLine="704" w:firstLineChars="220"/>
        <w:rPr>
          <w:rFonts w:hint="eastAsia" w:ascii="仿宋_GB2312" w:hAnsi="仿宋_GB2312" w:eastAsia="仿宋_GB2312" w:cs="仿宋_GB2312"/>
          <w:sz w:val="32"/>
          <w:szCs w:val="32"/>
          <w:highlight w:val="none"/>
        </w:rPr>
      </w:pPr>
      <w:r>
        <w:rPr>
          <w:rFonts w:ascii="仿宋" w:hAnsi="仿宋" w:eastAsia="仿宋" w:cs="仿宋"/>
          <w:kern w:val="0"/>
          <w:sz w:val="32"/>
          <w:szCs w:val="32"/>
          <w:highlight w:val="none"/>
        </w:rPr>
        <w:t>2</w:t>
      </w:r>
      <w:r>
        <w:rPr>
          <w:rFonts w:ascii="仿宋" w:hAnsi="仿宋" w:eastAsia="仿宋" w:cs="仿宋"/>
          <w:spacing w:val="0"/>
          <w:kern w:val="0"/>
          <w:sz w:val="32"/>
          <w:szCs w:val="32"/>
          <w:highlight w:val="none"/>
        </w:rPr>
        <w:t>023年度政府性基金支出0.00万元，</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年度政府性基金支出</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万元，比上年决算数增加</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万元，增长</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w:t>
      </w:r>
    </w:p>
    <w:p w14:paraId="373328F6">
      <w:pPr>
        <w:pStyle w:val="4"/>
        <w:widowControl/>
        <w:spacing w:before="240" w:after="240" w:line="600" w:lineRule="atLeast"/>
        <w:ind w:firstLine="640"/>
        <w:jc w:val="left"/>
        <w:rPr>
          <w:rFonts w:ascii="Times New Roman" w:hAnsi="Times New Roman" w:eastAsia="Times New Roman" w:cs="Times New Roman"/>
          <w:kern w:val="0"/>
          <w:sz w:val="24"/>
          <w:highlight w:val="none"/>
        </w:rPr>
      </w:pPr>
      <w:r>
        <w:rPr>
          <w:rFonts w:ascii="楷体" w:hAnsi="楷体" w:eastAsia="楷体" w:cs="楷体"/>
          <w:kern w:val="0"/>
          <w:sz w:val="32"/>
          <w:szCs w:val="32"/>
          <w:highlight w:val="none"/>
        </w:rPr>
        <w:t>本单位2023年度没有使用政府性基金预算拨款安排的支出。</w:t>
      </w:r>
    </w:p>
    <w:p w14:paraId="3D1E4EAC">
      <w:pPr>
        <w:pStyle w:val="4"/>
        <w:widowControl/>
        <w:spacing w:before="240" w:after="240" w:line="600" w:lineRule="atLeast"/>
        <w:ind w:firstLine="640"/>
        <w:jc w:val="left"/>
        <w:rPr>
          <w:rFonts w:ascii="Times New Roman" w:hAnsi="Times New Roman" w:eastAsia="Times New Roman" w:cs="Times New Roman"/>
          <w:kern w:val="0"/>
          <w:sz w:val="24"/>
          <w:highlight w:val="none"/>
        </w:rPr>
      </w:pPr>
      <w:r>
        <w:rPr>
          <w:rFonts w:hint="eastAsia" w:ascii="黑体" w:hAnsi="黑体" w:eastAsia="黑体" w:cs="黑体"/>
          <w:kern w:val="0"/>
          <w:sz w:val="32"/>
          <w:szCs w:val="32"/>
          <w:highlight w:val="none"/>
          <w:lang w:eastAsia="zh-CN"/>
        </w:rPr>
        <w:t>四</w:t>
      </w:r>
      <w:r>
        <w:rPr>
          <w:rFonts w:ascii="黑体" w:hAnsi="黑体" w:eastAsia="黑体" w:cs="黑体"/>
          <w:kern w:val="0"/>
          <w:sz w:val="32"/>
          <w:szCs w:val="32"/>
          <w:highlight w:val="none"/>
        </w:rPr>
        <w:t>、国有资本经营预算财政拨款支出决算情况说明</w:t>
      </w:r>
    </w:p>
    <w:p w14:paraId="36980601">
      <w:pPr>
        <w:tabs>
          <w:tab w:val="left" w:pos="7513"/>
        </w:tabs>
        <w:adjustRightInd w:val="0"/>
        <w:snapToGrid w:val="0"/>
        <w:spacing w:line="600" w:lineRule="exact"/>
        <w:ind w:firstLine="640" w:firstLineChars="200"/>
        <w:rPr>
          <w:rFonts w:ascii="Times New Roman" w:hAnsi="Times New Roman" w:eastAsia="Times New Roman" w:cs="Times New Roman"/>
          <w:kern w:val="0"/>
          <w:sz w:val="24"/>
          <w:highlight w:val="none"/>
        </w:rPr>
      </w:pPr>
      <w:r>
        <w:rPr>
          <w:rFonts w:ascii="仿宋" w:hAnsi="仿宋" w:eastAsia="仿宋" w:cs="仿宋"/>
          <w:spacing w:val="0"/>
          <w:kern w:val="0"/>
          <w:sz w:val="32"/>
          <w:szCs w:val="32"/>
          <w:highlight w:val="none"/>
        </w:rPr>
        <w:t>2023年度国有资本经营预算支出0.00万元，</w:t>
      </w:r>
      <w:r>
        <w:rPr>
          <w:rFonts w:hint="eastAsia" w:ascii="仿宋_GB2312" w:hAnsi="仿宋_GB2312" w:eastAsia="仿宋_GB2312" w:cs="仿宋_GB2312"/>
          <w:sz w:val="32"/>
          <w:szCs w:val="32"/>
          <w:highlight w:val="none"/>
        </w:rPr>
        <w:t>比上年决算数增加</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万元，增长</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w:t>
      </w:r>
    </w:p>
    <w:p w14:paraId="24EE6D99">
      <w:pPr>
        <w:pStyle w:val="4"/>
        <w:widowControl/>
        <w:spacing w:before="240" w:after="240" w:line="600" w:lineRule="atLeast"/>
        <w:ind w:firstLine="640"/>
        <w:jc w:val="left"/>
        <w:rPr>
          <w:rFonts w:ascii="Times New Roman" w:hAnsi="Times New Roman" w:eastAsia="Times New Roman" w:cs="Times New Roman"/>
          <w:kern w:val="0"/>
          <w:sz w:val="24"/>
          <w:highlight w:val="none"/>
        </w:rPr>
      </w:pPr>
      <w:r>
        <w:rPr>
          <w:rFonts w:ascii="楷体" w:hAnsi="楷体" w:eastAsia="楷体" w:cs="楷体"/>
          <w:kern w:val="0"/>
          <w:sz w:val="32"/>
          <w:szCs w:val="32"/>
          <w:highlight w:val="none"/>
        </w:rPr>
        <w:t>本单位2023年度没有使用国有资本经营预算财政拨款安排的支出。</w:t>
      </w:r>
    </w:p>
    <w:p w14:paraId="44F0A4B3">
      <w:pPr>
        <w:pStyle w:val="4"/>
        <w:widowControl/>
        <w:spacing w:before="240" w:after="240" w:line="600" w:lineRule="atLeast"/>
        <w:ind w:firstLine="640"/>
        <w:jc w:val="left"/>
        <w:rPr>
          <w:rFonts w:ascii="Times New Roman" w:hAnsi="Times New Roman" w:eastAsia="Times New Roman" w:cs="Times New Roman"/>
          <w:kern w:val="0"/>
          <w:sz w:val="24"/>
          <w:highlight w:val="none"/>
        </w:rPr>
      </w:pPr>
      <w:r>
        <w:rPr>
          <w:rFonts w:hint="eastAsia" w:ascii="黑体" w:hAnsi="黑体" w:eastAsia="黑体" w:cs="黑体"/>
          <w:kern w:val="0"/>
          <w:sz w:val="32"/>
          <w:szCs w:val="32"/>
          <w:highlight w:val="none"/>
          <w:lang w:eastAsia="zh-CN"/>
        </w:rPr>
        <w:t>五</w:t>
      </w:r>
      <w:r>
        <w:rPr>
          <w:rFonts w:ascii="黑体" w:hAnsi="黑体" w:eastAsia="黑体" w:cs="黑体"/>
          <w:kern w:val="0"/>
          <w:sz w:val="32"/>
          <w:szCs w:val="32"/>
          <w:highlight w:val="none"/>
        </w:rPr>
        <w:t>、一般公共预算财政拨款基本支出决算情况说明</w:t>
      </w:r>
    </w:p>
    <w:p w14:paraId="78EE27E0">
      <w:pPr>
        <w:pStyle w:val="4"/>
        <w:widowControl/>
        <w:spacing w:before="100" w:after="100" w:line="600" w:lineRule="atLeast"/>
        <w:ind w:left="0" w:right="0" w:firstLine="640"/>
        <w:jc w:val="left"/>
        <w:rPr>
          <w:rFonts w:ascii="仿宋" w:hAnsi="仿宋" w:eastAsia="仿宋" w:cs="仿宋"/>
          <w:spacing w:val="0"/>
          <w:kern w:val="0"/>
          <w:sz w:val="32"/>
          <w:szCs w:val="32"/>
          <w:highlight w:val="none"/>
        </w:rPr>
      </w:pPr>
      <w:r>
        <w:rPr>
          <w:rFonts w:ascii="仿宋" w:hAnsi="仿宋" w:eastAsia="仿宋" w:cs="仿宋"/>
          <w:spacing w:val="0"/>
          <w:kern w:val="0"/>
          <w:sz w:val="32"/>
          <w:szCs w:val="32"/>
          <w:highlight w:val="none"/>
        </w:rPr>
        <w:t>2023年度一般公共预算财政拨款基本支出1,568.42万元，其中：</w:t>
      </w:r>
    </w:p>
    <w:p w14:paraId="64071FEA">
      <w:pPr>
        <w:pStyle w:val="4"/>
        <w:widowControl/>
        <w:spacing w:before="100" w:after="100" w:line="600" w:lineRule="atLeast"/>
        <w:ind w:left="0" w:right="0" w:firstLine="640"/>
        <w:jc w:val="left"/>
        <w:rPr>
          <w:rFonts w:ascii="Times New Roman" w:hAnsi="Times New Roman" w:eastAsia="Times New Roman" w:cs="Times New Roman"/>
          <w:kern w:val="0"/>
          <w:sz w:val="24"/>
          <w:highlight w:val="none"/>
        </w:rPr>
      </w:pPr>
      <w:r>
        <w:rPr>
          <w:rFonts w:ascii="仿宋" w:hAnsi="仿宋" w:eastAsia="仿宋" w:cs="仿宋"/>
          <w:spacing w:val="0"/>
          <w:kern w:val="0"/>
          <w:sz w:val="32"/>
          <w:szCs w:val="32"/>
          <w:highlight w:val="none"/>
        </w:rPr>
        <w:t>（一）人员经费1,046.83万元</w:t>
      </w:r>
      <w:r>
        <w:rPr>
          <w:rFonts w:ascii="仿宋" w:hAnsi="仿宋" w:eastAsia="仿宋" w:cs="仿宋"/>
          <w:kern w:val="0"/>
          <w:sz w:val="32"/>
          <w:szCs w:val="32"/>
          <w:highlight w:val="none"/>
        </w:rPr>
        <w:t>，主要包括：基本工资、津贴补贴、奖金、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14:paraId="447C8E28">
      <w:pPr>
        <w:pStyle w:val="4"/>
        <w:widowControl/>
        <w:spacing w:before="240" w:after="240"/>
        <w:ind w:firstLine="640"/>
        <w:jc w:val="left"/>
        <w:rPr>
          <w:rFonts w:ascii="Times New Roman" w:hAnsi="Times New Roman" w:eastAsia="Times New Roman" w:cs="Times New Roman"/>
          <w:kern w:val="0"/>
          <w:sz w:val="24"/>
          <w:highlight w:val="none"/>
        </w:rPr>
      </w:pPr>
      <w:r>
        <w:rPr>
          <w:rFonts w:ascii="仿宋" w:hAnsi="仿宋" w:eastAsia="仿宋" w:cs="仿宋"/>
          <w:kern w:val="0"/>
          <w:sz w:val="32"/>
          <w:szCs w:val="32"/>
          <w:highlight w:val="none"/>
        </w:rPr>
        <w:t>（二）</w:t>
      </w:r>
      <w:r>
        <w:rPr>
          <w:rFonts w:ascii="仿宋" w:hAnsi="仿宋" w:eastAsia="仿宋" w:cs="仿宋"/>
          <w:spacing w:val="0"/>
          <w:kern w:val="0"/>
          <w:sz w:val="32"/>
          <w:szCs w:val="32"/>
          <w:highlight w:val="none"/>
        </w:rPr>
        <w:t>公用经费521.59万元</w:t>
      </w:r>
      <w:r>
        <w:rPr>
          <w:rFonts w:ascii="仿宋" w:hAnsi="仿宋" w:eastAsia="仿宋" w:cs="仿宋"/>
          <w:kern w:val="0"/>
          <w:sz w:val="32"/>
          <w:szCs w:val="32"/>
          <w:highlight w:val="none"/>
        </w:rPr>
        <w:t>，主要包括：办公费、印刷费、咨询费、手续费、水费、电费、邮电费、取暖费、物业管理费、差旅费、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14:paraId="6989A26E">
      <w:pPr>
        <w:pStyle w:val="4"/>
        <w:widowControl/>
        <w:spacing w:before="240" w:after="240" w:line="600" w:lineRule="atLeast"/>
        <w:ind w:firstLine="640"/>
        <w:jc w:val="left"/>
        <w:rPr>
          <w:rFonts w:ascii="Times New Roman" w:hAnsi="Times New Roman" w:eastAsia="Times New Roman" w:cs="Times New Roman"/>
          <w:kern w:val="0"/>
          <w:sz w:val="24"/>
          <w:highlight w:val="none"/>
        </w:rPr>
      </w:pPr>
      <w:r>
        <w:rPr>
          <w:rFonts w:hint="eastAsia" w:ascii="黑体" w:hAnsi="黑体" w:eastAsia="黑体" w:cs="黑体"/>
          <w:kern w:val="0"/>
          <w:sz w:val="32"/>
          <w:szCs w:val="32"/>
          <w:highlight w:val="none"/>
          <w:lang w:eastAsia="zh-CN"/>
        </w:rPr>
        <w:t>六</w:t>
      </w:r>
      <w:r>
        <w:rPr>
          <w:rFonts w:ascii="黑体" w:hAnsi="黑体" w:eastAsia="黑体" w:cs="黑体"/>
          <w:kern w:val="0"/>
          <w:sz w:val="32"/>
          <w:szCs w:val="32"/>
          <w:highlight w:val="none"/>
        </w:rPr>
        <w:t>、一般公共预算拨款“三公”经费支出决算情况说明</w:t>
      </w:r>
    </w:p>
    <w:p w14:paraId="64A235C6">
      <w:pPr>
        <w:tabs>
          <w:tab w:val="left" w:pos="7513"/>
        </w:tabs>
        <w:adjustRightInd w:val="0"/>
        <w:snapToGrid w:val="0"/>
        <w:spacing w:line="600" w:lineRule="exact"/>
        <w:ind w:firstLine="704" w:firstLineChars="220"/>
        <w:rPr>
          <w:rFonts w:hint="eastAsia" w:ascii="仿宋_GB2312" w:hAnsi="仿宋_GB2312" w:eastAsia="仿宋_GB2312" w:cs="仿宋_GB2312"/>
          <w:sz w:val="32"/>
          <w:szCs w:val="32"/>
          <w:highlight w:val="none"/>
          <w:lang w:eastAsia="zh-CN"/>
        </w:rPr>
      </w:pPr>
      <w:r>
        <w:rPr>
          <w:rFonts w:ascii="仿宋" w:hAnsi="仿宋" w:eastAsia="仿宋" w:cs="仿宋"/>
          <w:spacing w:val="0"/>
          <w:kern w:val="0"/>
          <w:sz w:val="32"/>
          <w:szCs w:val="32"/>
          <w:highlight w:val="none"/>
        </w:rPr>
        <w:t>2023年度一般公共预算拨款“三公”经费支出0.00万元，</w:t>
      </w:r>
      <w:r>
        <w:rPr>
          <w:rFonts w:hint="eastAsia" w:ascii="仿宋_GB2312" w:hAnsi="仿宋_GB2312" w:eastAsia="仿宋_GB2312" w:cs="仿宋_GB2312"/>
          <w:sz w:val="32"/>
          <w:szCs w:val="32"/>
          <w:highlight w:val="none"/>
        </w:rPr>
        <w:t>比本年预算的</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增加</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%。具体情况如下：</w:t>
      </w:r>
      <w:r>
        <w:rPr>
          <w:rFonts w:hint="eastAsia" w:ascii="仿宋_GB2312" w:hAnsi="仿宋_GB2312" w:eastAsia="仿宋_GB2312" w:cs="仿宋_GB2312"/>
          <w:sz w:val="32"/>
          <w:szCs w:val="32"/>
          <w:highlight w:val="none"/>
        </w:rPr>
        <w:br w:type="textWrapping"/>
      </w:r>
      <w:r>
        <w:rPr>
          <w:rFonts w:hint="eastAsia" w:ascii="仿宋_GB2312" w:hAnsi="仿宋_GB2312" w:eastAsia="仿宋_GB2312" w:cs="仿宋_GB2312"/>
          <w:sz w:val="32"/>
          <w:szCs w:val="32"/>
          <w:highlight w:val="none"/>
        </w:rPr>
        <w:t>　　（一）因公出国（境）费支出</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万元，比本年预算的</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万元下降</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%。全年安排本部门组织的出国团组</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个，参加其他部门出国团组</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个；全年因公出国（境）累计</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人次。与全年预算（或上年决算）持平</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主要是</w:t>
      </w:r>
      <w:r>
        <w:rPr>
          <w:rFonts w:hint="eastAsia" w:ascii="仿宋_GB2312" w:hAnsi="仿宋_GB2312" w:eastAsia="仿宋_GB2312" w:cs="仿宋_GB2312"/>
          <w:sz w:val="32"/>
          <w:szCs w:val="32"/>
          <w:highlight w:val="none"/>
          <w:lang w:eastAsia="zh-CN"/>
        </w:rPr>
        <w:t>本年度本单位无因公出国（境）费用。</w:t>
      </w:r>
    </w:p>
    <w:p w14:paraId="40602086">
      <w:pPr>
        <w:tabs>
          <w:tab w:val="left" w:pos="7513"/>
        </w:tabs>
        <w:adjustRightInd w:val="0"/>
        <w:snapToGrid w:val="0"/>
        <w:spacing w:line="600" w:lineRule="exact"/>
        <w:ind w:firstLine="645"/>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（二）公务用车购置及运行费支出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万元，比本年预算的</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增加</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%，与全年预算（或上年决算）持平</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主要是</w:t>
      </w:r>
      <w:r>
        <w:rPr>
          <w:rFonts w:hint="eastAsia" w:ascii="仿宋_GB2312" w:hAnsi="仿宋_GB2312" w:eastAsia="仿宋_GB2312" w:cs="仿宋_GB2312"/>
          <w:sz w:val="32"/>
          <w:szCs w:val="32"/>
          <w:highlight w:val="none"/>
          <w:lang w:eastAsia="zh-CN"/>
        </w:rPr>
        <w:t>本年度无</w:t>
      </w:r>
      <w:r>
        <w:rPr>
          <w:rFonts w:hint="eastAsia" w:ascii="仿宋_GB2312" w:hAnsi="仿宋_GB2312" w:eastAsia="仿宋_GB2312" w:cs="仿宋_GB2312"/>
          <w:sz w:val="32"/>
          <w:szCs w:val="32"/>
          <w:highlight w:val="none"/>
        </w:rPr>
        <w:t>一般公共预算拨款</w:t>
      </w:r>
      <w:r>
        <w:rPr>
          <w:rFonts w:hint="eastAsia" w:ascii="仿宋_GB2312" w:hAnsi="仿宋_GB2312" w:eastAsia="仿宋_GB2312" w:cs="仿宋_GB2312"/>
          <w:sz w:val="32"/>
          <w:szCs w:val="32"/>
          <w:highlight w:val="none"/>
          <w:lang w:eastAsia="zh-CN"/>
        </w:rPr>
        <w:t>公务用车运行维护费用支出</w:t>
      </w:r>
      <w:r>
        <w:rPr>
          <w:rFonts w:hint="eastAsia" w:ascii="仿宋_GB2312" w:hAnsi="仿宋_GB2312" w:eastAsia="仿宋_GB2312" w:cs="仿宋_GB2312"/>
          <w:sz w:val="32"/>
          <w:szCs w:val="32"/>
          <w:highlight w:val="none"/>
        </w:rPr>
        <w:t>。其中：</w:t>
      </w:r>
    </w:p>
    <w:p w14:paraId="0A3530FC">
      <w:pPr>
        <w:tabs>
          <w:tab w:val="left" w:pos="7513"/>
        </w:tabs>
        <w:adjustRightInd w:val="0"/>
        <w:snapToGrid w:val="0"/>
        <w:spacing w:line="600" w:lineRule="exact"/>
        <w:ind w:firstLine="645"/>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公务用车购置费支出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万元，比本年预算的</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万元下降</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年公务用车购置</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辆，与全年预算（或上年决算）持平</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主要是</w:t>
      </w:r>
      <w:r>
        <w:rPr>
          <w:rFonts w:hint="eastAsia" w:ascii="仿宋_GB2312" w:hAnsi="仿宋_GB2312" w:eastAsia="仿宋_GB2312" w:cs="仿宋_GB2312"/>
          <w:sz w:val="32"/>
          <w:szCs w:val="32"/>
          <w:highlight w:val="none"/>
          <w:lang w:eastAsia="zh-CN"/>
        </w:rPr>
        <w:t>年度本单位无</w:t>
      </w:r>
      <w:r>
        <w:rPr>
          <w:rFonts w:hint="eastAsia" w:ascii="仿宋_GB2312" w:hAnsi="仿宋_GB2312" w:eastAsia="仿宋_GB2312" w:cs="仿宋_GB2312"/>
          <w:sz w:val="32"/>
          <w:szCs w:val="32"/>
          <w:highlight w:val="none"/>
        </w:rPr>
        <w:t>一般公共预算拨款</w:t>
      </w:r>
      <w:r>
        <w:rPr>
          <w:rFonts w:hint="eastAsia" w:ascii="仿宋_GB2312" w:hAnsi="仿宋_GB2312" w:eastAsia="仿宋_GB2312" w:cs="仿宋_GB2312"/>
          <w:sz w:val="32"/>
          <w:szCs w:val="32"/>
          <w:highlight w:val="none"/>
          <w:lang w:eastAsia="zh-CN"/>
        </w:rPr>
        <w:t>公务用车购置支出</w:t>
      </w:r>
      <w:r>
        <w:rPr>
          <w:rFonts w:hint="eastAsia" w:ascii="仿宋_GB2312" w:hAnsi="仿宋_GB2312" w:eastAsia="仿宋_GB2312" w:cs="仿宋_GB2312"/>
          <w:sz w:val="32"/>
          <w:szCs w:val="32"/>
          <w:highlight w:val="none"/>
        </w:rPr>
        <w:t>。</w:t>
      </w:r>
    </w:p>
    <w:p w14:paraId="52D4B153">
      <w:pPr>
        <w:tabs>
          <w:tab w:val="left" w:pos="7513"/>
        </w:tabs>
        <w:adjustRightInd w:val="0"/>
        <w:snapToGrid w:val="0"/>
        <w:spacing w:line="600" w:lineRule="exact"/>
        <w:ind w:firstLine="645"/>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公务用车运行费支出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万元，比本年预算的</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增加</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%，与全年预算（或上年决算）持平</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主要是</w:t>
      </w:r>
      <w:r>
        <w:rPr>
          <w:rFonts w:hint="eastAsia" w:ascii="仿宋_GB2312" w:hAnsi="仿宋_GB2312" w:eastAsia="仿宋_GB2312" w:cs="仿宋_GB2312"/>
          <w:sz w:val="32"/>
          <w:szCs w:val="32"/>
          <w:highlight w:val="none"/>
          <w:lang w:eastAsia="zh-CN"/>
        </w:rPr>
        <w:t>本年度本单位无</w:t>
      </w:r>
      <w:r>
        <w:rPr>
          <w:rFonts w:hint="eastAsia" w:ascii="仿宋_GB2312" w:hAnsi="仿宋_GB2312" w:eastAsia="仿宋_GB2312" w:cs="仿宋_GB2312"/>
          <w:sz w:val="32"/>
          <w:szCs w:val="32"/>
          <w:highlight w:val="none"/>
        </w:rPr>
        <w:t>公务用车运行费</w:t>
      </w:r>
      <w:r>
        <w:rPr>
          <w:rFonts w:hint="eastAsia" w:ascii="仿宋_GB2312" w:hAnsi="仿宋_GB2312" w:eastAsia="仿宋_GB2312" w:cs="仿宋_GB2312"/>
          <w:sz w:val="32"/>
          <w:szCs w:val="32"/>
          <w:highlight w:val="none"/>
          <w:lang w:eastAsia="zh-CN"/>
        </w:rPr>
        <w:t>支出</w:t>
      </w:r>
      <w:r>
        <w:rPr>
          <w:rFonts w:hint="eastAsia" w:ascii="仿宋_GB2312" w:hAnsi="仿宋_GB2312" w:eastAsia="仿宋_GB2312" w:cs="仿宋_GB2312"/>
          <w:sz w:val="32"/>
          <w:szCs w:val="32"/>
          <w:highlight w:val="none"/>
        </w:rPr>
        <w:t>。截至202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年12月31日，本部门公务用车保有量为</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辆。</w:t>
      </w:r>
    </w:p>
    <w:p w14:paraId="6AD4C542">
      <w:pPr>
        <w:tabs>
          <w:tab w:val="left" w:pos="7513"/>
        </w:tabs>
        <w:adjustRightInd w:val="0"/>
        <w:snapToGrid w:val="0"/>
        <w:spacing w:line="600" w:lineRule="exac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（三）公务接待费支出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万元，比本年预算的</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增加</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%。与全年预算（或上年决算）持平</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主要是</w:t>
      </w:r>
      <w:r>
        <w:rPr>
          <w:rFonts w:hint="eastAsia" w:ascii="仿宋_GB2312" w:hAnsi="仿宋_GB2312" w:eastAsia="仿宋_GB2312" w:cs="仿宋_GB2312"/>
          <w:sz w:val="32"/>
          <w:szCs w:val="32"/>
          <w:highlight w:val="none"/>
          <w:lang w:eastAsia="zh-CN"/>
        </w:rPr>
        <w:t>本年度本单位无</w:t>
      </w:r>
      <w:r>
        <w:rPr>
          <w:rFonts w:hint="eastAsia" w:ascii="仿宋_GB2312" w:hAnsi="仿宋_GB2312" w:eastAsia="仿宋_GB2312" w:cs="仿宋_GB2312"/>
          <w:sz w:val="32"/>
          <w:szCs w:val="32"/>
          <w:highlight w:val="none"/>
        </w:rPr>
        <w:t>一般公共预算拨款</w:t>
      </w:r>
      <w:r>
        <w:rPr>
          <w:rFonts w:hint="eastAsia" w:ascii="仿宋_GB2312" w:hAnsi="仿宋_GB2312" w:eastAsia="仿宋_GB2312" w:cs="仿宋_GB2312"/>
          <w:sz w:val="32"/>
          <w:szCs w:val="32"/>
          <w:highlight w:val="none"/>
          <w:lang w:eastAsia="zh-CN"/>
        </w:rPr>
        <w:t>公务接待费支出</w:t>
      </w:r>
      <w:r>
        <w:rPr>
          <w:rFonts w:hint="eastAsia" w:ascii="仿宋_GB2312" w:hAnsi="仿宋_GB2312" w:eastAsia="仿宋_GB2312" w:cs="仿宋_GB2312"/>
          <w:sz w:val="32"/>
          <w:szCs w:val="32"/>
          <w:highlight w:val="none"/>
        </w:rPr>
        <w:t>。</w:t>
      </w:r>
    </w:p>
    <w:p w14:paraId="091C3B0D">
      <w:pPr>
        <w:pStyle w:val="4"/>
        <w:widowControl/>
        <w:spacing w:before="240" w:after="240" w:line="600" w:lineRule="atLeast"/>
        <w:ind w:firstLine="640"/>
        <w:jc w:val="left"/>
        <w:rPr>
          <w:rFonts w:ascii="Times New Roman" w:hAnsi="Times New Roman" w:eastAsia="Times New Roman" w:cs="Times New Roman"/>
          <w:kern w:val="0"/>
          <w:sz w:val="24"/>
          <w:highlight w:val="none"/>
        </w:rPr>
      </w:pPr>
      <w:r>
        <w:rPr>
          <w:rFonts w:hint="eastAsia" w:ascii="黑体" w:hAnsi="黑体" w:eastAsia="黑体" w:cs="黑体"/>
          <w:kern w:val="0"/>
          <w:sz w:val="32"/>
          <w:szCs w:val="32"/>
          <w:highlight w:val="none"/>
          <w:lang w:eastAsia="zh-CN"/>
        </w:rPr>
        <w:t>七</w:t>
      </w:r>
      <w:r>
        <w:rPr>
          <w:rFonts w:ascii="黑体" w:hAnsi="黑体" w:eastAsia="黑体" w:cs="黑体"/>
          <w:kern w:val="0"/>
          <w:sz w:val="32"/>
          <w:szCs w:val="32"/>
          <w:highlight w:val="none"/>
        </w:rPr>
        <w:t>、预算绩效情况说明</w:t>
      </w:r>
    </w:p>
    <w:p w14:paraId="21B64641">
      <w:pPr>
        <w:pStyle w:val="4"/>
        <w:widowControl/>
        <w:spacing w:before="240" w:after="240" w:line="600" w:lineRule="atLeast"/>
        <w:ind w:firstLine="640"/>
        <w:jc w:val="left"/>
        <w:rPr>
          <w:rFonts w:ascii="仿宋" w:hAnsi="仿宋" w:eastAsia="仿宋" w:cs="仿宋"/>
          <w:kern w:val="0"/>
          <w:sz w:val="32"/>
          <w:szCs w:val="32"/>
          <w:highlight w:val="none"/>
        </w:rPr>
      </w:pPr>
      <w:r>
        <w:rPr>
          <w:rFonts w:ascii="仿宋" w:hAnsi="仿宋" w:eastAsia="仿宋" w:cs="仿宋"/>
          <w:kern w:val="0"/>
          <w:sz w:val="32"/>
          <w:szCs w:val="32"/>
          <w:highlight w:val="none"/>
        </w:rPr>
        <w:t>根据预算绩效管理要求，本单位组织对2023年度</w:t>
      </w:r>
      <w:r>
        <w:rPr>
          <w:rFonts w:hint="eastAsia" w:ascii="仿宋" w:hAnsi="仿宋" w:eastAsia="仿宋" w:cs="仿宋"/>
          <w:kern w:val="0"/>
          <w:sz w:val="32"/>
          <w:szCs w:val="32"/>
          <w:highlight w:val="none"/>
          <w:lang w:val="en-US" w:eastAsia="zh-CN"/>
        </w:rPr>
        <w:t>45</w:t>
      </w:r>
      <w:r>
        <w:rPr>
          <w:rFonts w:ascii="仿宋" w:hAnsi="仿宋" w:eastAsia="仿宋" w:cs="仿宋"/>
          <w:kern w:val="0"/>
          <w:sz w:val="32"/>
          <w:szCs w:val="32"/>
          <w:highlight w:val="none"/>
        </w:rPr>
        <w:t>个项目实施单位自评，分别是</w:t>
      </w:r>
      <w:r>
        <w:rPr>
          <w:rFonts w:hint="eastAsia" w:ascii="仿宋" w:hAnsi="仿宋" w:eastAsia="仿宋" w:cs="仿宋"/>
          <w:kern w:val="0"/>
          <w:sz w:val="32"/>
          <w:szCs w:val="32"/>
          <w:highlight w:val="none"/>
        </w:rPr>
        <w:t>2022年度财政支农政策培训补助资金</w:t>
      </w:r>
      <w:r>
        <w:rPr>
          <w:rFonts w:hint="eastAsia" w:ascii="仿宋" w:hAnsi="仿宋" w:eastAsia="仿宋" w:cs="仿宋"/>
          <w:kern w:val="0"/>
          <w:sz w:val="32"/>
          <w:szCs w:val="32"/>
          <w:highlight w:val="none"/>
          <w:lang w:eastAsia="zh-CN"/>
        </w:rPr>
        <w:t>、202</w:t>
      </w:r>
      <w:r>
        <w:rPr>
          <w:rFonts w:hint="eastAsia" w:ascii="仿宋" w:hAnsi="仿宋" w:eastAsia="仿宋" w:cs="仿宋"/>
          <w:kern w:val="0"/>
          <w:sz w:val="32"/>
          <w:szCs w:val="32"/>
          <w:highlight w:val="none"/>
          <w:lang w:val="en-US" w:eastAsia="zh-CN"/>
        </w:rPr>
        <w:t>3</w:t>
      </w:r>
      <w:r>
        <w:rPr>
          <w:rFonts w:hint="eastAsia" w:ascii="仿宋" w:hAnsi="仿宋" w:eastAsia="仿宋" w:cs="仿宋"/>
          <w:kern w:val="0"/>
          <w:sz w:val="32"/>
          <w:szCs w:val="32"/>
          <w:highlight w:val="none"/>
          <w:lang w:eastAsia="zh-CN"/>
        </w:rPr>
        <w:t>年度挂钩帮扶资金</w:t>
      </w:r>
      <w:r>
        <w:rPr>
          <w:rFonts w:ascii="仿宋" w:hAnsi="仿宋" w:eastAsia="仿宋" w:cs="仿宋"/>
          <w:kern w:val="0"/>
          <w:sz w:val="32"/>
          <w:szCs w:val="32"/>
          <w:highlight w:val="none"/>
        </w:rPr>
        <w:t>等项目，涉及财政拨款资金共计</w:t>
      </w:r>
      <w:r>
        <w:rPr>
          <w:rFonts w:hint="eastAsia" w:ascii="仿宋" w:hAnsi="仿宋" w:eastAsia="仿宋" w:cs="仿宋"/>
          <w:kern w:val="0"/>
          <w:sz w:val="32"/>
          <w:szCs w:val="32"/>
          <w:highlight w:val="none"/>
          <w:lang w:val="en-US" w:eastAsia="zh-CN"/>
        </w:rPr>
        <w:t>1998.07</w:t>
      </w:r>
      <w:r>
        <w:rPr>
          <w:rFonts w:ascii="仿宋" w:hAnsi="仿宋" w:eastAsia="仿宋" w:cs="仿宋"/>
          <w:kern w:val="0"/>
          <w:sz w:val="32"/>
          <w:szCs w:val="32"/>
          <w:highlight w:val="none"/>
        </w:rPr>
        <w:t>万元。（《项目支出绩效自评表》详见附件）</w:t>
      </w:r>
    </w:p>
    <w:p w14:paraId="777F7BAC">
      <w:pPr>
        <w:pStyle w:val="4"/>
        <w:widowControl/>
        <w:spacing w:before="240" w:after="240" w:line="600" w:lineRule="atLeast"/>
        <w:ind w:firstLine="640"/>
        <w:jc w:val="left"/>
        <w:rPr>
          <w:rFonts w:ascii="Times New Roman" w:hAnsi="Times New Roman" w:eastAsia="Times New Roman" w:cs="Times New Roman"/>
          <w:kern w:val="0"/>
          <w:sz w:val="24"/>
          <w:highlight w:val="none"/>
        </w:rPr>
      </w:pPr>
      <w:r>
        <w:rPr>
          <w:rFonts w:hint="eastAsia" w:ascii="黑体" w:hAnsi="黑体" w:eastAsia="黑体" w:cs="黑体"/>
          <w:kern w:val="0"/>
          <w:sz w:val="32"/>
          <w:szCs w:val="32"/>
          <w:highlight w:val="none"/>
          <w:lang w:eastAsia="zh-CN"/>
        </w:rPr>
        <w:t>八</w:t>
      </w:r>
      <w:r>
        <w:rPr>
          <w:rFonts w:ascii="黑体" w:hAnsi="黑体" w:eastAsia="黑体" w:cs="黑体"/>
          <w:kern w:val="0"/>
          <w:sz w:val="32"/>
          <w:szCs w:val="32"/>
          <w:highlight w:val="none"/>
        </w:rPr>
        <w:t>、其他重要事项说明</w:t>
      </w:r>
    </w:p>
    <w:p w14:paraId="3D804AD5">
      <w:pPr>
        <w:pStyle w:val="4"/>
        <w:widowControl/>
        <w:spacing w:before="240" w:after="240" w:line="600" w:lineRule="atLeast"/>
        <w:ind w:firstLine="643"/>
        <w:jc w:val="left"/>
        <w:rPr>
          <w:rFonts w:ascii="Times New Roman" w:hAnsi="Times New Roman" w:eastAsia="Times New Roman" w:cs="Times New Roman"/>
          <w:kern w:val="0"/>
          <w:sz w:val="24"/>
          <w:highlight w:val="none"/>
        </w:rPr>
      </w:pPr>
      <w:r>
        <w:rPr>
          <w:rFonts w:ascii="楷体" w:hAnsi="楷体" w:eastAsia="楷体" w:cs="楷体"/>
          <w:b/>
          <w:bCs/>
          <w:kern w:val="0"/>
          <w:sz w:val="32"/>
          <w:szCs w:val="32"/>
          <w:highlight w:val="none"/>
        </w:rPr>
        <w:t>（一）机关运行经费</w:t>
      </w:r>
      <w:r>
        <w:rPr>
          <w:rFonts w:ascii="黑体" w:hAnsi="黑体" w:eastAsia="黑体" w:cs="黑体"/>
          <w:kern w:val="0"/>
          <w:sz w:val="32"/>
          <w:szCs w:val="32"/>
          <w:highlight w:val="none"/>
        </w:rPr>
        <w:t> </w:t>
      </w:r>
    </w:p>
    <w:p w14:paraId="356F989F">
      <w:pPr>
        <w:pStyle w:val="4"/>
        <w:widowControl/>
        <w:spacing w:before="240" w:after="240" w:line="600" w:lineRule="atLeast"/>
        <w:ind w:firstLine="640"/>
        <w:jc w:val="left"/>
        <w:rPr>
          <w:rFonts w:hint="default" w:ascii="仿宋" w:hAnsi="仿宋" w:eastAsia="仿宋" w:cs="仿宋"/>
          <w:kern w:val="0"/>
          <w:sz w:val="32"/>
          <w:szCs w:val="32"/>
          <w:highlight w:val="none"/>
          <w:lang w:val="en-US" w:eastAsia="zh-CN"/>
        </w:rPr>
      </w:pPr>
      <w:r>
        <w:rPr>
          <w:rFonts w:ascii="仿宋" w:hAnsi="仿宋" w:eastAsia="仿宋" w:cs="仿宋"/>
          <w:kern w:val="0"/>
          <w:sz w:val="32"/>
          <w:szCs w:val="32"/>
          <w:highlight w:val="none"/>
        </w:rPr>
        <w:t>2023年度机关运行经费支出</w:t>
      </w:r>
      <w:r>
        <w:rPr>
          <w:rFonts w:ascii="仿宋" w:hAnsi="仿宋" w:eastAsia="仿宋" w:cs="仿宋"/>
          <w:spacing w:val="0"/>
          <w:kern w:val="0"/>
          <w:sz w:val="32"/>
          <w:szCs w:val="32"/>
          <w:highlight w:val="none"/>
        </w:rPr>
        <w:t>521.59</w:t>
      </w:r>
      <w:r>
        <w:rPr>
          <w:rFonts w:ascii="仿宋" w:hAnsi="仿宋" w:eastAsia="仿宋" w:cs="仿宋"/>
          <w:kern w:val="0"/>
          <w:sz w:val="32"/>
          <w:szCs w:val="32"/>
          <w:highlight w:val="none"/>
        </w:rPr>
        <w:t>万元，比上年决算数增长</w:t>
      </w:r>
      <w:r>
        <w:rPr>
          <w:rFonts w:hint="eastAsia" w:ascii="仿宋_GB2312" w:hAnsi="仿宋_GB2312" w:eastAsia="仿宋_GB2312" w:cs="仿宋_GB2312"/>
          <w:sz w:val="32"/>
          <w:szCs w:val="32"/>
          <w:highlight w:val="none"/>
        </w:rPr>
        <w:t>比</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w:t>
      </w:r>
      <w:r>
        <w:rPr>
          <w:rFonts w:ascii="仿宋" w:hAnsi="仿宋" w:eastAsia="仿宋" w:cs="仿宋"/>
          <w:kern w:val="0"/>
          <w:sz w:val="32"/>
          <w:szCs w:val="32"/>
          <w:highlight w:val="none"/>
        </w:rPr>
        <w:t>主要原因是:</w:t>
      </w:r>
      <w:r>
        <w:rPr>
          <w:rFonts w:ascii="宋体" w:hAnsi="宋体" w:cs="宋体"/>
          <w:kern w:val="0"/>
          <w:szCs w:val="21"/>
          <w:highlight w:val="none"/>
        </w:rPr>
        <w:t> </w:t>
      </w:r>
      <w:r>
        <w:rPr>
          <w:rFonts w:ascii="仿宋" w:hAnsi="仿宋" w:eastAsia="仿宋" w:cs="仿宋"/>
          <w:kern w:val="0"/>
          <w:sz w:val="32"/>
          <w:szCs w:val="32"/>
          <w:highlight w:val="none"/>
        </w:rPr>
        <w:t>办公设施设备购置经费增加</w:t>
      </w:r>
      <w:r>
        <w:rPr>
          <w:rFonts w:hint="eastAsia" w:ascii="仿宋" w:hAnsi="仿宋" w:eastAsia="仿宋" w:cs="仿宋"/>
          <w:kern w:val="0"/>
          <w:sz w:val="32"/>
          <w:szCs w:val="32"/>
          <w:highlight w:val="none"/>
          <w:lang w:val="en-US" w:eastAsia="zh-CN"/>
        </w:rPr>
        <w:t>15.16万元，本年度人员增加，相应运行经费增加。</w:t>
      </w:r>
    </w:p>
    <w:p w14:paraId="4CF6FAFA">
      <w:pPr>
        <w:pStyle w:val="4"/>
        <w:widowControl/>
        <w:spacing w:before="240" w:after="240" w:line="600" w:lineRule="atLeast"/>
        <w:ind w:firstLine="643"/>
        <w:jc w:val="left"/>
        <w:rPr>
          <w:rFonts w:ascii="Times New Roman" w:hAnsi="Times New Roman" w:eastAsia="Times New Roman" w:cs="Times New Roman"/>
          <w:kern w:val="0"/>
          <w:sz w:val="24"/>
          <w:highlight w:val="none"/>
        </w:rPr>
      </w:pPr>
      <w:r>
        <w:rPr>
          <w:rFonts w:ascii="楷体" w:hAnsi="楷体" w:eastAsia="楷体" w:cs="楷体"/>
          <w:b/>
          <w:bCs/>
          <w:kern w:val="0"/>
          <w:sz w:val="32"/>
          <w:szCs w:val="32"/>
          <w:highlight w:val="none"/>
        </w:rPr>
        <w:t>（二）政府采购情况</w:t>
      </w:r>
    </w:p>
    <w:p w14:paraId="63D3159B">
      <w:pPr>
        <w:pStyle w:val="4"/>
        <w:widowControl/>
        <w:spacing w:before="240" w:after="240" w:line="600" w:lineRule="atLeast"/>
        <w:ind w:firstLine="640"/>
        <w:jc w:val="left"/>
        <w:rPr>
          <w:rFonts w:ascii="Times New Roman" w:hAnsi="Times New Roman" w:eastAsia="Times New Roman" w:cs="Times New Roman"/>
          <w:kern w:val="0"/>
          <w:sz w:val="24"/>
          <w:highlight w:val="none"/>
        </w:rPr>
      </w:pPr>
      <w:r>
        <w:rPr>
          <w:rFonts w:ascii="仿宋" w:hAnsi="仿宋" w:eastAsia="仿宋" w:cs="仿宋"/>
          <w:spacing w:val="0"/>
          <w:kern w:val="0"/>
          <w:sz w:val="32"/>
          <w:szCs w:val="32"/>
          <w:highlight w:val="none"/>
        </w:rPr>
        <w:t>本部门2023年度政府采购支出总额15.16万元，其中：政府采购货物支出15.16万元。授予中小企业合同金额15.16万元，占政府采购支出总额的100.00%，其中：授予小微企业合同金额15.16万元，占授予中小企业合同金额的100.00%</w:t>
      </w:r>
      <w:r>
        <w:rPr>
          <w:rFonts w:ascii="仿宋" w:hAnsi="仿宋" w:eastAsia="仿宋" w:cs="仿宋"/>
          <w:kern w:val="0"/>
          <w:sz w:val="32"/>
          <w:szCs w:val="32"/>
          <w:highlight w:val="none"/>
        </w:rPr>
        <w:t>；</w:t>
      </w:r>
    </w:p>
    <w:p w14:paraId="2A13BA0E">
      <w:pPr>
        <w:pStyle w:val="4"/>
        <w:widowControl/>
        <w:spacing w:before="240" w:after="240" w:line="600" w:lineRule="atLeast"/>
        <w:ind w:firstLine="707"/>
        <w:jc w:val="left"/>
        <w:rPr>
          <w:rFonts w:ascii="Times New Roman" w:hAnsi="Times New Roman" w:eastAsia="Times New Roman" w:cs="Times New Roman"/>
          <w:kern w:val="0"/>
          <w:sz w:val="24"/>
          <w:highlight w:val="none"/>
        </w:rPr>
      </w:pPr>
      <w:r>
        <w:rPr>
          <w:rFonts w:ascii="楷体" w:hAnsi="楷体" w:eastAsia="楷体" w:cs="楷体"/>
          <w:b/>
          <w:bCs/>
          <w:kern w:val="0"/>
          <w:sz w:val="32"/>
          <w:szCs w:val="32"/>
          <w:highlight w:val="none"/>
        </w:rPr>
        <w:t>（三）国有资产占用使用情况</w:t>
      </w:r>
      <w:r>
        <w:rPr>
          <w:rFonts w:ascii="黑体" w:hAnsi="黑体" w:eastAsia="黑体" w:cs="黑体"/>
          <w:kern w:val="0"/>
          <w:sz w:val="32"/>
          <w:szCs w:val="32"/>
          <w:highlight w:val="none"/>
        </w:rPr>
        <w:t> </w:t>
      </w:r>
    </w:p>
    <w:p w14:paraId="3D4A982C">
      <w:pPr>
        <w:tabs>
          <w:tab w:val="left" w:pos="7513"/>
        </w:tabs>
        <w:adjustRightInd w:val="0"/>
        <w:snapToGrid w:val="0"/>
        <w:spacing w:line="600" w:lineRule="exact"/>
        <w:ind w:firstLine="704" w:firstLineChars="22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截至</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kern w:val="0"/>
          <w:sz w:val="32"/>
          <w:szCs w:val="32"/>
          <w:highlight w:val="none"/>
        </w:rPr>
        <w:t>年12月31日，本部门共有车辆</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kern w:val="0"/>
          <w:sz w:val="32"/>
          <w:szCs w:val="32"/>
          <w:highlight w:val="none"/>
        </w:rPr>
        <w:t>辆，其中：副部（省）级以上领导用车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kern w:val="0"/>
          <w:sz w:val="32"/>
          <w:szCs w:val="32"/>
          <w:highlight w:val="none"/>
        </w:rPr>
        <w:t>辆、主要领导干部用车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kern w:val="0"/>
          <w:sz w:val="32"/>
          <w:szCs w:val="32"/>
          <w:highlight w:val="none"/>
        </w:rPr>
        <w:t>辆、机要通信用车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kern w:val="0"/>
          <w:sz w:val="32"/>
          <w:szCs w:val="32"/>
          <w:highlight w:val="none"/>
        </w:rPr>
        <w:t>辆、应急保障用车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kern w:val="0"/>
          <w:sz w:val="32"/>
          <w:szCs w:val="32"/>
          <w:highlight w:val="none"/>
        </w:rPr>
        <w:t>辆、执法执勤用车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kern w:val="0"/>
          <w:sz w:val="32"/>
          <w:szCs w:val="32"/>
          <w:highlight w:val="none"/>
        </w:rPr>
        <w:t>辆、特种专业技术用车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kern w:val="0"/>
          <w:sz w:val="32"/>
          <w:szCs w:val="32"/>
          <w:highlight w:val="none"/>
        </w:rPr>
        <w:t>辆、离退休干部用车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kern w:val="0"/>
          <w:sz w:val="32"/>
          <w:szCs w:val="32"/>
          <w:highlight w:val="none"/>
        </w:rPr>
        <w:t>辆、其他用车</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辆；单价50万元（含）以上通用设备</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kern w:val="0"/>
          <w:sz w:val="32"/>
          <w:szCs w:val="32"/>
          <w:highlight w:val="none"/>
        </w:rPr>
        <w:t>台（套），单价100万元（含）以上专用设备</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kern w:val="0"/>
          <w:sz w:val="32"/>
          <w:szCs w:val="32"/>
          <w:highlight w:val="none"/>
        </w:rPr>
        <w:t>台（套）。</w:t>
      </w:r>
    </w:p>
    <w:p w14:paraId="50B8082E">
      <w:pPr>
        <w:pStyle w:val="4"/>
        <w:widowControl/>
        <w:spacing w:before="240" w:after="240" w:line="600" w:lineRule="atLeast"/>
        <w:ind w:firstLine="640"/>
        <w:jc w:val="left"/>
        <w:rPr>
          <w:rFonts w:ascii="Times New Roman" w:hAnsi="Times New Roman" w:eastAsia="Times New Roman" w:cs="Times New Roman"/>
          <w:kern w:val="0"/>
          <w:sz w:val="24"/>
          <w:highlight w:val="none"/>
        </w:rPr>
      </w:pPr>
      <w:r>
        <w:rPr>
          <w:rFonts w:ascii="仿宋" w:hAnsi="仿宋" w:eastAsia="仿宋" w:cs="仿宋"/>
          <w:kern w:val="0"/>
          <w:sz w:val="32"/>
          <w:szCs w:val="32"/>
          <w:highlight w:val="none"/>
        </w:rPr>
        <w:t> </w:t>
      </w:r>
    </w:p>
    <w:p w14:paraId="30D41F7A">
      <w:pPr>
        <w:pStyle w:val="4"/>
        <w:widowControl/>
        <w:spacing w:before="240" w:after="240" w:line="600" w:lineRule="atLeast"/>
        <w:ind w:firstLine="640"/>
        <w:jc w:val="left"/>
        <w:rPr>
          <w:rFonts w:ascii="Times New Roman" w:hAnsi="Times New Roman" w:eastAsia="Times New Roman" w:cs="Times New Roman"/>
          <w:kern w:val="0"/>
          <w:sz w:val="24"/>
          <w:highlight w:val="none"/>
        </w:rPr>
      </w:pPr>
      <w:r>
        <w:rPr>
          <w:rFonts w:ascii="仿宋" w:hAnsi="仿宋" w:eastAsia="仿宋" w:cs="仿宋"/>
          <w:kern w:val="0"/>
          <w:sz w:val="32"/>
          <w:szCs w:val="32"/>
          <w:highlight w:val="none"/>
        </w:rPr>
        <w:t> </w:t>
      </w:r>
    </w:p>
    <w:p w14:paraId="47B7F7D8">
      <w:pPr>
        <w:pStyle w:val="4"/>
        <w:widowControl/>
        <w:spacing w:before="240" w:after="240" w:line="600" w:lineRule="atLeast"/>
        <w:ind w:firstLine="640"/>
        <w:jc w:val="left"/>
        <w:rPr>
          <w:rFonts w:ascii="Times New Roman" w:hAnsi="Times New Roman" w:eastAsia="Times New Roman" w:cs="Times New Roman"/>
          <w:kern w:val="0"/>
          <w:sz w:val="24"/>
          <w:highlight w:val="none"/>
        </w:rPr>
      </w:pPr>
      <w:r>
        <w:rPr>
          <w:rFonts w:ascii="仿宋" w:hAnsi="仿宋" w:eastAsia="仿宋" w:cs="仿宋"/>
          <w:kern w:val="0"/>
          <w:sz w:val="32"/>
          <w:szCs w:val="32"/>
          <w:highlight w:val="none"/>
        </w:rPr>
        <w:t> </w:t>
      </w:r>
    </w:p>
    <w:p w14:paraId="6617CB8F">
      <w:pPr>
        <w:pStyle w:val="4"/>
        <w:widowControl/>
        <w:spacing w:before="240" w:after="240" w:line="600" w:lineRule="atLeast"/>
        <w:ind w:firstLine="640"/>
        <w:jc w:val="left"/>
        <w:rPr>
          <w:rFonts w:ascii="Times New Roman" w:hAnsi="Times New Roman" w:eastAsia="Times New Roman" w:cs="Times New Roman"/>
          <w:kern w:val="0"/>
          <w:sz w:val="24"/>
          <w:highlight w:val="none"/>
        </w:rPr>
      </w:pPr>
      <w:r>
        <w:rPr>
          <w:rFonts w:ascii="仿宋" w:hAnsi="仿宋" w:eastAsia="仿宋" w:cs="仿宋"/>
          <w:kern w:val="0"/>
          <w:sz w:val="32"/>
          <w:szCs w:val="32"/>
          <w:highlight w:val="none"/>
        </w:rPr>
        <w:t> </w:t>
      </w:r>
    </w:p>
    <w:p w14:paraId="3BF88B5C">
      <w:pPr>
        <w:pStyle w:val="4"/>
        <w:widowControl/>
        <w:spacing w:before="240" w:after="240"/>
        <w:jc w:val="center"/>
        <w:rPr>
          <w:rFonts w:ascii="Times New Roman" w:hAnsi="Times New Roman" w:eastAsia="Times New Roman" w:cs="Times New Roman"/>
          <w:kern w:val="0"/>
          <w:sz w:val="24"/>
          <w:highlight w:val="none"/>
        </w:rPr>
      </w:pPr>
      <w:r>
        <w:rPr>
          <w:rFonts w:ascii="黑体" w:hAnsi="黑体" w:eastAsia="黑体" w:cs="黑体"/>
          <w:kern w:val="0"/>
          <w:sz w:val="56"/>
          <w:szCs w:val="56"/>
          <w:highlight w:val="none"/>
        </w:rPr>
        <w:t> </w:t>
      </w:r>
    </w:p>
    <w:p w14:paraId="1D8923FF">
      <w:pPr>
        <w:pStyle w:val="4"/>
        <w:widowControl/>
        <w:spacing w:before="240" w:after="240"/>
        <w:jc w:val="center"/>
        <w:rPr>
          <w:rFonts w:ascii="Times New Roman" w:hAnsi="Times New Roman" w:eastAsia="Times New Roman" w:cs="Times New Roman"/>
          <w:kern w:val="0"/>
          <w:sz w:val="24"/>
          <w:highlight w:val="none"/>
        </w:rPr>
      </w:pPr>
      <w:r>
        <w:rPr>
          <w:rFonts w:ascii="黑体" w:hAnsi="黑体" w:eastAsia="黑体" w:cs="黑体"/>
          <w:kern w:val="0"/>
          <w:sz w:val="56"/>
          <w:szCs w:val="56"/>
          <w:highlight w:val="none"/>
        </w:rPr>
        <w:t> </w:t>
      </w:r>
    </w:p>
    <w:p w14:paraId="01C5CB81">
      <w:pPr>
        <w:pStyle w:val="4"/>
        <w:widowControl/>
        <w:spacing w:before="240" w:after="240"/>
        <w:jc w:val="left"/>
        <w:rPr>
          <w:rFonts w:ascii="Times New Roman" w:hAnsi="Times New Roman" w:eastAsia="Times New Roman" w:cs="Times New Roman"/>
          <w:kern w:val="0"/>
          <w:sz w:val="24"/>
          <w:highlight w:val="none"/>
        </w:rPr>
      </w:pPr>
      <w:r>
        <w:rPr>
          <w:rFonts w:ascii="黑体" w:hAnsi="黑体" w:eastAsia="黑体" w:cs="黑体"/>
          <w:kern w:val="0"/>
          <w:sz w:val="56"/>
          <w:szCs w:val="56"/>
          <w:highlight w:val="none"/>
        </w:rPr>
        <w:t>第四部分 </w:t>
      </w:r>
    </w:p>
    <w:p w14:paraId="4968F567">
      <w:pPr>
        <w:pStyle w:val="4"/>
        <w:widowControl/>
        <w:spacing w:before="240" w:after="240"/>
        <w:jc w:val="center"/>
        <w:rPr>
          <w:rFonts w:ascii="Times New Roman" w:hAnsi="Times New Roman" w:eastAsia="Times New Roman" w:cs="Times New Roman"/>
          <w:kern w:val="0"/>
          <w:sz w:val="24"/>
          <w:highlight w:val="none"/>
        </w:rPr>
      </w:pPr>
      <w:r>
        <w:rPr>
          <w:rFonts w:ascii="黑体" w:hAnsi="黑体" w:eastAsia="黑体" w:cs="黑体"/>
          <w:kern w:val="0"/>
          <w:sz w:val="56"/>
          <w:szCs w:val="56"/>
          <w:highlight w:val="none"/>
        </w:rPr>
        <w:t>名词解释</w:t>
      </w:r>
    </w:p>
    <w:p w14:paraId="6051B99C">
      <w:pPr>
        <w:pStyle w:val="4"/>
        <w:widowControl/>
        <w:spacing w:before="240" w:after="240" w:line="600" w:lineRule="atLeast"/>
        <w:ind w:firstLine="710"/>
        <w:jc w:val="left"/>
        <w:rPr>
          <w:rFonts w:ascii="Times New Roman" w:hAnsi="Times New Roman" w:eastAsia="Times New Roman" w:cs="Times New Roman"/>
          <w:kern w:val="0"/>
          <w:sz w:val="24"/>
          <w:highlight w:val="none"/>
        </w:rPr>
      </w:pPr>
      <w:r>
        <w:rPr>
          <w:rFonts w:ascii="仿宋" w:hAnsi="仿宋" w:eastAsia="仿宋" w:cs="仿宋"/>
          <w:b/>
          <w:bCs/>
          <w:kern w:val="0"/>
          <w:sz w:val="32"/>
          <w:szCs w:val="32"/>
          <w:highlight w:val="none"/>
        </w:rPr>
        <w:t>一、财政拨款收入：</w:t>
      </w:r>
      <w:r>
        <w:rPr>
          <w:rFonts w:ascii="仿宋" w:hAnsi="仿宋" w:eastAsia="仿宋" w:cs="仿宋"/>
          <w:kern w:val="0"/>
          <w:sz w:val="32"/>
          <w:szCs w:val="32"/>
          <w:highlight w:val="none"/>
        </w:rPr>
        <w:t>指单位从本级财政单位取得的财政预算资金，包括一般公共预算财政拨款、政府性基金预算财政拨款和国有资本经营预算财政拨款。</w:t>
      </w:r>
    </w:p>
    <w:p w14:paraId="1038AC18">
      <w:pPr>
        <w:pStyle w:val="4"/>
        <w:widowControl/>
        <w:spacing w:before="240" w:after="240" w:line="600" w:lineRule="atLeast"/>
        <w:ind w:firstLine="710"/>
        <w:jc w:val="left"/>
        <w:rPr>
          <w:rFonts w:ascii="Times New Roman" w:hAnsi="Times New Roman" w:eastAsia="Times New Roman" w:cs="Times New Roman"/>
          <w:kern w:val="0"/>
          <w:sz w:val="24"/>
          <w:highlight w:val="none"/>
        </w:rPr>
      </w:pPr>
      <w:r>
        <w:rPr>
          <w:rFonts w:ascii="仿宋" w:hAnsi="仿宋" w:eastAsia="仿宋" w:cs="仿宋"/>
          <w:b/>
          <w:bCs/>
          <w:kern w:val="0"/>
          <w:sz w:val="32"/>
          <w:szCs w:val="32"/>
          <w:highlight w:val="none"/>
        </w:rPr>
        <w:t>二、事业收入：</w:t>
      </w:r>
      <w:r>
        <w:rPr>
          <w:rFonts w:ascii="仿宋" w:hAnsi="仿宋" w:eastAsia="仿宋" w:cs="仿宋"/>
          <w:kern w:val="0"/>
          <w:sz w:val="32"/>
          <w:szCs w:val="32"/>
          <w:highlight w:val="none"/>
        </w:rPr>
        <w:t>指事业单位开展专业业务活动及辅助活动所取得的收入。</w:t>
      </w:r>
    </w:p>
    <w:p w14:paraId="7956E3F5">
      <w:pPr>
        <w:pStyle w:val="4"/>
        <w:widowControl/>
        <w:spacing w:before="240" w:after="240" w:line="600" w:lineRule="atLeast"/>
        <w:ind w:firstLine="710"/>
        <w:jc w:val="left"/>
        <w:rPr>
          <w:rFonts w:ascii="Times New Roman" w:hAnsi="Times New Roman" w:eastAsia="Times New Roman" w:cs="Times New Roman"/>
          <w:kern w:val="0"/>
          <w:sz w:val="24"/>
          <w:highlight w:val="none"/>
        </w:rPr>
      </w:pPr>
      <w:r>
        <w:rPr>
          <w:rFonts w:ascii="仿宋" w:hAnsi="仿宋" w:eastAsia="仿宋" w:cs="仿宋"/>
          <w:b/>
          <w:bCs/>
          <w:kern w:val="0"/>
          <w:sz w:val="32"/>
          <w:szCs w:val="32"/>
          <w:highlight w:val="none"/>
        </w:rPr>
        <w:t>三、经营收入：</w:t>
      </w:r>
      <w:r>
        <w:rPr>
          <w:rFonts w:ascii="仿宋" w:hAnsi="仿宋" w:eastAsia="仿宋" w:cs="仿宋"/>
          <w:kern w:val="0"/>
          <w:sz w:val="32"/>
          <w:szCs w:val="32"/>
          <w:highlight w:val="none"/>
        </w:rPr>
        <w:t xml:space="preserve">指事业单位在专业业务活动及其辅助活动之外开展非独立核算经营活动取得的收入。 </w:t>
      </w:r>
    </w:p>
    <w:p w14:paraId="44A5410B">
      <w:pPr>
        <w:pStyle w:val="4"/>
        <w:widowControl/>
        <w:spacing w:before="240" w:after="240" w:line="600" w:lineRule="atLeast"/>
        <w:ind w:firstLine="710"/>
        <w:jc w:val="left"/>
        <w:rPr>
          <w:rFonts w:ascii="Times New Roman" w:hAnsi="Times New Roman" w:eastAsia="Times New Roman" w:cs="Times New Roman"/>
          <w:kern w:val="0"/>
          <w:sz w:val="24"/>
          <w:highlight w:val="none"/>
        </w:rPr>
      </w:pPr>
      <w:r>
        <w:rPr>
          <w:rFonts w:ascii="仿宋" w:hAnsi="仿宋" w:eastAsia="仿宋" w:cs="仿宋"/>
          <w:b/>
          <w:bCs/>
          <w:kern w:val="0"/>
          <w:sz w:val="32"/>
          <w:szCs w:val="32"/>
          <w:highlight w:val="none"/>
        </w:rPr>
        <w:t>四、其他收入：</w:t>
      </w:r>
      <w:r>
        <w:rPr>
          <w:rFonts w:ascii="仿宋" w:hAnsi="仿宋" w:eastAsia="仿宋" w:cs="仿宋"/>
          <w:kern w:val="0"/>
          <w:sz w:val="32"/>
          <w:szCs w:val="32"/>
          <w:highlight w:val="none"/>
        </w:rPr>
        <w:t>指除上述“财政拨款收入”“事业收入”</w:t>
      </w:r>
      <w:r>
        <w:rPr>
          <w:rFonts w:ascii="宋体" w:hAnsi="宋体" w:cs="宋体"/>
          <w:kern w:val="0"/>
          <w:szCs w:val="21"/>
          <w:highlight w:val="none"/>
        </w:rPr>
        <w:t> </w:t>
      </w:r>
      <w:r>
        <w:rPr>
          <w:rFonts w:ascii="仿宋" w:hAnsi="仿宋" w:eastAsia="仿宋" w:cs="仿宋"/>
          <w:kern w:val="0"/>
          <w:sz w:val="32"/>
          <w:szCs w:val="32"/>
          <w:highlight w:val="none"/>
        </w:rPr>
        <w:t xml:space="preserve">“上级补助收入”“附属单位上缴收入”“经营收入”等以外取得的各项收入。主要是事业单位固定资产出租收入等。 </w:t>
      </w:r>
    </w:p>
    <w:p w14:paraId="5EE0E31D">
      <w:pPr>
        <w:pStyle w:val="4"/>
        <w:widowControl/>
        <w:spacing w:before="240" w:after="240" w:line="600" w:lineRule="atLeast"/>
        <w:ind w:firstLine="710"/>
        <w:jc w:val="left"/>
        <w:rPr>
          <w:rFonts w:ascii="Times New Roman" w:hAnsi="Times New Roman" w:eastAsia="Times New Roman" w:cs="Times New Roman"/>
          <w:kern w:val="0"/>
          <w:sz w:val="24"/>
        </w:rPr>
      </w:pPr>
      <w:r>
        <w:rPr>
          <w:rFonts w:ascii="仿宋" w:hAnsi="仿宋" w:eastAsia="仿宋" w:cs="仿宋"/>
          <w:b/>
          <w:bCs/>
          <w:kern w:val="0"/>
          <w:sz w:val="32"/>
          <w:szCs w:val="32"/>
          <w:highlight w:val="none"/>
        </w:rPr>
        <w:t>五、使用非财政拨款结余：</w:t>
      </w:r>
      <w:r>
        <w:rPr>
          <w:rFonts w:ascii="仿宋" w:hAnsi="仿宋" w:eastAsia="仿宋" w:cs="仿宋"/>
          <w:kern w:val="0"/>
          <w:sz w:val="32"/>
          <w:szCs w:val="32"/>
          <w:highlight w:val="none"/>
        </w:rPr>
        <w:t>指事业单位使用以前年</w:t>
      </w:r>
      <w:r>
        <w:rPr>
          <w:rFonts w:ascii="仿宋" w:hAnsi="仿宋" w:eastAsia="仿宋" w:cs="仿宋"/>
          <w:kern w:val="0"/>
          <w:sz w:val="32"/>
          <w:szCs w:val="32"/>
        </w:rPr>
        <w:t xml:space="preserve">度积累的非财政拨款结余弥补当年收支差额的金额。 </w:t>
      </w:r>
    </w:p>
    <w:p w14:paraId="15B15B34">
      <w:pPr>
        <w:pStyle w:val="4"/>
        <w:widowControl/>
        <w:spacing w:before="240" w:after="240" w:line="600" w:lineRule="atLeast"/>
        <w:ind w:firstLine="710"/>
        <w:jc w:val="left"/>
        <w:rPr>
          <w:rFonts w:ascii="Times New Roman" w:hAnsi="Times New Roman" w:eastAsia="Times New Roman" w:cs="Times New Roman"/>
          <w:kern w:val="0"/>
          <w:sz w:val="24"/>
        </w:rPr>
      </w:pPr>
      <w:r>
        <w:rPr>
          <w:rFonts w:ascii="仿宋" w:hAnsi="仿宋" w:eastAsia="仿宋" w:cs="仿宋"/>
          <w:b/>
          <w:bCs/>
          <w:kern w:val="0"/>
          <w:sz w:val="32"/>
          <w:szCs w:val="32"/>
        </w:rPr>
        <w:t>六、年初结转和结余：</w:t>
      </w:r>
      <w:r>
        <w:rPr>
          <w:rFonts w:ascii="仿宋" w:hAnsi="仿宋" w:eastAsia="仿宋" w:cs="仿宋"/>
          <w:kern w:val="0"/>
          <w:sz w:val="32"/>
          <w:szCs w:val="32"/>
        </w:rPr>
        <w:t>指单位以前年度尚未完成、结转到本年仍按原规定用途继续使用的资金，或项目已完成等产生的结余资金。</w:t>
      </w:r>
    </w:p>
    <w:p w14:paraId="4C211962">
      <w:pPr>
        <w:pStyle w:val="33"/>
        <w:widowControl/>
        <w:spacing w:before="240" w:after="240" w:line="600" w:lineRule="atLeast"/>
        <w:ind w:firstLine="640"/>
        <w:jc w:val="left"/>
        <w:rPr>
          <w:rFonts w:ascii="Times New Roman" w:hAnsi="Times New Roman" w:eastAsia="Times New Roman" w:cs="Times New Roman"/>
          <w:kern w:val="0"/>
          <w:sz w:val="24"/>
        </w:rPr>
      </w:pPr>
      <w:r>
        <w:rPr>
          <w:rFonts w:ascii="仿宋" w:hAnsi="仿宋" w:eastAsia="仿宋" w:cs="仿宋"/>
          <w:b/>
          <w:bCs/>
          <w:kern w:val="0"/>
          <w:sz w:val="32"/>
          <w:szCs w:val="32"/>
        </w:rPr>
        <w:t>七、结余分配：</w:t>
      </w:r>
      <w:r>
        <w:rPr>
          <w:rFonts w:ascii="仿宋" w:hAnsi="仿宋" w:eastAsia="仿宋" w:cs="仿宋"/>
          <w:kern w:val="0"/>
          <w:sz w:val="32"/>
          <w:szCs w:val="32"/>
        </w:rPr>
        <w:t xml:space="preserve">指事业单位按照会计制度规定缴纳的所得税、提取的专用结余以及转入非财政拨款结余的金额等。 </w:t>
      </w:r>
    </w:p>
    <w:p w14:paraId="476B0068">
      <w:pPr>
        <w:pStyle w:val="33"/>
        <w:widowControl/>
        <w:spacing w:before="240" w:after="240" w:line="600" w:lineRule="atLeast"/>
        <w:ind w:firstLine="640"/>
        <w:jc w:val="left"/>
        <w:rPr>
          <w:rFonts w:ascii="Times New Roman" w:hAnsi="Times New Roman" w:eastAsia="Times New Roman" w:cs="Times New Roman"/>
          <w:kern w:val="0"/>
          <w:sz w:val="24"/>
        </w:rPr>
      </w:pPr>
      <w:r>
        <w:rPr>
          <w:rFonts w:ascii="仿宋" w:hAnsi="仿宋" w:eastAsia="仿宋" w:cs="仿宋"/>
          <w:b/>
          <w:bCs/>
          <w:kern w:val="0"/>
          <w:sz w:val="32"/>
          <w:szCs w:val="32"/>
        </w:rPr>
        <w:t>八、年末结转和结余：</w:t>
      </w:r>
      <w:r>
        <w:rPr>
          <w:rFonts w:ascii="仿宋" w:hAnsi="仿宋" w:eastAsia="仿宋" w:cs="仿宋"/>
          <w:kern w:val="0"/>
          <w:sz w:val="32"/>
          <w:szCs w:val="32"/>
        </w:rPr>
        <w:t xml:space="preserve">指单位按有关规定结转到下年或以后年度继续使用的资金，或项目已完成等产生的结余资金。 </w:t>
      </w:r>
    </w:p>
    <w:p w14:paraId="6A9BE8D2">
      <w:pPr>
        <w:pStyle w:val="33"/>
        <w:widowControl/>
        <w:spacing w:before="240" w:after="240" w:line="600" w:lineRule="atLeast"/>
        <w:ind w:firstLine="640"/>
        <w:jc w:val="left"/>
        <w:rPr>
          <w:rFonts w:ascii="Times New Roman" w:hAnsi="Times New Roman" w:eastAsia="Times New Roman" w:cs="Times New Roman"/>
          <w:kern w:val="0"/>
          <w:sz w:val="24"/>
        </w:rPr>
      </w:pPr>
      <w:r>
        <w:rPr>
          <w:rFonts w:ascii="仿宋" w:hAnsi="仿宋" w:eastAsia="仿宋" w:cs="仿宋"/>
          <w:b/>
          <w:bCs/>
          <w:kern w:val="0"/>
          <w:sz w:val="32"/>
          <w:szCs w:val="32"/>
        </w:rPr>
        <w:t>九、基本支出：</w:t>
      </w:r>
      <w:r>
        <w:rPr>
          <w:rFonts w:ascii="仿宋" w:hAnsi="仿宋" w:eastAsia="仿宋" w:cs="仿宋"/>
          <w:kern w:val="0"/>
          <w:sz w:val="32"/>
          <w:szCs w:val="32"/>
        </w:rPr>
        <w:t xml:space="preserve">指为保障机构正常运转、完成日常工作任务而发生的人员支出和公用支出。 </w:t>
      </w:r>
    </w:p>
    <w:p w14:paraId="4A2E5129">
      <w:pPr>
        <w:pStyle w:val="33"/>
        <w:widowControl/>
        <w:spacing w:before="240" w:after="240" w:line="600" w:lineRule="atLeast"/>
        <w:ind w:firstLine="640"/>
        <w:jc w:val="left"/>
        <w:rPr>
          <w:rFonts w:ascii="Times New Roman" w:hAnsi="Times New Roman" w:eastAsia="Times New Roman" w:cs="Times New Roman"/>
          <w:kern w:val="0"/>
          <w:sz w:val="24"/>
        </w:rPr>
      </w:pPr>
      <w:r>
        <w:rPr>
          <w:rFonts w:ascii="仿宋" w:hAnsi="仿宋" w:eastAsia="仿宋" w:cs="仿宋"/>
          <w:b/>
          <w:bCs/>
          <w:kern w:val="0"/>
          <w:sz w:val="32"/>
          <w:szCs w:val="32"/>
        </w:rPr>
        <w:t>十、项目支出：</w:t>
      </w:r>
      <w:r>
        <w:rPr>
          <w:rFonts w:ascii="仿宋" w:hAnsi="仿宋" w:eastAsia="仿宋" w:cs="仿宋"/>
          <w:kern w:val="0"/>
          <w:sz w:val="32"/>
          <w:szCs w:val="32"/>
        </w:rPr>
        <w:t xml:space="preserve">指在基本支出之外为完成特定行政任务和事业发展目标所发生的支出。 </w:t>
      </w:r>
    </w:p>
    <w:p w14:paraId="2BD265E0">
      <w:pPr>
        <w:pStyle w:val="33"/>
        <w:widowControl/>
        <w:spacing w:before="240" w:after="240" w:line="600" w:lineRule="atLeast"/>
        <w:ind w:firstLine="640"/>
        <w:jc w:val="left"/>
        <w:rPr>
          <w:rFonts w:ascii="Times New Roman" w:hAnsi="Times New Roman" w:eastAsia="Times New Roman" w:cs="Times New Roman"/>
          <w:kern w:val="0"/>
          <w:sz w:val="24"/>
        </w:rPr>
      </w:pPr>
      <w:r>
        <w:rPr>
          <w:rFonts w:ascii="仿宋" w:hAnsi="仿宋" w:eastAsia="仿宋" w:cs="仿宋"/>
          <w:b/>
          <w:bCs/>
          <w:kern w:val="0"/>
          <w:sz w:val="32"/>
          <w:szCs w:val="32"/>
        </w:rPr>
        <w:t>十一、经营支出：</w:t>
      </w:r>
      <w:r>
        <w:rPr>
          <w:rFonts w:ascii="仿宋" w:hAnsi="仿宋" w:eastAsia="仿宋" w:cs="仿宋"/>
          <w:kern w:val="0"/>
          <w:sz w:val="32"/>
          <w:szCs w:val="32"/>
        </w:rPr>
        <w:t xml:space="preserve">指事业单位在专业业务活动及其辅助活动之外开展非独立核算经营活动发生的支出。 </w:t>
      </w:r>
    </w:p>
    <w:p w14:paraId="485BFC71">
      <w:pPr>
        <w:pStyle w:val="33"/>
        <w:widowControl/>
        <w:spacing w:before="240" w:after="240" w:line="600" w:lineRule="atLeast"/>
        <w:ind w:firstLine="640"/>
        <w:jc w:val="left"/>
        <w:rPr>
          <w:rFonts w:ascii="Times New Roman" w:hAnsi="Times New Roman" w:eastAsia="Times New Roman" w:cs="Times New Roman"/>
          <w:kern w:val="0"/>
          <w:sz w:val="24"/>
        </w:rPr>
      </w:pPr>
      <w:r>
        <w:rPr>
          <w:rFonts w:ascii="仿宋" w:hAnsi="仿宋" w:eastAsia="仿宋" w:cs="仿宋"/>
          <w:b/>
          <w:bCs/>
          <w:kern w:val="0"/>
          <w:sz w:val="32"/>
          <w:szCs w:val="32"/>
        </w:rPr>
        <w:t>十二、“三公”经费：</w:t>
      </w:r>
      <w:r>
        <w:rPr>
          <w:rFonts w:ascii="仿宋" w:hAnsi="仿宋" w:eastAsia="仿宋" w:cs="仿宋"/>
          <w:kern w:val="0"/>
          <w:sz w:val="32"/>
          <w:szCs w:val="32"/>
        </w:rPr>
        <w:t xml:space="preserve">纳入本级财政预决算管理的“三公”经费，是指本级单位用一般公共预算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牌照费）及燃料费、维修费、过桥过路费、保险费、安全奖励费用等支出；公务接待费反映单位按规定开支的各类公务接待（含外宾接待）支出。 </w:t>
      </w:r>
    </w:p>
    <w:p w14:paraId="236C8ED7">
      <w:pPr>
        <w:pStyle w:val="4"/>
        <w:widowControl/>
        <w:spacing w:before="240" w:after="240"/>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十三、机关运行经费：</w:t>
      </w:r>
      <w:r>
        <w:rPr>
          <w:rFonts w:ascii="仿宋" w:hAnsi="仿宋" w:eastAsia="仿宋" w:cs="仿宋"/>
          <w:kern w:val="0"/>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92FB6C7">
      <w:pPr>
        <w:pStyle w:val="4"/>
        <w:widowControl/>
        <w:spacing w:before="240" w:after="240"/>
        <w:jc w:val="left"/>
        <w:rPr>
          <w:rFonts w:ascii="黑体" w:hAnsi="黑体" w:eastAsia="黑体" w:cs="黑体"/>
          <w:kern w:val="0"/>
          <w:sz w:val="56"/>
          <w:szCs w:val="56"/>
        </w:rPr>
      </w:pPr>
    </w:p>
    <w:p w14:paraId="7753C9EF">
      <w:pPr>
        <w:pStyle w:val="4"/>
        <w:widowControl/>
        <w:spacing w:before="240" w:after="240"/>
        <w:jc w:val="left"/>
        <w:rPr>
          <w:rFonts w:ascii="黑体" w:hAnsi="黑体" w:eastAsia="黑体" w:cs="黑体"/>
          <w:kern w:val="0"/>
          <w:sz w:val="56"/>
          <w:szCs w:val="56"/>
        </w:rPr>
      </w:pPr>
    </w:p>
    <w:p w14:paraId="16D9877B">
      <w:pPr>
        <w:pStyle w:val="4"/>
        <w:widowControl/>
        <w:spacing w:before="240" w:after="240"/>
        <w:jc w:val="left"/>
        <w:rPr>
          <w:rFonts w:ascii="黑体" w:hAnsi="黑体" w:eastAsia="黑体" w:cs="黑体"/>
          <w:kern w:val="0"/>
          <w:sz w:val="56"/>
          <w:szCs w:val="56"/>
        </w:rPr>
      </w:pPr>
    </w:p>
    <w:p w14:paraId="660C1838">
      <w:pPr>
        <w:pStyle w:val="4"/>
        <w:widowControl/>
        <w:spacing w:before="240" w:after="240"/>
        <w:jc w:val="left"/>
        <w:rPr>
          <w:rFonts w:ascii="黑体" w:hAnsi="黑体" w:eastAsia="黑体" w:cs="黑体"/>
          <w:kern w:val="0"/>
          <w:sz w:val="56"/>
          <w:szCs w:val="56"/>
        </w:rPr>
      </w:pPr>
    </w:p>
    <w:p w14:paraId="3FC507A0">
      <w:pPr>
        <w:pStyle w:val="4"/>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56"/>
          <w:szCs w:val="56"/>
        </w:rPr>
        <w:t>第五部分 </w:t>
      </w:r>
    </w:p>
    <w:p w14:paraId="38B18BB6">
      <w:pPr>
        <w:pStyle w:val="4"/>
        <w:widowControl/>
        <w:spacing w:before="240" w:after="240"/>
        <w:jc w:val="center"/>
        <w:rPr>
          <w:rFonts w:ascii="Times New Roman" w:hAnsi="Times New Roman" w:eastAsia="Times New Roman" w:cs="Times New Roman"/>
          <w:kern w:val="0"/>
          <w:sz w:val="24"/>
        </w:rPr>
      </w:pPr>
      <w:r>
        <w:rPr>
          <w:rFonts w:ascii="黑体" w:hAnsi="黑体" w:eastAsia="黑体" w:cs="黑体"/>
          <w:kern w:val="0"/>
          <w:sz w:val="56"/>
          <w:szCs w:val="56"/>
        </w:rPr>
        <w:t>附件</w:t>
      </w:r>
    </w:p>
    <w:p w14:paraId="012B4E7F">
      <w:pPr>
        <w:pStyle w:val="4"/>
        <w:widowControl/>
        <w:spacing w:before="240" w:after="240" w:line="600" w:lineRule="auto"/>
        <w:ind w:firstLine="640"/>
        <w:jc w:val="left"/>
        <w:rPr>
          <w:rFonts w:ascii="仿宋" w:hAnsi="仿宋" w:eastAsia="仿宋" w:cs="仿宋"/>
          <w:kern w:val="0"/>
          <w:sz w:val="32"/>
          <w:szCs w:val="32"/>
        </w:rPr>
      </w:pPr>
    </w:p>
    <w:p w14:paraId="08208D1C">
      <w:pPr>
        <w:numPr>
          <w:ilvl w:val="0"/>
          <w:numId w:val="0"/>
        </w:numPr>
        <w:tabs>
          <w:tab w:val="left" w:pos="7513"/>
        </w:tabs>
        <w:adjustRightInd w:val="0"/>
        <w:snapToGrid w:val="0"/>
        <w:spacing w:line="600" w:lineRule="exact"/>
        <w:rPr>
          <w:rFonts w:hint="eastAsia" w:ascii="黑体" w:hAnsi="黑体" w:eastAsia="黑体"/>
          <w:sz w:val="32"/>
          <w:szCs w:val="32"/>
        </w:rPr>
      </w:pPr>
      <w:r>
        <w:rPr>
          <w:rFonts w:hint="eastAsia" w:ascii="黑体" w:hAnsi="黑体" w:eastAsia="黑体"/>
          <w:sz w:val="32"/>
          <w:szCs w:val="32"/>
          <w:lang w:eastAsia="zh-CN"/>
        </w:rPr>
        <w:t>一、</w:t>
      </w:r>
      <w:r>
        <w:rPr>
          <w:rFonts w:hint="eastAsia" w:ascii="黑体" w:hAnsi="黑体" w:eastAsia="黑体"/>
          <w:sz w:val="32"/>
          <w:szCs w:val="32"/>
        </w:rPr>
        <w:t>《项目支出绩效自评表》</w:t>
      </w:r>
    </w:p>
    <w:p w14:paraId="15288468">
      <w:pPr>
        <w:pStyle w:val="4"/>
        <w:widowControl/>
        <w:spacing w:before="240" w:after="240" w:line="600" w:lineRule="auto"/>
        <w:jc w:val="left"/>
        <w:rPr>
          <w:rFonts w:hint="eastAsia"/>
          <w:lang w:eastAsia="zh-CN"/>
        </w:rPr>
      </w:pPr>
      <w:r>
        <w:rPr>
          <w:rFonts w:hint="eastAsia"/>
          <w:lang w:eastAsia="zh-CN"/>
        </w:rPr>
        <w:object>
          <v:shape id="_x0000_i1025" o:spt="75" type="#_x0000_t75" style="height:628.7pt;width:414.9pt;" o:ole="t" filled="f" o:preferrelative="t" stroked="f" coordsize="21600,21600">
            <v:path/>
            <v:fill on="f" focussize="0,0"/>
            <v:stroke on="f"/>
            <v:imagedata r:id="rId7" o:title=""/>
            <o:lock v:ext="edit" aspectratio="f"/>
            <w10:wrap type="none"/>
            <w10:anchorlock/>
          </v:shape>
          <o:OLEObject Type="Embed" ProgID="Excel.Sheet.12" ShapeID="_x0000_i1025" DrawAspect="Content" ObjectID="_1468075725" r:id="rId6">
            <o:LockedField>false</o:LockedField>
          </o:OLEObject>
        </w:object>
      </w:r>
    </w:p>
    <w:p w14:paraId="1BFAD504">
      <w:pPr>
        <w:pStyle w:val="4"/>
        <w:widowControl/>
        <w:spacing w:before="240" w:after="240" w:line="600" w:lineRule="auto"/>
        <w:jc w:val="left"/>
        <w:rPr>
          <w:rFonts w:hint="eastAsia"/>
          <w:lang w:eastAsia="zh-CN"/>
        </w:rPr>
      </w:pPr>
      <w:r>
        <w:rPr>
          <w:rFonts w:hint="eastAsia"/>
          <w:lang w:eastAsia="zh-CN"/>
        </w:rPr>
        <w:object>
          <v:shape id="_x0000_i1026" o:spt="75" type="#_x0000_t75" style="height:453.7pt;width:406.05pt;" o:ole="t" filled="f" o:preferrelative="t" stroked="f" coordsize="21600,21600">
            <v:path/>
            <v:fill on="f" focussize="0,0"/>
            <v:stroke on="f"/>
            <v:imagedata r:id="rId9" o:title=""/>
            <o:lock v:ext="edit" aspectratio="f"/>
            <w10:wrap type="none"/>
            <w10:anchorlock/>
          </v:shape>
          <o:OLEObject Type="Embed" ProgID="Excel.Sheet.12" ShapeID="_x0000_i1026" DrawAspect="Content" ObjectID="_1468075726" r:id="rId8">
            <o:LockedField>false</o:LockedField>
          </o:OLEObject>
        </w:object>
      </w:r>
    </w:p>
    <w:p w14:paraId="1F484367">
      <w:pPr>
        <w:pStyle w:val="4"/>
        <w:widowControl/>
        <w:spacing w:before="240" w:after="240" w:line="600" w:lineRule="auto"/>
        <w:ind w:firstLine="640"/>
        <w:jc w:val="left"/>
        <w:rPr>
          <w:rFonts w:hint="eastAsia"/>
          <w:lang w:eastAsia="zh-CN"/>
        </w:rPr>
      </w:pPr>
    </w:p>
    <w:p w14:paraId="584070D1">
      <w:pPr>
        <w:pStyle w:val="4"/>
        <w:widowControl/>
        <w:spacing w:before="240" w:after="240" w:line="600" w:lineRule="auto"/>
        <w:ind w:firstLine="640"/>
        <w:jc w:val="left"/>
        <w:rPr>
          <w:rFonts w:hint="eastAsia"/>
          <w:lang w:eastAsia="zh-CN"/>
        </w:rPr>
      </w:pPr>
    </w:p>
    <w:p w14:paraId="7425E9EE">
      <w:pPr>
        <w:pStyle w:val="4"/>
        <w:widowControl/>
        <w:spacing w:before="240" w:after="240" w:line="600" w:lineRule="auto"/>
        <w:jc w:val="left"/>
        <w:rPr>
          <w:rFonts w:ascii="Times New Roman" w:hAnsi="Times New Roman" w:eastAsia="Times New Roman" w:cs="Times New Roman"/>
          <w:kern w:val="0"/>
          <w:sz w:val="24"/>
        </w:rPr>
      </w:pPr>
      <w:r>
        <w:rPr>
          <w:rFonts w:hint="eastAsia"/>
          <w:lang w:eastAsia="zh-CN"/>
        </w:rPr>
        <w:object>
          <v:shape id="_x0000_i1027" o:spt="75" type="#_x0000_t75" style="height:709.05pt;width:414.65pt;" o:ole="t" filled="f" o:preferrelative="t" stroked="f" coordsize="21600,21600">
            <v:path/>
            <v:fill on="f" focussize="0,0"/>
            <v:stroke on="f"/>
            <v:imagedata r:id="rId11" o:title=""/>
            <o:lock v:ext="edit" aspectratio="f"/>
            <w10:wrap type="none"/>
            <w10:anchorlock/>
          </v:shape>
          <o:OLEObject Type="Embed" ProgID="Excel.Sheet.12" ShapeID="_x0000_i1027" DrawAspect="Content" ObjectID="_1468075727" r:id="rId10">
            <o:LockedField>false</o:LockedField>
          </o:OLEObject>
        </w:object>
      </w:r>
    </w:p>
    <w:p w14:paraId="0F74B8E3">
      <w:pPr>
        <w:widowControl/>
        <w:spacing w:before="240" w:after="240"/>
        <w:jc w:val="left"/>
        <w:rPr>
          <w:rFonts w:ascii="Times New Roman" w:hAnsi="Times New Roman" w:eastAsia="Times New Roman" w:cs="Times New Roman"/>
          <w:kern w:val="0"/>
          <w:sz w:val="24"/>
        </w:rPr>
      </w:pPr>
      <w:r>
        <w:rPr>
          <w:rFonts w:hint="eastAsia"/>
          <w:lang w:eastAsia="zh-CN"/>
        </w:rPr>
        <w:object>
          <v:shape id="_x0000_i1028" o:spt="75" type="#_x0000_t75" style="height:306.55pt;width:408.5pt;" o:ole="t" filled="f" o:preferrelative="t" stroked="f" coordsize="21600,21600">
            <v:path/>
            <v:fill on="f" focussize="0,0"/>
            <v:stroke on="f"/>
            <v:imagedata r:id="rId13" o:title=""/>
            <o:lock v:ext="edit" aspectratio="f"/>
            <w10:wrap type="none"/>
            <w10:anchorlock/>
          </v:shape>
          <o:OLEObject Type="Embed" ProgID="Excel.Sheet.12" ShapeID="_x0000_i1028" DrawAspect="Content" ObjectID="_1468075728" r:id="rId12">
            <o:LockedField>false</o:LockedField>
          </o:OLEObject>
        </w:object>
      </w:r>
    </w:p>
    <w:bookmarkEnd w:id="0"/>
    <w:p w14:paraId="43D0F594">
      <w:pPr>
        <w:adjustRightInd w:val="0"/>
        <w:snapToGrid w:val="0"/>
        <w:rPr>
          <w:rFonts w:hint="eastAsia" w:ascii="宋体" w:hAnsi="宋体"/>
          <w:b/>
          <w:sz w:val="32"/>
          <w:szCs w:val="32"/>
        </w:rPr>
      </w:pPr>
    </w:p>
    <w:p w14:paraId="0B7B78F3">
      <w:pPr>
        <w:adjustRightInd w:val="0"/>
        <w:snapToGrid w:val="0"/>
        <w:rPr>
          <w:rFonts w:hint="eastAsia" w:ascii="宋体" w:hAnsi="宋体"/>
          <w:b/>
          <w:sz w:val="32"/>
          <w:szCs w:val="32"/>
        </w:rPr>
      </w:pPr>
    </w:p>
    <w:p w14:paraId="1F43B720">
      <w:pPr>
        <w:rPr>
          <w:rFonts w:hint="eastAsia" w:ascii="宋体" w:hAnsi="宋体"/>
          <w:b/>
          <w:sz w:val="32"/>
          <w:szCs w:val="32"/>
        </w:rPr>
      </w:pPr>
    </w:p>
    <w:p w14:paraId="330F1F04">
      <w:pPr>
        <w:bidi w:val="0"/>
        <w:rPr>
          <w:rFonts w:hint="eastAsia"/>
        </w:rPr>
      </w:pPr>
    </w:p>
    <w:p w14:paraId="17625DFC">
      <w:pPr>
        <w:bidi w:val="0"/>
        <w:rPr>
          <w:rFonts w:hint="eastAsia"/>
          <w:lang w:eastAsia="zh-CN"/>
        </w:rPr>
      </w:pPr>
    </w:p>
    <w:p w14:paraId="7C852BFD">
      <w:pPr>
        <w:bidi w:val="0"/>
        <w:rPr>
          <w:rFonts w:hint="eastAsia"/>
          <w:lang w:eastAsia="zh-CN"/>
        </w:rPr>
      </w:pPr>
    </w:p>
    <w:p w14:paraId="1EE13567">
      <w:pPr>
        <w:bidi w:val="0"/>
        <w:rPr>
          <w:rFonts w:hint="eastAsia"/>
          <w:lang w:eastAsia="zh-CN"/>
        </w:rPr>
      </w:pPr>
    </w:p>
    <w:p w14:paraId="43182CE5">
      <w:pPr>
        <w:pStyle w:val="3"/>
        <w:widowControl w:val="0"/>
        <w:pBdr>
          <w:top w:val="none" w:color="auto" w:sz="0" w:space="1"/>
          <w:left w:val="none" w:color="auto" w:sz="0" w:space="4"/>
          <w:bottom w:val="none" w:color="auto" w:sz="0" w:space="1"/>
          <w:right w:val="none" w:color="auto" w:sz="0" w:space="4"/>
          <w:between w:val="none" w:color="auto" w:sz="0" w:space="0"/>
        </w:pBdr>
        <w:snapToGrid w:val="0"/>
        <w:jc w:val="center"/>
        <w:rPr>
          <w:rFonts w:hint="eastAsia" w:ascii="宋体" w:hAnsi="宋体"/>
          <w:b/>
          <w:sz w:val="32"/>
          <w:szCs w:val="32"/>
        </w:rPr>
      </w:pPr>
    </w:p>
    <w:p w14:paraId="7B2E89F4">
      <w:pPr>
        <w:rPr>
          <w:rFonts w:hint="eastAsia"/>
          <w:u w:val="none"/>
        </w:rPr>
      </w:pPr>
    </w:p>
    <w:p w14:paraId="29014BA1">
      <w:pPr>
        <w:pStyle w:val="3"/>
        <w:pBdr>
          <w:top w:val="none" w:color="auto" w:sz="0" w:space="0"/>
          <w:left w:val="none" w:color="auto" w:sz="0" w:space="0"/>
          <w:bottom w:val="none" w:color="auto" w:sz="0" w:space="1"/>
          <w:right w:val="none" w:color="auto" w:sz="0" w:space="0"/>
          <w:between w:val="none" w:color="auto" w:sz="0" w:space="0"/>
        </w:pBdr>
        <w:rPr>
          <w:rFonts w:hint="eastAsia" w:ascii="宋体" w:hAnsi="宋体"/>
          <w:b/>
          <w:sz w:val="32"/>
          <w:szCs w:val="32"/>
        </w:rPr>
      </w:pPr>
    </w:p>
    <w:p w14:paraId="2E9FF2C9">
      <w:pPr>
        <w:pStyle w:val="3"/>
        <w:pBdr>
          <w:top w:val="none" w:color="auto" w:sz="0" w:space="0"/>
          <w:left w:val="none" w:color="auto" w:sz="0" w:space="0"/>
          <w:bottom w:val="none" w:color="auto" w:sz="0" w:space="1"/>
          <w:right w:val="none" w:color="auto" w:sz="0" w:space="0"/>
          <w:between w:val="none" w:color="auto" w:sz="0" w:space="0"/>
        </w:pBdr>
        <w:bidi w:val="0"/>
        <w:rPr>
          <w:rFonts w:hint="eastAsia"/>
          <w:lang w:eastAsia="zh-CN"/>
        </w:rPr>
      </w:pPr>
      <w:r>
        <w:rPr>
          <w:rFonts w:hint="eastAsia"/>
          <w:lang w:eastAsia="zh-CN"/>
        </w:rPr>
        <w:tab/>
      </w:r>
      <w:r>
        <w:rPr>
          <w:rFonts w:hint="eastAsia"/>
          <w:lang w:eastAsia="zh-CN"/>
        </w:rPr>
        <w:tab/>
      </w:r>
    </w:p>
    <w:p w14:paraId="143719F0">
      <w:pPr>
        <w:bidi w:val="0"/>
        <w:rPr>
          <w:rFonts w:hint="eastAsia"/>
        </w:rPr>
      </w:pPr>
    </w:p>
    <w:p w14:paraId="5E10A244">
      <w:pPr>
        <w:bidi w:val="0"/>
        <w:rPr>
          <w:rFonts w:hint="eastAsia"/>
        </w:rPr>
      </w:pPr>
    </w:p>
    <w:p w14:paraId="0D2B6C50">
      <w:pPr>
        <w:bidi w:val="0"/>
        <w:rPr>
          <w:rFonts w:hint="eastAsia"/>
        </w:rPr>
      </w:pPr>
    </w:p>
    <w:p w14:paraId="4F5798DF">
      <w:pPr>
        <w:bidi w:val="0"/>
        <w:rPr>
          <w:rFonts w:hint="eastAsia"/>
        </w:rPr>
      </w:pPr>
    </w:p>
    <w:p w14:paraId="0EAF0019">
      <w:pPr>
        <w:bidi w:val="0"/>
        <w:rPr>
          <w:rFonts w:hint="eastAsia"/>
        </w:rPr>
      </w:pPr>
    </w:p>
    <w:p w14:paraId="426ADB47">
      <w:pPr>
        <w:bidi w:val="0"/>
        <w:rPr>
          <w:rFonts w:hint="eastAsia"/>
        </w:rPr>
      </w:pPr>
    </w:p>
    <w:p w14:paraId="1C5AEF5E">
      <w:pPr>
        <w:bidi w:val="0"/>
        <w:rPr>
          <w:rFonts w:hint="eastAsia"/>
        </w:rPr>
      </w:pPr>
    </w:p>
    <w:p w14:paraId="4F0FC8D2">
      <w:pPr>
        <w:bidi w:val="0"/>
        <w:rPr>
          <w:rFonts w:hint="eastAsia"/>
        </w:rPr>
      </w:pPr>
    </w:p>
    <w:p w14:paraId="04ED5CEF">
      <w:pPr>
        <w:bidi w:val="0"/>
        <w:rPr>
          <w:rFonts w:hint="eastAsia"/>
        </w:rPr>
      </w:pPr>
    </w:p>
    <w:p w14:paraId="5525FD99">
      <w:pPr>
        <w:bidi w:val="0"/>
        <w:rPr>
          <w:rFonts w:hint="eastAsia"/>
        </w:rPr>
      </w:pPr>
    </w:p>
    <w:p w14:paraId="218C3E50">
      <w:pPr>
        <w:bidi w:val="0"/>
        <w:rPr>
          <w:rFonts w:hint="eastAsia"/>
        </w:rPr>
      </w:pPr>
    </w:p>
    <w:p w14:paraId="1FB3EF09">
      <w:pPr>
        <w:numPr>
          <w:ilvl w:val="0"/>
          <w:numId w:val="2"/>
        </w:numPr>
        <w:tabs>
          <w:tab w:val="left" w:pos="7513"/>
        </w:tabs>
        <w:adjustRightInd w:val="0"/>
        <w:snapToGrid w:val="0"/>
        <w:spacing w:line="600" w:lineRule="exact"/>
        <w:ind w:firstLine="640" w:firstLineChars="200"/>
        <w:rPr>
          <w:rFonts w:hint="eastAsia" w:ascii="黑体" w:hAnsi="黑体" w:eastAsia="黑体"/>
          <w:sz w:val="32"/>
          <w:szCs w:val="32"/>
        </w:rPr>
      </w:pPr>
      <w:r>
        <w:rPr>
          <w:rFonts w:hint="eastAsia" w:ascii="黑体" w:hAnsi="黑体" w:eastAsia="黑体"/>
          <w:sz w:val="32"/>
          <w:szCs w:val="32"/>
        </w:rPr>
        <w:t>《项目支出绩效评价报告》</w:t>
      </w:r>
    </w:p>
    <w:p w14:paraId="2B1E4C28">
      <w:pPr>
        <w:tabs>
          <w:tab w:val="left" w:pos="8415"/>
        </w:tabs>
      </w:pPr>
      <w:r>
        <w:object>
          <v:shape id="_x0000_i1029" o:spt="75" type="#_x0000_t75" style="height:637.3pt;width:419.2pt;" o:ole="t" filled="f" o:preferrelative="t" stroked="f" coordsize="21600,21600">
            <v:path/>
            <v:fill on="f" focussize="0,0"/>
            <v:stroke on="f"/>
            <v:imagedata r:id="rId15" o:title=""/>
            <o:lock v:ext="edit" aspectratio="f"/>
            <w10:wrap type="none"/>
            <w10:anchorlock/>
          </v:shape>
          <o:OLEObject Type="Embed" ProgID="Word.Document.8" ShapeID="_x0000_i1029" DrawAspect="Content" ObjectID="_1468075729" r:id="rId14">
            <o:LockedField>false</o:LockedField>
          </o:OLEObject>
        </w:object>
      </w:r>
    </w:p>
    <w:p w14:paraId="63D46B9D">
      <w:pPr>
        <w:tabs>
          <w:tab w:val="left" w:pos="8415"/>
        </w:tabs>
      </w:pPr>
    </w:p>
    <w:p w14:paraId="60CC4CD9">
      <w:pPr>
        <w:tabs>
          <w:tab w:val="left" w:pos="8415"/>
        </w:tabs>
      </w:pPr>
      <w:r>
        <w:object>
          <v:shape id="_x0000_i1030" o:spt="75" type="#_x0000_t75" style="height:626.65pt;width:413.8pt;" o:ole="t" filled="f" o:preferrelative="t" stroked="f" coordsize="21600,21600">
            <v:path/>
            <v:fill on="f" focussize="0,0"/>
            <v:stroke on="f"/>
            <v:imagedata r:id="rId17" o:title=""/>
            <o:lock v:ext="edit" aspectratio="f"/>
            <w10:wrap type="none"/>
            <w10:anchorlock/>
          </v:shape>
          <o:OLEObject Type="Embed" ProgID="Word.Document.8" ShapeID="_x0000_i1030" DrawAspect="Content" ObjectID="_1468075730" r:id="rId16">
            <o:LockedField>false</o:LockedField>
          </o:OLEObject>
        </w:object>
      </w:r>
    </w:p>
    <w:p w14:paraId="17FE0AC0">
      <w:pPr>
        <w:tabs>
          <w:tab w:val="left" w:pos="8415"/>
        </w:tabs>
      </w:pPr>
    </w:p>
    <w:p w14:paraId="29B25250">
      <w:pPr>
        <w:tabs>
          <w:tab w:val="left" w:pos="8415"/>
        </w:tabs>
      </w:pPr>
    </w:p>
    <w:p w14:paraId="58438B3F">
      <w:pPr>
        <w:tabs>
          <w:tab w:val="left" w:pos="8415"/>
        </w:tabs>
      </w:pPr>
    </w:p>
    <w:p w14:paraId="366CA534">
      <w:pPr>
        <w:tabs>
          <w:tab w:val="left" w:pos="8415"/>
        </w:tabs>
      </w:pPr>
    </w:p>
    <w:p w14:paraId="2AD9084E">
      <w:pPr>
        <w:tabs>
          <w:tab w:val="left" w:pos="8415"/>
        </w:tabs>
      </w:pPr>
      <w:r>
        <w:object>
          <v:shape id="_x0000_i1031" o:spt="75" type="#_x0000_t75" style="height:630.2pt;width:419.45pt;" o:ole="t" filled="f" o:preferrelative="t" stroked="f" coordsize="21600,21600">
            <v:path/>
            <v:fill on="f" focussize="0,0"/>
            <v:stroke on="f"/>
            <v:imagedata r:id="rId19" o:title=""/>
            <o:lock v:ext="edit" aspectratio="f"/>
            <w10:wrap type="none"/>
            <w10:anchorlock/>
          </v:shape>
          <o:OLEObject Type="Embed" ProgID="Word.Document.8" ShapeID="_x0000_i1031" DrawAspect="Content" ObjectID="_1468075731" r:id="rId18">
            <o:LockedField>false</o:LockedField>
          </o:OLEObject>
        </w:object>
      </w:r>
    </w:p>
    <w:p w14:paraId="7A111607">
      <w:pPr>
        <w:tabs>
          <w:tab w:val="left" w:pos="8415"/>
        </w:tabs>
      </w:pPr>
    </w:p>
    <w:p w14:paraId="4D634098">
      <w:pPr>
        <w:tabs>
          <w:tab w:val="left" w:pos="8415"/>
        </w:tabs>
      </w:pPr>
    </w:p>
    <w:p w14:paraId="1DF07CC5">
      <w:pPr>
        <w:tabs>
          <w:tab w:val="left" w:pos="8415"/>
        </w:tabs>
      </w:pPr>
      <w:r>
        <w:object>
          <v:shape id="_x0000_i1032" o:spt="75" type="#_x0000_t75" style="height:626pt;width:413.2pt;" o:ole="t" filled="f" o:preferrelative="t" stroked="f" coordsize="21600,21600">
            <v:path/>
            <v:fill on="f" focussize="0,0"/>
            <v:stroke on="f"/>
            <v:imagedata r:id="rId21" o:title=""/>
            <o:lock v:ext="edit" aspectratio="f"/>
            <w10:wrap type="none"/>
            <w10:anchorlock/>
          </v:shape>
          <o:OLEObject Type="Embed" ProgID="Word.Document.8" ShapeID="_x0000_i1032" DrawAspect="Content" ObjectID="_1468075732" r:id="rId20">
            <o:LockedField>false</o:LockedField>
          </o:OLEObject>
        </w:object>
      </w:r>
    </w:p>
    <w:p w14:paraId="08782FD5">
      <w:pPr>
        <w:tabs>
          <w:tab w:val="left" w:pos="8415"/>
        </w:tabs>
      </w:pPr>
    </w:p>
    <w:p w14:paraId="10925594">
      <w:pPr>
        <w:tabs>
          <w:tab w:val="left" w:pos="8415"/>
        </w:tabs>
      </w:pPr>
    </w:p>
    <w:p w14:paraId="56185498">
      <w:pPr>
        <w:tabs>
          <w:tab w:val="left" w:pos="8415"/>
        </w:tabs>
      </w:pPr>
    </w:p>
    <w:p w14:paraId="617A13B1">
      <w:pPr>
        <w:tabs>
          <w:tab w:val="left" w:pos="8415"/>
        </w:tabs>
      </w:pPr>
      <w:r>
        <w:object>
          <v:shape id="_x0000_i1033" o:spt="75" type="#_x0000_t75" style="height:619.15pt;width:414.9pt;" o:ole="t" filled="f" o:preferrelative="t" stroked="f" coordsize="21600,21600">
            <v:path/>
            <v:fill on="f" focussize="0,0"/>
            <v:stroke on="f"/>
            <v:imagedata r:id="rId23" o:title=""/>
            <o:lock v:ext="edit" aspectratio="f"/>
            <w10:wrap type="none"/>
            <w10:anchorlock/>
          </v:shape>
          <o:OLEObject Type="Embed" ProgID="Word.Document.8" ShapeID="_x0000_i1033" DrawAspect="Content" ObjectID="_1468075733" r:id="rId22">
            <o:LockedField>false</o:LockedField>
          </o:OLEObject>
        </w:object>
      </w:r>
    </w:p>
    <w:p w14:paraId="7EDABEEF">
      <w:pPr>
        <w:tabs>
          <w:tab w:val="left" w:pos="8415"/>
        </w:tabs>
      </w:pPr>
    </w:p>
    <w:p w14:paraId="7020E19E">
      <w:pPr>
        <w:tabs>
          <w:tab w:val="left" w:pos="8415"/>
        </w:tabs>
      </w:pPr>
    </w:p>
    <w:p w14:paraId="221A97F4">
      <w:pPr>
        <w:tabs>
          <w:tab w:val="left" w:pos="8415"/>
        </w:tabs>
      </w:pPr>
    </w:p>
    <w:p w14:paraId="690E13EC">
      <w:pPr>
        <w:tabs>
          <w:tab w:val="left" w:pos="8415"/>
        </w:tabs>
      </w:pPr>
    </w:p>
    <w:p w14:paraId="6F5FDCB3">
      <w:pPr>
        <w:tabs>
          <w:tab w:val="left" w:pos="8415"/>
        </w:tabs>
      </w:pPr>
      <w:r>
        <w:object>
          <v:shape id="_x0000_i1034" o:spt="75" type="#_x0000_t75" style="height:422.6pt;width:414.9pt;" o:ole="t" filled="f" o:preferrelative="t" stroked="f" coordsize="21600,21600">
            <v:path/>
            <v:fill on="f" focussize="0,0"/>
            <v:stroke on="f"/>
            <v:imagedata r:id="rId25" o:title=""/>
            <o:lock v:ext="edit" aspectratio="f"/>
            <w10:wrap type="none"/>
            <w10:anchorlock/>
          </v:shape>
          <o:OLEObject Type="Embed" ProgID="Word.Document.8" ShapeID="_x0000_i1034" DrawAspect="Content" ObjectID="_1468075734" r:id="rId24">
            <o:LockedField>false</o:LockedField>
          </o:OLEObject>
        </w:object>
      </w:r>
    </w:p>
    <w:sectPr>
      <w:footerReference r:id="rId4" w:type="default"/>
      <w:pgSz w:w="11906" w:h="16838"/>
      <w:pgMar w:top="1440" w:right="1800" w:bottom="1440" w:left="1800" w:header="0" w:footer="720"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黑体.....">
    <w:altName w:val="黑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3DA984">
    <w:pPr>
      <w:pStyle w:val="14"/>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66520D76">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29E77">
    <w:pPr>
      <w:jc w:val="center"/>
    </w:pPr>
    <w:r>
      <w:rPr>
        <w:sz w:val="21"/>
      </w:rPr>
      <w:pict>
        <v:shape id="_x0000_s4098" o:spid="_x0000_s409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2DD7E65F">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39</w:t>
                </w:r>
                <w:r>
                  <w:rPr>
                    <w:rFonts w:ascii="宋体" w:hAnsi="宋体" w:eastAsia="宋体" w:cs="宋体"/>
                    <w:sz w:val="1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E77E98"/>
    <w:multiLevelType w:val="singleLevel"/>
    <w:tmpl w:val="8FE77E98"/>
    <w:lvl w:ilvl="0" w:tentative="0">
      <w:start w:val="2"/>
      <w:numFmt w:val="chineseCounting"/>
      <w:suff w:val="nothing"/>
      <w:lvlText w:val="%1、"/>
      <w:lvlJc w:val="left"/>
      <w:rPr>
        <w:rFonts w:hint="eastAsia"/>
      </w:rPr>
    </w:lvl>
  </w:abstractNum>
  <w:abstractNum w:abstractNumId="1">
    <w:nsid w:val="60409499"/>
    <w:multiLevelType w:val="singleLevel"/>
    <w:tmpl w:val="60409499"/>
    <w:lvl w:ilvl="0" w:tentative="0">
      <w:start w:val="2"/>
      <w:numFmt w:val="decimal"/>
      <w:lvlText w:val="%1."/>
      <w:lvlJc w:val="left"/>
      <w:pPr>
        <w:tabs>
          <w:tab w:val="left" w:pos="312"/>
        </w:tabs>
        <w:ind w:left="480" w:leftChars="0" w:firstLine="0" w:firstLineChars="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536"/>
    <w:rsid w:val="0000662F"/>
    <w:rsid w:val="00023E75"/>
    <w:rsid w:val="00033C6A"/>
    <w:rsid w:val="00063AC2"/>
    <w:rsid w:val="000774F0"/>
    <w:rsid w:val="0008308B"/>
    <w:rsid w:val="00097269"/>
    <w:rsid w:val="000A769F"/>
    <w:rsid w:val="000D3889"/>
    <w:rsid w:val="0010682D"/>
    <w:rsid w:val="001620BF"/>
    <w:rsid w:val="001814D4"/>
    <w:rsid w:val="00183373"/>
    <w:rsid w:val="001E7634"/>
    <w:rsid w:val="00204509"/>
    <w:rsid w:val="00225D2E"/>
    <w:rsid w:val="0023107E"/>
    <w:rsid w:val="00233241"/>
    <w:rsid w:val="00275FF0"/>
    <w:rsid w:val="00297C52"/>
    <w:rsid w:val="00300987"/>
    <w:rsid w:val="003068A6"/>
    <w:rsid w:val="0030784F"/>
    <w:rsid w:val="00312846"/>
    <w:rsid w:val="00367870"/>
    <w:rsid w:val="00375E79"/>
    <w:rsid w:val="003A4E85"/>
    <w:rsid w:val="003B3EAA"/>
    <w:rsid w:val="00482D36"/>
    <w:rsid w:val="00490629"/>
    <w:rsid w:val="0049507B"/>
    <w:rsid w:val="004A738F"/>
    <w:rsid w:val="004B1589"/>
    <w:rsid w:val="004B721F"/>
    <w:rsid w:val="004D7065"/>
    <w:rsid w:val="004E0B6C"/>
    <w:rsid w:val="005011E1"/>
    <w:rsid w:val="00505A51"/>
    <w:rsid w:val="0051384E"/>
    <w:rsid w:val="00521603"/>
    <w:rsid w:val="00536012"/>
    <w:rsid w:val="005456D6"/>
    <w:rsid w:val="0054657E"/>
    <w:rsid w:val="0059054F"/>
    <w:rsid w:val="00596608"/>
    <w:rsid w:val="005B4139"/>
    <w:rsid w:val="005C13AB"/>
    <w:rsid w:val="00667493"/>
    <w:rsid w:val="006C017F"/>
    <w:rsid w:val="006E7255"/>
    <w:rsid w:val="007003B2"/>
    <w:rsid w:val="007402A0"/>
    <w:rsid w:val="00762248"/>
    <w:rsid w:val="00787000"/>
    <w:rsid w:val="007A7BA5"/>
    <w:rsid w:val="007B6706"/>
    <w:rsid w:val="007C1FDD"/>
    <w:rsid w:val="007D6292"/>
    <w:rsid w:val="007F2F15"/>
    <w:rsid w:val="00836830"/>
    <w:rsid w:val="00857D98"/>
    <w:rsid w:val="00894C48"/>
    <w:rsid w:val="00896385"/>
    <w:rsid w:val="008A10DB"/>
    <w:rsid w:val="008B5455"/>
    <w:rsid w:val="009125DD"/>
    <w:rsid w:val="00954CD9"/>
    <w:rsid w:val="009A5EF3"/>
    <w:rsid w:val="009D6904"/>
    <w:rsid w:val="009E1EE8"/>
    <w:rsid w:val="009E227B"/>
    <w:rsid w:val="009E308A"/>
    <w:rsid w:val="009F0536"/>
    <w:rsid w:val="00A147CF"/>
    <w:rsid w:val="00A270BE"/>
    <w:rsid w:val="00A36C1D"/>
    <w:rsid w:val="00A517A0"/>
    <w:rsid w:val="00A62486"/>
    <w:rsid w:val="00AB013A"/>
    <w:rsid w:val="00AD11A5"/>
    <w:rsid w:val="00AE47F5"/>
    <w:rsid w:val="00AF5F33"/>
    <w:rsid w:val="00B10863"/>
    <w:rsid w:val="00B27D51"/>
    <w:rsid w:val="00B326F7"/>
    <w:rsid w:val="00B32BEE"/>
    <w:rsid w:val="00B373AF"/>
    <w:rsid w:val="00B4208A"/>
    <w:rsid w:val="00B57D7A"/>
    <w:rsid w:val="00B76620"/>
    <w:rsid w:val="00B840CE"/>
    <w:rsid w:val="00B96C3D"/>
    <w:rsid w:val="00BD0928"/>
    <w:rsid w:val="00BD380A"/>
    <w:rsid w:val="00BE5F73"/>
    <w:rsid w:val="00BF4228"/>
    <w:rsid w:val="00C07A30"/>
    <w:rsid w:val="00C352FF"/>
    <w:rsid w:val="00C44231"/>
    <w:rsid w:val="00CC6B8B"/>
    <w:rsid w:val="00CD3751"/>
    <w:rsid w:val="00D2051A"/>
    <w:rsid w:val="00D96390"/>
    <w:rsid w:val="00E219E7"/>
    <w:rsid w:val="00E60D6A"/>
    <w:rsid w:val="00E73321"/>
    <w:rsid w:val="00E77EC0"/>
    <w:rsid w:val="00E914C1"/>
    <w:rsid w:val="00E97C37"/>
    <w:rsid w:val="00EB7316"/>
    <w:rsid w:val="00EE533B"/>
    <w:rsid w:val="00F04882"/>
    <w:rsid w:val="00F63327"/>
    <w:rsid w:val="00F80A29"/>
    <w:rsid w:val="00FA7CA5"/>
    <w:rsid w:val="00FD08EC"/>
    <w:rsid w:val="00FD7690"/>
    <w:rsid w:val="030A7705"/>
    <w:rsid w:val="03810626"/>
    <w:rsid w:val="0393709E"/>
    <w:rsid w:val="043241D7"/>
    <w:rsid w:val="049C27ED"/>
    <w:rsid w:val="05AB35CF"/>
    <w:rsid w:val="06932468"/>
    <w:rsid w:val="08CF2B66"/>
    <w:rsid w:val="08FB16FA"/>
    <w:rsid w:val="0CB04832"/>
    <w:rsid w:val="1087541E"/>
    <w:rsid w:val="12782018"/>
    <w:rsid w:val="16681760"/>
    <w:rsid w:val="18213FAF"/>
    <w:rsid w:val="19FC6908"/>
    <w:rsid w:val="1A191073"/>
    <w:rsid w:val="1C9A6CB8"/>
    <w:rsid w:val="1CB1728B"/>
    <w:rsid w:val="1DCC6982"/>
    <w:rsid w:val="1EB83580"/>
    <w:rsid w:val="1FD721E7"/>
    <w:rsid w:val="20232968"/>
    <w:rsid w:val="22855DFF"/>
    <w:rsid w:val="24BC69A1"/>
    <w:rsid w:val="2671788E"/>
    <w:rsid w:val="26CC23A7"/>
    <w:rsid w:val="26F92B4F"/>
    <w:rsid w:val="2736197D"/>
    <w:rsid w:val="27A353AA"/>
    <w:rsid w:val="2DC0244A"/>
    <w:rsid w:val="2ED26113"/>
    <w:rsid w:val="2F0B40B3"/>
    <w:rsid w:val="2FFC1C80"/>
    <w:rsid w:val="30A70F6A"/>
    <w:rsid w:val="314B0C7F"/>
    <w:rsid w:val="316E3EC8"/>
    <w:rsid w:val="31A26DAA"/>
    <w:rsid w:val="33193408"/>
    <w:rsid w:val="33AB11E9"/>
    <w:rsid w:val="33DC462E"/>
    <w:rsid w:val="34A8239C"/>
    <w:rsid w:val="34B818BD"/>
    <w:rsid w:val="381C450B"/>
    <w:rsid w:val="3A1E77EF"/>
    <w:rsid w:val="3A583C12"/>
    <w:rsid w:val="3AA10F2C"/>
    <w:rsid w:val="3D171505"/>
    <w:rsid w:val="3D3857F1"/>
    <w:rsid w:val="3DD36659"/>
    <w:rsid w:val="3E46276F"/>
    <w:rsid w:val="3FFD2737"/>
    <w:rsid w:val="401A14E8"/>
    <w:rsid w:val="40B06A5D"/>
    <w:rsid w:val="44024F1A"/>
    <w:rsid w:val="45DEEA82"/>
    <w:rsid w:val="46B9484A"/>
    <w:rsid w:val="481323B5"/>
    <w:rsid w:val="48661AB3"/>
    <w:rsid w:val="4A09289E"/>
    <w:rsid w:val="4A1725A3"/>
    <w:rsid w:val="4D8956F4"/>
    <w:rsid w:val="4E3F7E90"/>
    <w:rsid w:val="50B93DA7"/>
    <w:rsid w:val="50D27251"/>
    <w:rsid w:val="511C0346"/>
    <w:rsid w:val="51F21AC8"/>
    <w:rsid w:val="51F87903"/>
    <w:rsid w:val="54E27C4B"/>
    <w:rsid w:val="56003689"/>
    <w:rsid w:val="565471A3"/>
    <w:rsid w:val="569C7064"/>
    <w:rsid w:val="56F8682F"/>
    <w:rsid w:val="5B237775"/>
    <w:rsid w:val="5C657093"/>
    <w:rsid w:val="5F8E7576"/>
    <w:rsid w:val="623A1AB3"/>
    <w:rsid w:val="646F7E05"/>
    <w:rsid w:val="65FB6179"/>
    <w:rsid w:val="670811FF"/>
    <w:rsid w:val="696703D1"/>
    <w:rsid w:val="6C4010D8"/>
    <w:rsid w:val="6C7F18FF"/>
    <w:rsid w:val="6CF660A2"/>
    <w:rsid w:val="70B47E35"/>
    <w:rsid w:val="710F5285"/>
    <w:rsid w:val="712A2887"/>
    <w:rsid w:val="715C5124"/>
    <w:rsid w:val="71FA05E3"/>
    <w:rsid w:val="73734B03"/>
    <w:rsid w:val="74AA5707"/>
    <w:rsid w:val="75680762"/>
    <w:rsid w:val="75FFB26B"/>
    <w:rsid w:val="764A7CA1"/>
    <w:rsid w:val="775716D1"/>
    <w:rsid w:val="77BD1E19"/>
    <w:rsid w:val="78A024AD"/>
    <w:rsid w:val="795E1C96"/>
    <w:rsid w:val="7B4B6218"/>
    <w:rsid w:val="7BEE7589"/>
    <w:rsid w:val="7FBF20AF"/>
    <w:rsid w:val="7FFF4777"/>
    <w:rsid w:val="DF6FD0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Bdr>
        <w:top w:val="none" w:color="auto" w:sz="0" w:space="1"/>
        <w:left w:val="none" w:color="auto" w:sz="0" w:space="4"/>
        <w:bottom w:val="none" w:color="auto" w:sz="0" w:space="1"/>
        <w:right w:val="none" w:color="auto" w:sz="0" w:space="4"/>
      </w:pBdr>
      <w:jc w:val="both"/>
    </w:pPr>
    <w:rPr>
      <w:rFonts w:ascii="Times New Roman" w:hAnsi="Times New Roman" w:eastAsia="宋体" w:cs="Times New Roman"/>
      <w:kern w:val="2"/>
      <w:sz w:val="21"/>
      <w:szCs w:val="24"/>
      <w:lang w:val="en-US" w:eastAsia="zh-CN" w:bidi="ar-SA"/>
    </w:rPr>
  </w:style>
  <w:style w:type="paragraph" w:styleId="5">
    <w:name w:val="heading 1"/>
    <w:basedOn w:val="1"/>
    <w:next w:val="1"/>
    <w:qFormat/>
    <w:uiPriority w:val="0"/>
    <w:pPr>
      <w:keepNext/>
      <w:keepLines/>
      <w:spacing w:before="340" w:after="330" w:line="578" w:lineRule="auto"/>
      <w:outlineLvl w:val="0"/>
    </w:pPr>
    <w:rPr>
      <w:b/>
      <w:bCs/>
      <w:kern w:val="44"/>
      <w:sz w:val="44"/>
      <w:szCs w:val="44"/>
    </w:rPr>
  </w:style>
  <w:style w:type="paragraph" w:styleId="6">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7">
    <w:name w:val="heading 3"/>
    <w:basedOn w:val="1"/>
    <w:next w:val="1"/>
    <w:link w:val="30"/>
    <w:qFormat/>
    <w:uiPriority w:val="0"/>
    <w:pPr>
      <w:keepNext/>
      <w:keepLines/>
      <w:spacing w:before="260" w:after="260" w:line="416" w:lineRule="auto"/>
      <w:outlineLvl w:val="2"/>
    </w:pPr>
    <w:rPr>
      <w:b/>
      <w:bCs/>
      <w:sz w:val="32"/>
      <w:szCs w:val="32"/>
    </w:rPr>
  </w:style>
  <w:style w:type="paragraph" w:styleId="8">
    <w:name w:val="heading 4"/>
    <w:basedOn w:val="1"/>
    <w:next w:val="1"/>
    <w:link w:val="26"/>
    <w:qFormat/>
    <w:uiPriority w:val="0"/>
    <w:pPr>
      <w:keepNext/>
      <w:keepLines/>
      <w:spacing w:before="280" w:after="290" w:line="376" w:lineRule="auto"/>
      <w:outlineLvl w:val="3"/>
    </w:pPr>
    <w:rPr>
      <w:rFonts w:ascii="Cambria" w:hAnsi="Cambria"/>
      <w:b/>
      <w:bCs/>
      <w:sz w:val="28"/>
      <w:szCs w:val="28"/>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customStyle="1" w:styleId="2">
    <w:name w:val="1.正文"/>
    <w:next w:val="3"/>
    <w:qFormat/>
    <w:uiPriority w:val="0"/>
    <w:pPr>
      <w:widowControl w:val="0"/>
      <w:jc w:val="both"/>
    </w:pPr>
    <w:rPr>
      <w:rFonts w:ascii="Calibri" w:hAnsi="Calibri" w:eastAsia="宋体" w:cs="Arial"/>
      <w:kern w:val="2"/>
      <w:sz w:val="21"/>
      <w:szCs w:val="22"/>
      <w:lang w:val="en-US" w:eastAsia="zh-CN" w:bidi="ar-SA"/>
    </w:rPr>
  </w:style>
  <w:style w:type="paragraph" w:styleId="3">
    <w:name w:val="header"/>
    <w:basedOn w:val="1"/>
    <w:next w:val="4"/>
    <w:qFormat/>
    <w:uiPriority w:val="0"/>
    <w:pPr>
      <w:pBdr>
        <w:bottom w:val="single" w:color="auto" w:sz="6" w:space="1"/>
      </w:pBdr>
      <w:tabs>
        <w:tab w:val="center" w:pos="4153"/>
        <w:tab w:val="right" w:pos="8306"/>
      </w:tabs>
      <w:snapToGrid w:val="0"/>
      <w:jc w:val="center"/>
    </w:pPr>
    <w:rPr>
      <w:sz w:val="18"/>
      <w:szCs w:val="18"/>
    </w:rPr>
  </w:style>
  <w:style w:type="paragraph" w:customStyle="1" w:styleId="4">
    <w:name w:val="MsoNormal"/>
    <w:basedOn w:val="1"/>
    <w:qFormat/>
    <w:uiPriority w:val="0"/>
  </w:style>
  <w:style w:type="paragraph" w:styleId="9">
    <w:name w:val="toc 7"/>
    <w:basedOn w:val="1"/>
    <w:next w:val="1"/>
    <w:qFormat/>
    <w:uiPriority w:val="0"/>
    <w:pPr>
      <w:ind w:left="1260"/>
      <w:jc w:val="left"/>
    </w:pPr>
    <w:rPr>
      <w:sz w:val="20"/>
      <w:szCs w:val="20"/>
    </w:rPr>
  </w:style>
  <w:style w:type="paragraph" w:styleId="10">
    <w:name w:val="Document Map"/>
    <w:basedOn w:val="1"/>
    <w:qFormat/>
    <w:uiPriority w:val="0"/>
    <w:pPr>
      <w:shd w:val="clear" w:color="auto" w:fill="000080"/>
    </w:pPr>
  </w:style>
  <w:style w:type="paragraph" w:styleId="11">
    <w:name w:val="toc 5"/>
    <w:basedOn w:val="1"/>
    <w:next w:val="1"/>
    <w:qFormat/>
    <w:uiPriority w:val="0"/>
    <w:pPr>
      <w:ind w:left="840"/>
      <w:jc w:val="left"/>
    </w:pPr>
    <w:rPr>
      <w:sz w:val="20"/>
      <w:szCs w:val="20"/>
    </w:rPr>
  </w:style>
  <w:style w:type="paragraph" w:styleId="12">
    <w:name w:val="toc 3"/>
    <w:basedOn w:val="1"/>
    <w:next w:val="1"/>
    <w:qFormat/>
    <w:uiPriority w:val="0"/>
    <w:pPr>
      <w:adjustRightInd w:val="0"/>
      <w:snapToGrid w:val="0"/>
      <w:spacing w:line="360" w:lineRule="auto"/>
      <w:ind w:firstLine="400" w:firstLineChars="400"/>
      <w:jc w:val="left"/>
    </w:pPr>
    <w:rPr>
      <w:sz w:val="24"/>
      <w:szCs w:val="20"/>
    </w:rPr>
  </w:style>
  <w:style w:type="paragraph" w:styleId="13">
    <w:name w:val="toc 8"/>
    <w:basedOn w:val="1"/>
    <w:next w:val="1"/>
    <w:qFormat/>
    <w:uiPriority w:val="0"/>
    <w:pPr>
      <w:ind w:left="1470"/>
      <w:jc w:val="left"/>
    </w:pPr>
    <w:rPr>
      <w:sz w:val="20"/>
      <w:szCs w:val="20"/>
    </w:rPr>
  </w:style>
  <w:style w:type="paragraph" w:styleId="14">
    <w:name w:val="footer"/>
    <w:basedOn w:val="1"/>
    <w:qFormat/>
    <w:uiPriority w:val="0"/>
    <w:pPr>
      <w:tabs>
        <w:tab w:val="center" w:pos="4153"/>
        <w:tab w:val="right" w:pos="8306"/>
      </w:tabs>
      <w:snapToGrid w:val="0"/>
      <w:jc w:val="left"/>
    </w:pPr>
    <w:rPr>
      <w:sz w:val="18"/>
    </w:rPr>
  </w:style>
  <w:style w:type="paragraph" w:styleId="15">
    <w:name w:val="toc 1"/>
    <w:basedOn w:val="1"/>
    <w:next w:val="1"/>
    <w:qFormat/>
    <w:uiPriority w:val="0"/>
    <w:pPr>
      <w:adjustRightInd w:val="0"/>
      <w:snapToGrid w:val="0"/>
      <w:spacing w:line="360" w:lineRule="auto"/>
      <w:jc w:val="left"/>
    </w:pPr>
    <w:rPr>
      <w:b/>
      <w:bCs/>
      <w:sz w:val="24"/>
      <w:szCs w:val="20"/>
    </w:rPr>
  </w:style>
  <w:style w:type="paragraph" w:styleId="16">
    <w:name w:val="toc 4"/>
    <w:basedOn w:val="1"/>
    <w:next w:val="1"/>
    <w:qFormat/>
    <w:uiPriority w:val="0"/>
    <w:pPr>
      <w:ind w:left="630"/>
      <w:jc w:val="left"/>
    </w:pPr>
    <w:rPr>
      <w:sz w:val="20"/>
      <w:szCs w:val="20"/>
    </w:rPr>
  </w:style>
  <w:style w:type="paragraph" w:styleId="17">
    <w:name w:val="toc 6"/>
    <w:basedOn w:val="1"/>
    <w:next w:val="1"/>
    <w:qFormat/>
    <w:uiPriority w:val="0"/>
    <w:pPr>
      <w:ind w:left="1050"/>
      <w:jc w:val="left"/>
    </w:pPr>
    <w:rPr>
      <w:sz w:val="20"/>
      <w:szCs w:val="20"/>
    </w:rPr>
  </w:style>
  <w:style w:type="paragraph" w:styleId="18">
    <w:name w:val="toc 2"/>
    <w:basedOn w:val="1"/>
    <w:next w:val="1"/>
    <w:qFormat/>
    <w:uiPriority w:val="0"/>
    <w:pPr>
      <w:adjustRightInd w:val="0"/>
      <w:snapToGrid w:val="0"/>
      <w:spacing w:line="360" w:lineRule="auto"/>
      <w:ind w:firstLine="200" w:firstLineChars="200"/>
      <w:jc w:val="left"/>
    </w:pPr>
    <w:rPr>
      <w:iCs/>
      <w:sz w:val="24"/>
      <w:szCs w:val="20"/>
    </w:rPr>
  </w:style>
  <w:style w:type="paragraph" w:styleId="19">
    <w:name w:val="toc 9"/>
    <w:basedOn w:val="1"/>
    <w:next w:val="1"/>
    <w:qFormat/>
    <w:uiPriority w:val="0"/>
    <w:pPr>
      <w:ind w:left="1680"/>
      <w:jc w:val="left"/>
    </w:pPr>
    <w:rPr>
      <w:sz w:val="20"/>
      <w:szCs w:val="20"/>
    </w:rPr>
  </w:style>
  <w:style w:type="character" w:styleId="22">
    <w:name w:val="Strong"/>
    <w:basedOn w:val="21"/>
    <w:qFormat/>
    <w:uiPriority w:val="0"/>
    <w:rPr>
      <w:b/>
    </w:rPr>
  </w:style>
  <w:style w:type="character" w:styleId="23">
    <w:name w:val="page number"/>
    <w:basedOn w:val="21"/>
    <w:qFormat/>
    <w:uiPriority w:val="0"/>
  </w:style>
  <w:style w:type="character" w:styleId="24">
    <w:name w:val="Hyperlink"/>
    <w:basedOn w:val="21"/>
    <w:qFormat/>
    <w:uiPriority w:val="0"/>
    <w:rPr>
      <w:color w:val="0000FF"/>
      <w:u w:val="single"/>
    </w:rPr>
  </w:style>
  <w:style w:type="paragraph" w:customStyle="1" w:styleId="25">
    <w:name w:val="MsoBodyText"/>
    <w:basedOn w:val="1"/>
    <w:qFormat/>
    <w:uiPriority w:val="0"/>
  </w:style>
  <w:style w:type="character" w:customStyle="1" w:styleId="26">
    <w:name w:val="标题 4 字符"/>
    <w:basedOn w:val="21"/>
    <w:link w:val="8"/>
    <w:qFormat/>
    <w:uiPriority w:val="0"/>
    <w:rPr>
      <w:rFonts w:ascii="Cambria" w:hAnsi="Cambria"/>
      <w:b/>
      <w:bCs/>
      <w:kern w:val="2"/>
      <w:sz w:val="28"/>
      <w:szCs w:val="28"/>
    </w:rPr>
  </w:style>
  <w:style w:type="paragraph" w:styleId="27">
    <w:name w:val="No Spacing"/>
    <w:link w:val="28"/>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8">
    <w:name w:val="无间隔 字符"/>
    <w:link w:val="27"/>
    <w:qFormat/>
    <w:locked/>
    <w:uiPriority w:val="0"/>
    <w:rPr>
      <w:rFonts w:eastAsia="仿宋_GB2312"/>
      <w:sz w:val="30"/>
      <w:szCs w:val="22"/>
      <w:lang w:bidi="ar-SA"/>
    </w:rPr>
  </w:style>
  <w:style w:type="paragraph" w:styleId="29">
    <w:name w:val="List Paragraph"/>
    <w:basedOn w:val="1"/>
    <w:qFormat/>
    <w:uiPriority w:val="0"/>
    <w:pPr>
      <w:ind w:firstLine="420" w:firstLineChars="200"/>
    </w:pPr>
  </w:style>
  <w:style w:type="character" w:customStyle="1" w:styleId="30">
    <w:name w:val="标题 3 字符"/>
    <w:basedOn w:val="21"/>
    <w:link w:val="7"/>
    <w:qFormat/>
    <w:uiPriority w:val="0"/>
    <w:rPr>
      <w:b/>
      <w:bCs/>
      <w:kern w:val="2"/>
      <w:sz w:val="32"/>
      <w:szCs w:val="32"/>
    </w:rPr>
  </w:style>
  <w:style w:type="table" w:customStyle="1" w:styleId="31">
    <w:name w:val="MsoNormalTable"/>
    <w:basedOn w:val="20"/>
    <w:qFormat/>
    <w:uiPriority w:val="0"/>
  </w:style>
  <w:style w:type="paragraph" w:customStyle="1" w:styleId="32">
    <w:name w:val="15"/>
    <w:basedOn w:val="1"/>
    <w:qFormat/>
    <w:uiPriority w:val="0"/>
  </w:style>
  <w:style w:type="paragraph" w:customStyle="1" w:styleId="33">
    <w:name w:val="18"/>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0.emf"/><Relationship Id="rId24" Type="http://schemas.openxmlformats.org/officeDocument/2006/relationships/oleObject" Target="embeddings/oleObject10.bin"/><Relationship Id="rId23" Type="http://schemas.openxmlformats.org/officeDocument/2006/relationships/image" Target="media/image9.emf"/><Relationship Id="rId22" Type="http://schemas.openxmlformats.org/officeDocument/2006/relationships/oleObject" Target="embeddings/oleObject9.bin"/><Relationship Id="rId21" Type="http://schemas.openxmlformats.org/officeDocument/2006/relationships/image" Target="media/image8.emf"/><Relationship Id="rId20" Type="http://schemas.openxmlformats.org/officeDocument/2006/relationships/oleObject" Target="embeddings/oleObject8.bin"/><Relationship Id="rId2" Type="http://schemas.openxmlformats.org/officeDocument/2006/relationships/settings" Target="settings.xml"/><Relationship Id="rId19" Type="http://schemas.openxmlformats.org/officeDocument/2006/relationships/image" Target="media/image7.emf"/><Relationship Id="rId18" Type="http://schemas.openxmlformats.org/officeDocument/2006/relationships/oleObject" Target="embeddings/oleObject7.bin"/><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4097" textRotate="1"/>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54</Pages>
  <Words>10690</Words>
  <Characters>13779</Characters>
  <Lines>1</Lines>
  <Paragraphs>1</Paragraphs>
  <TotalTime>18</TotalTime>
  <ScaleCrop>false</ScaleCrop>
  <LinksUpToDate>false</LinksUpToDate>
  <CharactersWithSpaces>14610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2022-03-24T12:40:00Z</dcterms:created>
  <dc:creator>Administrator</dc:creator>
  <cp:lastModifiedBy>小飞雪</cp:lastModifiedBy>
  <cp:lastPrinted>2024-12-27T01:35:00Z</cp:lastPrinted>
  <dcterms:modified xsi:type="dcterms:W3CDTF">2024-12-27T07:20:00Z</dcterms:modified>
  <dc:title>××年度××部门/单位</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735D3BF3387D2C7BB7BEDE66F34FA8FE</vt:lpwstr>
  </property>
  <property fmtid="{D5CDD505-2E9C-101B-9397-08002B2CF9AE}" pid="4" name="KSOTemplateDocerSaveRecord">
    <vt:lpwstr>eyJoZGlkIjoiMjY4MzdiMmJjNGYxNmI4MzAwMTQ1MTkwZjQ0YzAwNGMiLCJ1c2VySWQiOiIyNzQwMDEzNjMifQ==</vt:lpwstr>
  </property>
</Properties>
</file>