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jc w:val="center"/>
        <w:rPr>
          <w:highlight w:val="none"/>
        </w:rPr>
      </w:pPr>
      <w:r>
        <w:rPr>
          <w:rFonts w:hint="eastAsia"/>
          <w:highlight w:val="none"/>
        </w:rPr>
        <w:t>政府预算相关重要事项说明</w:t>
      </w:r>
    </w:p>
    <w:p>
      <w:pPr>
        <w:shd w:val="clear"/>
        <w:spacing w:line="60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一、</w:t>
      </w:r>
      <w:r>
        <w:rPr>
          <w:rFonts w:hint="eastAsia" w:ascii="黑体" w:hAnsi="黑体" w:eastAsia="黑体" w:cs="黑体"/>
          <w:kern w:val="0"/>
          <w:sz w:val="32"/>
          <w:szCs w:val="32"/>
          <w:highlight w:val="none"/>
          <w:lang w:eastAsia="zh-CN"/>
        </w:rPr>
        <w:t>长汀县</w:t>
      </w:r>
      <w:r>
        <w:rPr>
          <w:rFonts w:hint="eastAsia" w:ascii="黑体" w:hAnsi="黑体" w:eastAsia="黑体" w:cs="黑体"/>
          <w:kern w:val="0"/>
          <w:sz w:val="32"/>
          <w:szCs w:val="32"/>
          <w:highlight w:val="none"/>
        </w:rPr>
        <w:t>本级支出预算说明</w:t>
      </w:r>
    </w:p>
    <w:p>
      <w:pPr>
        <w:shd w:val="clea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2024</w:t>
      </w:r>
      <w:r>
        <w:rPr>
          <w:rFonts w:hint="eastAsia" w:ascii="仿宋_GB2312" w:hAnsi="仿宋_GB2312" w:eastAsia="仿宋_GB2312" w:cs="仿宋_GB2312"/>
          <w:kern w:val="0"/>
          <w:sz w:val="32"/>
          <w:szCs w:val="32"/>
          <w:highlight w:val="none"/>
        </w:rPr>
        <w:t>年度</w:t>
      </w:r>
      <w:r>
        <w:rPr>
          <w:rFonts w:hint="eastAsia" w:ascii="仿宋_GB2312" w:hAnsi="仿宋_GB2312" w:eastAsia="仿宋_GB2312" w:cs="仿宋_GB2312"/>
          <w:kern w:val="0"/>
          <w:sz w:val="32"/>
          <w:szCs w:val="32"/>
          <w:highlight w:val="none"/>
          <w:lang w:eastAsia="zh-CN"/>
        </w:rPr>
        <w:t>长汀县</w:t>
      </w:r>
      <w:r>
        <w:rPr>
          <w:rFonts w:hint="eastAsia" w:ascii="仿宋_GB2312" w:hAnsi="仿宋_GB2312" w:eastAsia="仿宋_GB2312" w:cs="仿宋_GB2312"/>
          <w:kern w:val="0"/>
          <w:sz w:val="32"/>
          <w:szCs w:val="32"/>
          <w:highlight w:val="none"/>
        </w:rPr>
        <w:t>本级一般公共预算支出数为</w:t>
      </w:r>
      <w:r>
        <w:rPr>
          <w:rFonts w:hint="eastAsia" w:ascii="仿宋_GB2312" w:hAnsi="仿宋_GB2312" w:eastAsia="仿宋_GB2312" w:cs="仿宋_GB2312"/>
          <w:kern w:val="0"/>
          <w:sz w:val="32"/>
          <w:szCs w:val="32"/>
          <w:highlight w:val="none"/>
          <w:lang w:val="en-US" w:eastAsia="zh-CN"/>
        </w:rPr>
        <w:t>277200</w:t>
      </w:r>
      <w:r>
        <w:rPr>
          <w:rFonts w:hint="eastAsia" w:ascii="仿宋_GB2312" w:hAnsi="仿宋_GB2312" w:eastAsia="仿宋_GB2312" w:cs="仿宋_GB2312"/>
          <w:kern w:val="0"/>
          <w:sz w:val="32"/>
          <w:szCs w:val="32"/>
          <w:highlight w:val="none"/>
        </w:rPr>
        <w:t>万元，比</w:t>
      </w:r>
      <w:r>
        <w:rPr>
          <w:rFonts w:hint="eastAsia" w:ascii="仿宋_GB2312" w:hAnsi="仿宋_GB2312" w:eastAsia="仿宋_GB2312" w:cs="仿宋_GB2312"/>
          <w:kern w:val="0"/>
          <w:sz w:val="32"/>
          <w:szCs w:val="32"/>
          <w:highlight w:val="none"/>
          <w:lang w:val="en-US" w:eastAsia="zh-CN"/>
        </w:rPr>
        <w:t>2023</w:t>
      </w:r>
      <w:r>
        <w:rPr>
          <w:rFonts w:hint="eastAsia" w:ascii="仿宋_GB2312" w:hAnsi="仿宋_GB2312" w:eastAsia="仿宋_GB2312" w:cs="仿宋_GB2312"/>
          <w:kern w:val="0"/>
          <w:sz w:val="32"/>
          <w:szCs w:val="32"/>
          <w:highlight w:val="none"/>
        </w:rPr>
        <w:t>年度预算数</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143902</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34.2%</w:t>
      </w:r>
      <w:r>
        <w:rPr>
          <w:rFonts w:hint="eastAsia" w:ascii="仿宋_GB2312" w:hAnsi="仿宋_GB2312" w:eastAsia="仿宋_GB2312" w:cs="仿宋_GB2312"/>
          <w:kern w:val="0"/>
          <w:sz w:val="32"/>
          <w:szCs w:val="32"/>
          <w:highlight w:val="none"/>
        </w:rPr>
        <w:t>。具体情况如下：</w:t>
      </w:r>
    </w:p>
    <w:p>
      <w:pPr>
        <w:numPr>
          <w:ilvl w:val="0"/>
          <w:numId w:val="1"/>
        </w:numPr>
        <w:shd w:val="clea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eastAsia="zh-CN"/>
        </w:rPr>
        <w:t>一般公共服务支出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7080</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25.9</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主要原因是预算稳定调节基金及</w:t>
      </w:r>
      <w:r>
        <w:rPr>
          <w:rFonts w:hint="eastAsia" w:ascii="仿宋_GB2312" w:hAnsi="仿宋_GB2312" w:eastAsia="仿宋_GB2312" w:cs="仿宋_GB2312"/>
          <w:color w:val="auto"/>
          <w:kern w:val="0"/>
          <w:sz w:val="32"/>
          <w:szCs w:val="32"/>
          <w:highlight w:val="none"/>
          <w:lang w:eastAsia="zh-CN"/>
        </w:rPr>
        <w:t>上年结转资金预计减少，部分项目经费本年不再安排预算</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其中：</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人大事务支出科目，较上年预算数增加493万元，增长46.8%。主要原因是</w:t>
      </w:r>
      <w:r>
        <w:rPr>
          <w:rFonts w:hint="eastAsia" w:ascii="仿宋_GB2312" w:hAnsi="仿宋_GB2312" w:eastAsia="仿宋_GB2312" w:cs="仿宋_GB2312"/>
          <w:color w:val="auto"/>
          <w:kern w:val="0"/>
          <w:sz w:val="32"/>
          <w:szCs w:val="32"/>
          <w:highlight w:val="none"/>
          <w:lang w:eastAsia="zh-CN"/>
        </w:rPr>
        <w:t>人员经费</w:t>
      </w:r>
      <w:r>
        <w:rPr>
          <w:rFonts w:hint="eastAsia" w:ascii="仿宋_GB2312" w:hAnsi="仿宋_GB2312" w:eastAsia="仿宋_GB2312" w:cs="仿宋_GB2312"/>
          <w:kern w:val="0"/>
          <w:sz w:val="32"/>
          <w:szCs w:val="32"/>
          <w:highlight w:val="none"/>
          <w:lang w:val="en-US" w:eastAsia="zh-CN"/>
        </w:rPr>
        <w:t>增加</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政协事务支出科目，较上年预算数增加10万元，增长1.2%。</w:t>
      </w:r>
    </w:p>
    <w:p>
      <w:pPr>
        <w:numPr>
          <w:ilvl w:val="0"/>
          <w:numId w:val="2"/>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政府办公厅（室）及相关机构事务支出科目，</w:t>
      </w:r>
      <w:r>
        <w:rPr>
          <w:rFonts w:hint="eastAsia" w:ascii="仿宋_GB2312" w:hAnsi="仿宋_GB2312" w:eastAsia="仿宋_GB2312" w:cs="仿宋_GB2312"/>
          <w:kern w:val="0"/>
          <w:sz w:val="32"/>
          <w:szCs w:val="32"/>
          <w:highlight w:val="none"/>
          <w:lang w:val="en-US" w:eastAsia="zh-CN"/>
        </w:rPr>
        <w:t>较上年预算数增加45万元，增长2%</w:t>
      </w:r>
      <w:r>
        <w:rPr>
          <w:rFonts w:hint="eastAsia" w:ascii="仿宋_GB2312" w:hAnsi="仿宋_GB2312" w:eastAsia="仿宋_GB2312" w:cs="仿宋_GB2312"/>
          <w:color w:val="auto"/>
          <w:kern w:val="0"/>
          <w:sz w:val="32"/>
          <w:szCs w:val="32"/>
          <w:highlight w:val="none"/>
          <w:lang w:eastAsia="zh-CN"/>
        </w:rPr>
        <w:t>。</w:t>
      </w:r>
    </w:p>
    <w:p>
      <w:pPr>
        <w:numPr>
          <w:ilvl w:val="0"/>
          <w:numId w:val="2"/>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发展与改革事务支出科目，较上年预算数减少4564万元，下降83.2%</w:t>
      </w:r>
      <w:r>
        <w:rPr>
          <w:rFonts w:hint="eastAsia" w:ascii="仿宋_GB2312" w:hAnsi="仿宋_GB2312" w:eastAsia="仿宋_GB2312" w:cs="仿宋_GB2312"/>
          <w:kern w:val="0"/>
          <w:sz w:val="32"/>
          <w:szCs w:val="32"/>
          <w:highlight w:val="none"/>
          <w:lang w:val="en-US" w:eastAsia="zh-CN"/>
        </w:rPr>
        <w:t>，主要原因是</w:t>
      </w:r>
      <w:r>
        <w:rPr>
          <w:rFonts w:hint="eastAsia" w:ascii="仿宋_GB2312" w:hAnsi="仿宋_GB2312" w:eastAsia="仿宋_GB2312" w:cs="仿宋_GB2312"/>
          <w:kern w:val="0"/>
          <w:sz w:val="32"/>
          <w:szCs w:val="32"/>
          <w:highlight w:val="none"/>
          <w:lang w:eastAsia="zh-CN"/>
        </w:rPr>
        <w:t>预算稳定调节基金及</w:t>
      </w:r>
      <w:r>
        <w:rPr>
          <w:rFonts w:hint="eastAsia" w:ascii="仿宋_GB2312" w:hAnsi="仿宋_GB2312" w:eastAsia="仿宋_GB2312" w:cs="仿宋_GB2312"/>
          <w:color w:val="auto"/>
          <w:kern w:val="0"/>
          <w:sz w:val="32"/>
          <w:szCs w:val="32"/>
          <w:highlight w:val="none"/>
          <w:lang w:eastAsia="zh-CN"/>
        </w:rPr>
        <w:t>上年结转资金预计减少，部分项目经费本年不再安排预算。</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统计信息事务支出科目，较上年预算数减少171万元，下降24.6%。</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财政事务支出科目，较上年预算数增加56万元，增长3.7%</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税收事务支出科目，与上年持平。</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审计事务支出科目，较上年预算数减少38万元，下降7.3%</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纪检监察事务支出科目，较上年预算数增加84万元，增长4.7%</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商贸事务支出科目，较上年预算数减少45万元，下降3.7%</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港澳台事务支出科目，与上年持平</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档案事务支出科目，，较上年预算数减少364万元，下降65.5%。主要原</w:t>
      </w:r>
      <w:r>
        <w:rPr>
          <w:rFonts w:hint="eastAsia" w:ascii="仿宋_GB2312" w:hAnsi="仿宋_GB2312" w:eastAsia="仿宋_GB2312" w:cs="仿宋_GB2312"/>
          <w:color w:val="auto"/>
          <w:kern w:val="0"/>
          <w:sz w:val="32"/>
          <w:szCs w:val="32"/>
          <w:highlight w:val="none"/>
          <w:lang w:val="en-US" w:eastAsia="zh-CN"/>
        </w:rPr>
        <w:t>因是</w:t>
      </w:r>
      <w:r>
        <w:rPr>
          <w:rFonts w:hint="eastAsia" w:ascii="仿宋_GB2312" w:hAnsi="仿宋_GB2312" w:eastAsia="仿宋_GB2312" w:cs="仿宋_GB2312"/>
          <w:kern w:val="0"/>
          <w:sz w:val="32"/>
          <w:szCs w:val="32"/>
          <w:highlight w:val="none"/>
          <w:lang w:eastAsia="zh-CN"/>
        </w:rPr>
        <w:t>预算稳定调节基金及</w:t>
      </w:r>
      <w:r>
        <w:rPr>
          <w:rFonts w:hint="eastAsia" w:ascii="仿宋_GB2312" w:hAnsi="仿宋_GB2312" w:eastAsia="仿宋_GB2312" w:cs="仿宋_GB2312"/>
          <w:color w:val="auto"/>
          <w:kern w:val="0"/>
          <w:sz w:val="32"/>
          <w:szCs w:val="32"/>
          <w:highlight w:val="none"/>
          <w:lang w:eastAsia="zh-CN"/>
        </w:rPr>
        <w:t>上年结转资金预计减少</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民主党派及工商联事务支出科目，较上年预算数增加13万元，增长19.4%</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群众团体事务支出科目，较上年预算数减少193万元，下降24.8%。主要原</w:t>
      </w:r>
      <w:r>
        <w:rPr>
          <w:rFonts w:hint="eastAsia" w:ascii="仿宋_GB2312" w:hAnsi="仿宋_GB2312" w:eastAsia="仿宋_GB2312" w:cs="仿宋_GB2312"/>
          <w:color w:val="auto"/>
          <w:kern w:val="0"/>
          <w:sz w:val="32"/>
          <w:szCs w:val="32"/>
          <w:highlight w:val="none"/>
          <w:lang w:val="en-US" w:eastAsia="zh-CN"/>
        </w:rPr>
        <w:t>因是</w:t>
      </w:r>
      <w:r>
        <w:rPr>
          <w:rFonts w:hint="eastAsia" w:ascii="仿宋_GB2312" w:hAnsi="仿宋_GB2312" w:eastAsia="仿宋_GB2312" w:cs="仿宋_GB2312"/>
          <w:kern w:val="0"/>
          <w:sz w:val="32"/>
          <w:szCs w:val="32"/>
          <w:highlight w:val="none"/>
          <w:lang w:eastAsia="zh-CN"/>
        </w:rPr>
        <w:t>预算稳定调节基金及</w:t>
      </w:r>
      <w:r>
        <w:rPr>
          <w:rFonts w:hint="eastAsia" w:ascii="仿宋_GB2312" w:hAnsi="仿宋_GB2312" w:eastAsia="仿宋_GB2312" w:cs="仿宋_GB2312"/>
          <w:color w:val="auto"/>
          <w:kern w:val="0"/>
          <w:sz w:val="32"/>
          <w:szCs w:val="32"/>
          <w:highlight w:val="none"/>
          <w:lang w:eastAsia="zh-CN"/>
        </w:rPr>
        <w:t>上年结转资金预计减少</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党委办公厅（室）及相关机构事务支出科目</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较上年预算数减少2084万元，下降45.3%</w:t>
      </w:r>
      <w:r>
        <w:rPr>
          <w:rFonts w:hint="eastAsia" w:ascii="仿宋_GB2312" w:hAnsi="仿宋_GB2312" w:eastAsia="仿宋_GB2312" w:cs="仿宋_GB2312"/>
          <w:kern w:val="0"/>
          <w:sz w:val="32"/>
          <w:szCs w:val="32"/>
          <w:highlight w:val="none"/>
          <w:lang w:val="en-US" w:eastAsia="zh-CN"/>
        </w:rPr>
        <w:t>，主要原因是</w:t>
      </w:r>
      <w:r>
        <w:rPr>
          <w:rFonts w:hint="eastAsia" w:ascii="仿宋_GB2312" w:hAnsi="仿宋_GB2312" w:eastAsia="仿宋_GB2312" w:cs="仿宋_GB2312"/>
          <w:kern w:val="0"/>
          <w:sz w:val="32"/>
          <w:szCs w:val="32"/>
          <w:highlight w:val="none"/>
          <w:lang w:eastAsia="zh-CN"/>
        </w:rPr>
        <w:t>预算稳定调节基金及</w:t>
      </w:r>
      <w:r>
        <w:rPr>
          <w:rFonts w:hint="eastAsia" w:ascii="仿宋_GB2312" w:hAnsi="仿宋_GB2312" w:eastAsia="仿宋_GB2312" w:cs="仿宋_GB2312"/>
          <w:color w:val="auto"/>
          <w:kern w:val="0"/>
          <w:sz w:val="32"/>
          <w:szCs w:val="32"/>
          <w:highlight w:val="none"/>
          <w:lang w:eastAsia="zh-CN"/>
        </w:rPr>
        <w:t>上年结转资金预计减少，部分项目经费本年不再安排预算</w:t>
      </w:r>
      <w:r>
        <w:rPr>
          <w:rFonts w:hint="eastAsia" w:ascii="仿宋_GB2312" w:hAnsi="仿宋_GB2312" w:eastAsia="仿宋_GB2312" w:cs="仿宋_GB2312"/>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组织事务支出</w:t>
      </w:r>
      <w:r>
        <w:rPr>
          <w:rFonts w:hint="eastAsia" w:ascii="仿宋_GB2312" w:hAnsi="仿宋_GB2312" w:eastAsia="仿宋_GB2312" w:cs="仿宋_GB2312"/>
          <w:color w:val="auto"/>
          <w:kern w:val="0"/>
          <w:sz w:val="32"/>
          <w:szCs w:val="32"/>
          <w:highlight w:val="none"/>
          <w:lang w:val="en-US" w:eastAsia="zh-CN"/>
        </w:rPr>
        <w:t>科目</w:t>
      </w:r>
      <w:r>
        <w:rPr>
          <w:rFonts w:hint="eastAsia" w:ascii="仿宋_GB2312" w:hAnsi="仿宋_GB2312" w:eastAsia="仿宋_GB2312" w:cs="仿宋_GB2312"/>
          <w:kern w:val="0"/>
          <w:sz w:val="32"/>
          <w:szCs w:val="32"/>
          <w:highlight w:val="none"/>
          <w:lang w:val="en-US" w:eastAsia="zh-CN"/>
        </w:rPr>
        <w:t>，较上年预算数减少684万元，下降41.1%。主要原</w:t>
      </w:r>
      <w:r>
        <w:rPr>
          <w:rFonts w:hint="eastAsia" w:ascii="仿宋_GB2312" w:hAnsi="仿宋_GB2312" w:eastAsia="仿宋_GB2312" w:cs="仿宋_GB2312"/>
          <w:color w:val="auto"/>
          <w:kern w:val="0"/>
          <w:sz w:val="32"/>
          <w:szCs w:val="32"/>
          <w:highlight w:val="none"/>
          <w:lang w:val="en-US" w:eastAsia="zh-CN"/>
        </w:rPr>
        <w:t>因是</w:t>
      </w:r>
      <w:r>
        <w:rPr>
          <w:rFonts w:hint="eastAsia" w:ascii="仿宋_GB2312" w:hAnsi="仿宋_GB2312" w:eastAsia="仿宋_GB2312" w:cs="仿宋_GB2312"/>
          <w:kern w:val="0"/>
          <w:sz w:val="32"/>
          <w:szCs w:val="32"/>
          <w:highlight w:val="none"/>
          <w:lang w:eastAsia="zh-CN"/>
        </w:rPr>
        <w:t>预算稳定调节基金及</w:t>
      </w:r>
      <w:r>
        <w:rPr>
          <w:rFonts w:hint="eastAsia" w:ascii="仿宋_GB2312" w:hAnsi="仿宋_GB2312" w:eastAsia="仿宋_GB2312" w:cs="仿宋_GB2312"/>
          <w:color w:val="auto"/>
          <w:kern w:val="0"/>
          <w:sz w:val="32"/>
          <w:szCs w:val="32"/>
          <w:highlight w:val="none"/>
          <w:lang w:eastAsia="zh-CN"/>
        </w:rPr>
        <w:t>上年结转资金预计减少</w:t>
      </w:r>
      <w:r>
        <w:rPr>
          <w:rFonts w:hint="eastAsia" w:ascii="仿宋_GB2312" w:hAnsi="仿宋_GB2312" w:eastAsia="仿宋_GB2312" w:cs="仿宋_GB2312"/>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宣传事务支出科目，较上年预算数增加29万元，增长7.7%</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统战事务支出科目，较上年预算数减少13万元，下降5.1%</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其他共产党事务支出科目，较上年预算数减少30万元，下降16.3%。</w:t>
      </w:r>
    </w:p>
    <w:p>
      <w:pPr>
        <w:numPr>
          <w:ilvl w:val="0"/>
          <w:numId w:val="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市场监督管理事务支出科目，较上年预算数增加376万元，增长21.6%。主要</w:t>
      </w:r>
      <w:r>
        <w:rPr>
          <w:rFonts w:hint="eastAsia" w:ascii="仿宋_GB2312" w:hAnsi="仿宋_GB2312" w:eastAsia="仿宋_GB2312" w:cs="仿宋_GB2312"/>
          <w:color w:val="auto"/>
          <w:kern w:val="0"/>
          <w:sz w:val="32"/>
          <w:szCs w:val="32"/>
          <w:highlight w:val="none"/>
          <w:lang w:val="en-US" w:eastAsia="zh-CN"/>
        </w:rPr>
        <w:t>原因是</w:t>
      </w:r>
      <w:r>
        <w:rPr>
          <w:rFonts w:hint="eastAsia" w:ascii="仿宋_GB2312" w:hAnsi="仿宋_GB2312" w:eastAsia="仿宋_GB2312" w:cs="仿宋_GB2312"/>
          <w:kern w:val="0"/>
          <w:sz w:val="32"/>
          <w:szCs w:val="32"/>
          <w:highlight w:val="none"/>
          <w:lang w:val="en-US" w:eastAsia="zh-CN"/>
        </w:rPr>
        <w:t>人员经费增加。</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国防支出科目，较上年预算数减少2万元，下降0.7%。</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公共安全支出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w:t>
      </w:r>
      <w:r>
        <w:rPr>
          <w:rFonts w:hint="eastAsia" w:ascii="仿宋_GB2312" w:hAnsi="仿宋_GB2312" w:eastAsia="仿宋_GB2312" w:cs="仿宋_GB2312"/>
          <w:kern w:val="0"/>
          <w:sz w:val="32"/>
          <w:szCs w:val="32"/>
          <w:highlight w:val="none"/>
        </w:rPr>
        <w:t>增加</w:t>
      </w:r>
      <w:r>
        <w:rPr>
          <w:rFonts w:hint="eastAsia" w:ascii="仿宋_GB2312" w:hAnsi="仿宋_GB2312" w:eastAsia="仿宋_GB2312" w:cs="仿宋_GB2312"/>
          <w:kern w:val="0"/>
          <w:sz w:val="32"/>
          <w:szCs w:val="32"/>
          <w:highlight w:val="none"/>
          <w:lang w:val="en-US" w:eastAsia="zh-CN"/>
        </w:rPr>
        <w:t>1048</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7.6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人员经费增加</w:t>
      </w:r>
      <w:r>
        <w:rPr>
          <w:rFonts w:hint="eastAsia" w:ascii="仿宋_GB2312" w:hAnsi="仿宋_GB2312" w:eastAsia="仿宋_GB2312" w:cs="仿宋_GB2312"/>
          <w:kern w:val="0"/>
          <w:sz w:val="32"/>
          <w:szCs w:val="32"/>
          <w:highlight w:val="none"/>
        </w:rPr>
        <w:t>。</w:t>
      </w:r>
    </w:p>
    <w:p>
      <w:pPr>
        <w:numPr>
          <w:ilvl w:val="0"/>
          <w:numId w:val="3"/>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武装警察部队</w:t>
      </w:r>
      <w:r>
        <w:rPr>
          <w:rFonts w:hint="eastAsia" w:ascii="仿宋_GB2312" w:hAnsi="仿宋_GB2312" w:eastAsia="仿宋_GB2312" w:cs="仿宋_GB2312"/>
          <w:kern w:val="0"/>
          <w:sz w:val="32"/>
          <w:szCs w:val="32"/>
          <w:highlight w:val="none"/>
          <w:lang w:val="en-US" w:eastAsia="zh-CN"/>
        </w:rPr>
        <w:t>支出科目，较上年预算数减少38万元，下降100%。主要原因是取消了武警中队工作经费。</w:t>
      </w:r>
    </w:p>
    <w:p>
      <w:pPr>
        <w:numPr>
          <w:ilvl w:val="0"/>
          <w:numId w:val="3"/>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公安支出科目，较上年预算数增加763万元，增长6.1%。主要原因是人员经费增加。</w:t>
      </w:r>
    </w:p>
    <w:p>
      <w:pPr>
        <w:numPr>
          <w:ilvl w:val="0"/>
          <w:numId w:val="3"/>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司法支出科目，较上年预算数增加213万元，增长17.6%。主要原因是</w:t>
      </w:r>
      <w:r>
        <w:rPr>
          <w:rFonts w:hint="eastAsia" w:ascii="仿宋_GB2312" w:hAnsi="仿宋_GB2312" w:eastAsia="仿宋_GB2312" w:cs="仿宋_GB2312"/>
          <w:color w:val="auto"/>
          <w:kern w:val="0"/>
          <w:sz w:val="32"/>
          <w:szCs w:val="32"/>
          <w:highlight w:val="none"/>
          <w:lang w:eastAsia="zh-CN"/>
        </w:rPr>
        <w:t>安置帮教协理员工资支出和</w:t>
      </w:r>
      <w:r>
        <w:rPr>
          <w:rFonts w:hint="eastAsia" w:ascii="仿宋_GB2312" w:hAnsi="仿宋_GB2312" w:eastAsia="仿宋_GB2312" w:cs="仿宋_GB2312"/>
          <w:kern w:val="0"/>
          <w:sz w:val="32"/>
          <w:szCs w:val="32"/>
          <w:highlight w:val="none"/>
          <w:lang w:val="en-US" w:eastAsia="zh-CN"/>
        </w:rPr>
        <w:t>人员经费增加</w:t>
      </w:r>
      <w:r>
        <w:rPr>
          <w:rFonts w:hint="eastAsia" w:ascii="仿宋_GB2312" w:hAnsi="仿宋_GB2312" w:eastAsia="仿宋_GB2312" w:cs="仿宋_GB2312"/>
          <w:color w:val="auto"/>
          <w:kern w:val="0"/>
          <w:sz w:val="32"/>
          <w:szCs w:val="32"/>
          <w:highlight w:val="none"/>
          <w:lang w:eastAsia="zh-CN"/>
        </w:rPr>
        <w:t>。</w:t>
      </w:r>
    </w:p>
    <w:p>
      <w:pPr>
        <w:numPr>
          <w:ilvl w:val="0"/>
          <w:numId w:val="3"/>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其他公共安全支出科目，较上年预算数增加110万元（上年无此项）。主要原因是上级</w:t>
      </w:r>
      <w:r>
        <w:rPr>
          <w:rFonts w:hint="eastAsia" w:ascii="仿宋_GB2312" w:hAnsi="仿宋_GB2312" w:eastAsia="仿宋_GB2312" w:cs="仿宋_GB2312"/>
          <w:color w:val="auto"/>
          <w:kern w:val="0"/>
          <w:sz w:val="32"/>
          <w:szCs w:val="32"/>
          <w:highlight w:val="none"/>
          <w:lang w:eastAsia="zh-CN"/>
        </w:rPr>
        <w:t>转移支付新增该项</w:t>
      </w:r>
      <w:r>
        <w:rPr>
          <w:rFonts w:hint="eastAsia" w:ascii="仿宋_GB2312" w:hAnsi="仿宋_GB2312" w:eastAsia="仿宋_GB2312" w:cs="仿宋_GB2312"/>
          <w:kern w:val="0"/>
          <w:sz w:val="32"/>
          <w:szCs w:val="32"/>
          <w:highlight w:val="none"/>
          <w:lang w:val="en-US" w:eastAsia="zh-CN"/>
        </w:rPr>
        <w:t>。</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教育支出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9174</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9.1</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主要原因是预算稳定调节基金及</w:t>
      </w:r>
      <w:r>
        <w:rPr>
          <w:rFonts w:hint="eastAsia" w:ascii="仿宋_GB2312" w:hAnsi="仿宋_GB2312" w:eastAsia="仿宋_GB2312" w:cs="仿宋_GB2312"/>
          <w:color w:val="auto"/>
          <w:kern w:val="0"/>
          <w:sz w:val="32"/>
          <w:szCs w:val="32"/>
          <w:highlight w:val="none"/>
          <w:lang w:eastAsia="zh-CN"/>
        </w:rPr>
        <w:t>上年结转资金预计减少，部分项目经费本年不再安排预算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4"/>
        </w:numPr>
        <w:shd w:val="clea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教育管理事务支出科目，较上年预算数减少18533万元，下降97%。</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原因一是规范津补贴后相关支出调整至普通教育支出科目安排，二是</w:t>
      </w:r>
      <w:r>
        <w:rPr>
          <w:rFonts w:hint="eastAsia" w:ascii="仿宋_GB2312" w:hAnsi="仿宋_GB2312" w:eastAsia="仿宋_GB2312" w:cs="仿宋_GB2312"/>
          <w:color w:val="auto"/>
          <w:kern w:val="0"/>
          <w:sz w:val="32"/>
          <w:szCs w:val="32"/>
          <w:highlight w:val="none"/>
          <w:lang w:eastAsia="zh-CN"/>
        </w:rPr>
        <w:t>部分项目经费本年不再安排预算</w:t>
      </w:r>
      <w:r>
        <w:rPr>
          <w:rFonts w:hint="eastAsia" w:ascii="仿宋_GB2312" w:hAnsi="仿宋_GB2312" w:eastAsia="仿宋_GB2312" w:cs="仿宋_GB2312"/>
          <w:kern w:val="0"/>
          <w:sz w:val="32"/>
          <w:szCs w:val="32"/>
          <w:highlight w:val="none"/>
          <w:lang w:val="en-US" w:eastAsia="zh-CN"/>
        </w:rPr>
        <w:t>。</w:t>
      </w:r>
    </w:p>
    <w:p>
      <w:pPr>
        <w:numPr>
          <w:ilvl w:val="0"/>
          <w:numId w:val="4"/>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普通教育支出科目，较上年预算数增加9748万元，增长13%。</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原因是人员经费增加（规范津补贴后相关支出科目调整至此科目）</w:t>
      </w:r>
      <w:r>
        <w:rPr>
          <w:rFonts w:hint="eastAsia" w:ascii="仿宋_GB2312" w:hAnsi="仿宋_GB2312" w:eastAsia="仿宋_GB2312" w:cs="仿宋_GB2312"/>
          <w:color w:val="auto"/>
          <w:kern w:val="0"/>
          <w:sz w:val="32"/>
          <w:szCs w:val="32"/>
          <w:highlight w:val="none"/>
          <w:lang w:eastAsia="zh-CN"/>
        </w:rPr>
        <w:t>。</w:t>
      </w:r>
    </w:p>
    <w:p>
      <w:pPr>
        <w:numPr>
          <w:ilvl w:val="0"/>
          <w:numId w:val="4"/>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职业教育支出科目，较上年预算数减少966万元，下降31.2%。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部分项目经费本年不再安排预算</w:t>
      </w:r>
      <w:r>
        <w:rPr>
          <w:rFonts w:hint="eastAsia" w:ascii="仿宋_GB2312" w:hAnsi="仿宋_GB2312" w:eastAsia="仿宋_GB2312" w:cs="仿宋_GB2312"/>
          <w:kern w:val="0"/>
          <w:sz w:val="32"/>
          <w:szCs w:val="32"/>
          <w:highlight w:val="none"/>
          <w:lang w:eastAsia="zh-CN"/>
        </w:rPr>
        <w:t>。</w:t>
      </w:r>
    </w:p>
    <w:p>
      <w:pPr>
        <w:numPr>
          <w:ilvl w:val="0"/>
          <w:numId w:val="4"/>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广播电视教育支出科目，较上年预算数减少9万元，下降10.5%</w:t>
      </w:r>
      <w:r>
        <w:rPr>
          <w:rFonts w:hint="eastAsia" w:ascii="仿宋_GB2312" w:hAnsi="仿宋_GB2312" w:eastAsia="仿宋_GB2312" w:cs="仿宋_GB2312"/>
          <w:kern w:val="0"/>
          <w:sz w:val="32"/>
          <w:szCs w:val="32"/>
          <w:highlight w:val="none"/>
          <w:lang w:eastAsia="zh-CN"/>
        </w:rPr>
        <w:t>。</w:t>
      </w:r>
    </w:p>
    <w:p>
      <w:pPr>
        <w:numPr>
          <w:ilvl w:val="0"/>
          <w:numId w:val="4"/>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特殊教育支出科目，较上年预算数减少52万元，下降10.7%</w:t>
      </w:r>
      <w:r>
        <w:rPr>
          <w:rFonts w:hint="eastAsia" w:ascii="仿宋_GB2312" w:hAnsi="仿宋_GB2312" w:eastAsia="仿宋_GB2312" w:cs="仿宋_GB2312"/>
          <w:kern w:val="0"/>
          <w:sz w:val="32"/>
          <w:szCs w:val="32"/>
          <w:highlight w:val="none"/>
          <w:lang w:eastAsia="zh-CN"/>
        </w:rPr>
        <w:t>。</w:t>
      </w:r>
    </w:p>
    <w:p>
      <w:pPr>
        <w:numPr>
          <w:ilvl w:val="0"/>
          <w:numId w:val="4"/>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进修及培训支出科目，较上年预算数增加23万元，增长3%。</w:t>
      </w:r>
    </w:p>
    <w:p>
      <w:pPr>
        <w:numPr>
          <w:ilvl w:val="0"/>
          <w:numId w:val="4"/>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教育费附加安排的支出科目，较上年预算数减少201万元，下降12.6%。</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部分项目经费本年不再安排预算。</w:t>
      </w:r>
    </w:p>
    <w:p>
      <w:pPr>
        <w:numPr>
          <w:ilvl w:val="0"/>
          <w:numId w:val="4"/>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其他教育支出科目，较上年预算数增加816万元，增长304%。</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原因是该科目</w:t>
      </w:r>
      <w:r>
        <w:rPr>
          <w:rFonts w:hint="eastAsia" w:ascii="仿宋_GB2312" w:hAnsi="仿宋_GB2312" w:eastAsia="仿宋_GB2312" w:cs="仿宋_GB2312"/>
          <w:color w:val="auto"/>
          <w:kern w:val="0"/>
          <w:sz w:val="32"/>
          <w:szCs w:val="32"/>
          <w:highlight w:val="none"/>
          <w:lang w:eastAsia="zh-CN"/>
        </w:rPr>
        <w:t>上级转移支付增加。</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科学技术支出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12628</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98</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w:t>
      </w:r>
      <w:r>
        <w:rPr>
          <w:rFonts w:hint="eastAsia" w:ascii="仿宋_GB2312" w:hAnsi="仿宋_GB2312" w:eastAsia="仿宋_GB2312" w:cs="仿宋_GB2312"/>
          <w:color w:val="auto"/>
          <w:kern w:val="0"/>
          <w:sz w:val="32"/>
          <w:szCs w:val="32"/>
          <w:highlight w:val="none"/>
          <w:lang w:eastAsia="zh-CN"/>
        </w:rPr>
        <w:t>上级转移支付减少</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5"/>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科学技术管理事务支出科目，较上年预算数减少20万元，下降17.5%</w:t>
      </w:r>
      <w:r>
        <w:rPr>
          <w:rFonts w:hint="eastAsia" w:ascii="仿宋_GB2312" w:hAnsi="仿宋_GB2312" w:eastAsia="仿宋_GB2312" w:cs="仿宋_GB2312"/>
          <w:kern w:val="0"/>
          <w:sz w:val="32"/>
          <w:szCs w:val="32"/>
          <w:highlight w:val="none"/>
          <w:lang w:eastAsia="zh-CN"/>
        </w:rPr>
        <w:t>。</w:t>
      </w:r>
    </w:p>
    <w:p>
      <w:pPr>
        <w:numPr>
          <w:ilvl w:val="0"/>
          <w:numId w:val="5"/>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基础研究支出科目，较上年预算数减少8万元，下降4.6%</w:t>
      </w:r>
      <w:r>
        <w:rPr>
          <w:rFonts w:hint="eastAsia" w:ascii="仿宋_GB2312" w:hAnsi="仿宋_GB2312" w:eastAsia="仿宋_GB2312" w:cs="仿宋_GB2312"/>
          <w:kern w:val="0"/>
          <w:sz w:val="32"/>
          <w:szCs w:val="32"/>
          <w:highlight w:val="none"/>
          <w:lang w:eastAsia="zh-CN"/>
        </w:rPr>
        <w:t>。</w:t>
      </w:r>
    </w:p>
    <w:p>
      <w:pPr>
        <w:numPr>
          <w:ilvl w:val="0"/>
          <w:numId w:val="5"/>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技术研究与开发支出科目，较上年预算数减少1000万元，下降100%。</w:t>
      </w:r>
      <w:r>
        <w:rPr>
          <w:rFonts w:hint="eastAsia" w:ascii="仿宋_GB2312" w:hAnsi="仿宋_GB2312" w:eastAsia="仿宋_GB2312" w:cs="仿宋_GB2312"/>
          <w:color w:val="auto"/>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上级转移支付减少。</w:t>
      </w:r>
    </w:p>
    <w:p>
      <w:pPr>
        <w:numPr>
          <w:ilvl w:val="0"/>
          <w:numId w:val="5"/>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其他科学技术支出科目，较上年预算数减少11600万元，下降100%。</w:t>
      </w:r>
      <w:r>
        <w:rPr>
          <w:rFonts w:hint="eastAsia" w:ascii="仿宋_GB2312" w:hAnsi="仿宋_GB2312" w:eastAsia="仿宋_GB2312" w:cs="仿宋_GB2312"/>
          <w:color w:val="auto"/>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上级转移支付减少。</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文化旅游体育与传媒支出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6367</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67</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主要原因是预算稳定调节基金及</w:t>
      </w:r>
      <w:r>
        <w:rPr>
          <w:rFonts w:hint="eastAsia" w:ascii="仿宋_GB2312" w:hAnsi="仿宋_GB2312" w:eastAsia="仿宋_GB2312" w:cs="仿宋_GB2312"/>
          <w:color w:val="auto"/>
          <w:kern w:val="0"/>
          <w:sz w:val="32"/>
          <w:szCs w:val="32"/>
          <w:highlight w:val="none"/>
          <w:lang w:eastAsia="zh-CN"/>
        </w:rPr>
        <w:t>上年结转资金预计减少，部分项目经费本年不再安排预算。</w:t>
      </w:r>
      <w:r>
        <w:rPr>
          <w:rFonts w:hint="eastAsia" w:ascii="仿宋_GB2312" w:hAnsi="仿宋_GB2312" w:eastAsia="仿宋_GB2312" w:cs="仿宋_GB2312"/>
          <w:kern w:val="0"/>
          <w:sz w:val="32"/>
          <w:szCs w:val="32"/>
          <w:highlight w:val="none"/>
          <w:lang w:val="en-US" w:eastAsia="zh-CN"/>
        </w:rPr>
        <w:t>其中：</w:t>
      </w:r>
    </w:p>
    <w:p>
      <w:pPr>
        <w:numPr>
          <w:ilvl w:val="0"/>
          <w:numId w:val="6"/>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文化和旅游支出科目，较上年预算数减少4414万元，下降100%。</w:t>
      </w:r>
      <w:r>
        <w:rPr>
          <w:rFonts w:hint="eastAsia" w:ascii="仿宋_GB2312" w:hAnsi="仿宋_GB2312" w:eastAsia="仿宋_GB2312" w:cs="仿宋_GB2312"/>
          <w:color w:val="auto"/>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kern w:val="0"/>
          <w:sz w:val="32"/>
          <w:szCs w:val="32"/>
          <w:highlight w:val="none"/>
          <w:lang w:eastAsia="zh-CN"/>
        </w:rPr>
        <w:t>预算稳定调节基金及</w:t>
      </w:r>
      <w:r>
        <w:rPr>
          <w:rFonts w:hint="eastAsia" w:ascii="仿宋_GB2312" w:hAnsi="仿宋_GB2312" w:eastAsia="仿宋_GB2312" w:cs="仿宋_GB2312"/>
          <w:color w:val="auto"/>
          <w:kern w:val="0"/>
          <w:sz w:val="32"/>
          <w:szCs w:val="32"/>
          <w:highlight w:val="none"/>
          <w:lang w:eastAsia="zh-CN"/>
        </w:rPr>
        <w:t>上年结转资金预计减少，部分项目经费本年不再安排预算。</w:t>
      </w:r>
    </w:p>
    <w:p>
      <w:pPr>
        <w:numPr>
          <w:ilvl w:val="0"/>
          <w:numId w:val="6"/>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文物支出科目，较上年预算数减少667万元，下降52.1%。</w:t>
      </w:r>
      <w:r>
        <w:rPr>
          <w:rFonts w:hint="eastAsia" w:ascii="仿宋_GB2312" w:hAnsi="仿宋_GB2312" w:eastAsia="仿宋_GB2312" w:cs="仿宋_GB2312"/>
          <w:color w:val="auto"/>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kern w:val="0"/>
          <w:sz w:val="32"/>
          <w:szCs w:val="32"/>
          <w:highlight w:val="none"/>
          <w:lang w:eastAsia="zh-CN"/>
        </w:rPr>
        <w:t>预算稳定调节基金及</w:t>
      </w:r>
      <w:r>
        <w:rPr>
          <w:rFonts w:hint="eastAsia" w:ascii="仿宋_GB2312" w:hAnsi="仿宋_GB2312" w:eastAsia="仿宋_GB2312" w:cs="仿宋_GB2312"/>
          <w:color w:val="auto"/>
          <w:kern w:val="0"/>
          <w:sz w:val="32"/>
          <w:szCs w:val="32"/>
          <w:highlight w:val="none"/>
          <w:lang w:eastAsia="zh-CN"/>
        </w:rPr>
        <w:t>上年结转资金预计减少，部分项目经费本年不再安排预算</w:t>
      </w:r>
      <w:r>
        <w:rPr>
          <w:rFonts w:hint="eastAsia" w:ascii="仿宋_GB2312" w:hAnsi="仿宋_GB2312" w:eastAsia="仿宋_GB2312" w:cs="仿宋_GB2312"/>
          <w:kern w:val="0"/>
          <w:sz w:val="32"/>
          <w:szCs w:val="32"/>
          <w:highlight w:val="none"/>
          <w:lang w:val="en-US" w:eastAsia="zh-CN"/>
        </w:rPr>
        <w:t>。</w:t>
      </w:r>
    </w:p>
    <w:p>
      <w:pPr>
        <w:numPr>
          <w:ilvl w:val="0"/>
          <w:numId w:val="6"/>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体育支出科目，较上年预算数减少48万元，下降24.9%。</w:t>
      </w:r>
    </w:p>
    <w:p>
      <w:pPr>
        <w:numPr>
          <w:ilvl w:val="0"/>
          <w:numId w:val="6"/>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新闻出版电影支出科目，支出与上年持平。</w:t>
      </w:r>
    </w:p>
    <w:p>
      <w:pPr>
        <w:numPr>
          <w:ilvl w:val="0"/>
          <w:numId w:val="6"/>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广播电视支出科目，较上年预算数减少33万元，下降5.2%。</w:t>
      </w:r>
    </w:p>
    <w:p>
      <w:pPr>
        <w:numPr>
          <w:ilvl w:val="0"/>
          <w:numId w:val="6"/>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其他文化体育与传媒支出科目，较上年预算数减少1205万元，下降92.7%。</w:t>
      </w:r>
      <w:r>
        <w:rPr>
          <w:rFonts w:hint="eastAsia" w:ascii="仿宋_GB2312" w:hAnsi="仿宋_GB2312" w:eastAsia="仿宋_GB2312" w:cs="仿宋_GB2312"/>
          <w:color w:val="auto"/>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上级转移支付减少</w:t>
      </w:r>
      <w:r>
        <w:rPr>
          <w:rFonts w:hint="eastAsia" w:ascii="仿宋_GB2312" w:hAnsi="仿宋_GB2312" w:eastAsia="仿宋_GB2312" w:cs="仿宋_GB2312"/>
          <w:kern w:val="0"/>
          <w:sz w:val="32"/>
          <w:szCs w:val="32"/>
          <w:highlight w:val="none"/>
          <w:lang w:eastAsia="zh-CN"/>
        </w:rPr>
        <w:t>。</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社会保障和就业支出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28638</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36.8</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主要原因是预算稳定调节基金和</w:t>
      </w:r>
      <w:r>
        <w:rPr>
          <w:rFonts w:hint="eastAsia" w:ascii="仿宋_GB2312" w:hAnsi="仿宋_GB2312" w:eastAsia="仿宋_GB2312" w:cs="仿宋_GB2312"/>
          <w:color w:val="auto"/>
          <w:kern w:val="0"/>
          <w:sz w:val="32"/>
          <w:szCs w:val="32"/>
          <w:highlight w:val="none"/>
          <w:lang w:eastAsia="zh-CN"/>
        </w:rPr>
        <w:t>上年结转资金预计减少，以及上级转移支付减少，部分项目经费本年不再安排预算</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7"/>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人力资源和社会保障管理事务支出科目，较上年预算数减少184万元，下降13.4%。</w:t>
      </w:r>
      <w:r>
        <w:rPr>
          <w:rFonts w:hint="eastAsia" w:ascii="仿宋_GB2312" w:hAnsi="仿宋_GB2312" w:eastAsia="仿宋_GB2312" w:cs="仿宋_GB2312"/>
          <w:color w:val="auto"/>
          <w:kern w:val="0"/>
          <w:sz w:val="32"/>
          <w:szCs w:val="32"/>
          <w:highlight w:val="none"/>
          <w:lang w:eastAsia="zh-CN"/>
        </w:rPr>
        <w:t>上级转移支付减少。</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民政管理事务支出科目，较上年预算数增加5万元，增长1.4%</w:t>
      </w:r>
      <w:r>
        <w:rPr>
          <w:rFonts w:hint="eastAsia" w:ascii="仿宋_GB2312" w:hAnsi="仿宋_GB2312" w:eastAsia="仿宋_GB2312" w:cs="仿宋_GB2312"/>
          <w:color w:val="auto"/>
          <w:kern w:val="0"/>
          <w:sz w:val="32"/>
          <w:szCs w:val="32"/>
          <w:highlight w:val="none"/>
          <w:lang w:eastAsia="zh-CN"/>
        </w:rPr>
        <w:t>。</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行政事业单位养老支出科目，较上年预算数减少4090万元，下降20.7%。</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原因是单位缴交的基本养老保险增加，财政对机关事业养老保险基金的补助减少（根据机关事业养老保险基金支出需要安排）。</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就业补助支出科目，较上年预算数增加255万元，增长510%。</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上级转移支付新增该项补助。</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抚恤支出科目，较上年预算数减少2066万元，下降35.8%。</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上年结转资金预计减少</w:t>
      </w:r>
      <w:r>
        <w:rPr>
          <w:rFonts w:hint="eastAsia" w:ascii="仿宋_GB2312" w:hAnsi="仿宋_GB2312" w:eastAsia="仿宋_GB2312" w:cs="仿宋_GB2312"/>
          <w:kern w:val="0"/>
          <w:sz w:val="32"/>
          <w:szCs w:val="32"/>
          <w:highlight w:val="none"/>
          <w:lang w:eastAsia="zh-CN"/>
        </w:rPr>
        <w:t>。</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退役安置支出科目，较上年预算数增加95万元，增长14.8%。</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社会福利支出科目，较上年预算数减少1648万元，下降64.1%。</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原因是建设项目减少。</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残疾人事业支出科目，较上年预算数减少1362万元，下降40.9%。</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原因是转移支付减少。</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红十字事业支出科目，与上年持平。</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最低生活保障支出科目，较上年预算数减少5422万元，下降92.4%。</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原因是转移支付减少。</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临时救助支出科目，较上年预算数减少545万元，下降92.4%。</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原因是转移支付减少</w:t>
      </w:r>
      <w:r>
        <w:rPr>
          <w:rFonts w:hint="eastAsia" w:ascii="仿宋_GB2312" w:hAnsi="仿宋_GB2312" w:eastAsia="仿宋_GB2312" w:cs="仿宋_GB2312"/>
          <w:color w:val="auto"/>
          <w:kern w:val="0"/>
          <w:sz w:val="32"/>
          <w:szCs w:val="32"/>
          <w:highlight w:val="none"/>
          <w:lang w:eastAsia="zh-CN"/>
        </w:rPr>
        <w:t>。</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特困人员救助供养支出科目，较上年预算数减少1675万元，下降57.1%。</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转移支付减少</w:t>
      </w:r>
      <w:r>
        <w:rPr>
          <w:rFonts w:hint="eastAsia" w:ascii="仿宋_GB2312" w:hAnsi="仿宋_GB2312" w:eastAsia="仿宋_GB2312" w:cs="仿宋_GB2312"/>
          <w:kern w:val="0"/>
          <w:sz w:val="32"/>
          <w:szCs w:val="32"/>
          <w:highlight w:val="none"/>
          <w:lang w:val="en-US" w:eastAsia="zh-CN"/>
        </w:rPr>
        <w:t>。</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其他生活救助支出科目，较上年预算数减少8万元，下降7.6%。</w:t>
      </w:r>
    </w:p>
    <w:p>
      <w:pPr>
        <w:numPr>
          <w:ilvl w:val="0"/>
          <w:numId w:val="7"/>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财政对基本养老保险支出的补助支出科目，较上年预算数减少12927万元，下降42.3%。</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转移支付减少</w:t>
      </w:r>
      <w:r>
        <w:rPr>
          <w:rFonts w:hint="eastAsia" w:ascii="仿宋_GB2312" w:hAnsi="仿宋_GB2312" w:eastAsia="仿宋_GB2312" w:cs="仿宋_GB2312"/>
          <w:kern w:val="0"/>
          <w:sz w:val="32"/>
          <w:szCs w:val="32"/>
          <w:highlight w:val="none"/>
          <w:lang w:val="en-US" w:eastAsia="zh-CN"/>
        </w:rPr>
        <w:t>。</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退役军人管理事务支出科目，较上年预算数减少10万元，下降2.8%</w:t>
      </w:r>
      <w:r>
        <w:rPr>
          <w:rFonts w:hint="eastAsia" w:ascii="仿宋_GB2312" w:hAnsi="仿宋_GB2312" w:eastAsia="仿宋_GB2312" w:cs="仿宋_GB2312"/>
          <w:color w:val="auto"/>
          <w:kern w:val="0"/>
          <w:sz w:val="32"/>
          <w:szCs w:val="32"/>
          <w:highlight w:val="none"/>
          <w:lang w:eastAsia="zh-CN"/>
        </w:rPr>
        <w:t>。</w:t>
      </w:r>
    </w:p>
    <w:p>
      <w:pPr>
        <w:numPr>
          <w:ilvl w:val="0"/>
          <w:numId w:val="7"/>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其他社会保障和就业支出科目，较上年预算数增加944万元，增长27.6%。</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原因是该项</w:t>
      </w:r>
      <w:r>
        <w:rPr>
          <w:rFonts w:hint="eastAsia" w:ascii="仿宋_GB2312" w:hAnsi="仿宋_GB2312" w:eastAsia="仿宋_GB2312" w:cs="仿宋_GB2312"/>
          <w:color w:val="auto"/>
          <w:kern w:val="0"/>
          <w:sz w:val="32"/>
          <w:szCs w:val="32"/>
          <w:highlight w:val="none"/>
          <w:lang w:eastAsia="zh-CN"/>
        </w:rPr>
        <w:t>转移支付增加。</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卫生健康支出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2859</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12.4</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上级转移支付减少</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8"/>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卫生健康管理事务支出科目，较上年预算数增加13万元，增长2.7%。</w:t>
      </w:r>
    </w:p>
    <w:p>
      <w:pPr>
        <w:numPr>
          <w:ilvl w:val="0"/>
          <w:numId w:val="8"/>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公立医院支出科目，较上年预算数增加1254万元，增长65.7%。</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原因是人员经费和公立医院改革补助增加</w:t>
      </w:r>
      <w:r>
        <w:rPr>
          <w:rFonts w:hint="eastAsia" w:ascii="仿宋_GB2312" w:hAnsi="仿宋_GB2312" w:eastAsia="仿宋_GB2312" w:cs="仿宋_GB2312"/>
          <w:color w:val="auto"/>
          <w:kern w:val="0"/>
          <w:sz w:val="32"/>
          <w:szCs w:val="32"/>
          <w:highlight w:val="none"/>
          <w:lang w:eastAsia="zh-CN"/>
        </w:rPr>
        <w:t>。</w:t>
      </w:r>
    </w:p>
    <w:p>
      <w:pPr>
        <w:numPr>
          <w:ilvl w:val="0"/>
          <w:numId w:val="8"/>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基层医疗卫生机构支出科目，较上年预算数增加1647万元，增长24.7%。</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原因是提高对乡镇卫生院的</w:t>
      </w:r>
      <w:r>
        <w:rPr>
          <w:rFonts w:hint="eastAsia" w:ascii="仿宋_GB2312" w:hAnsi="仿宋_GB2312" w:eastAsia="仿宋_GB2312" w:cs="仿宋_GB2312"/>
          <w:kern w:val="0"/>
          <w:sz w:val="32"/>
          <w:szCs w:val="32"/>
          <w:highlight w:val="none"/>
          <w:lang w:eastAsia="zh-CN"/>
        </w:rPr>
        <w:t>人员经费补助。</w:t>
      </w:r>
    </w:p>
    <w:p>
      <w:pPr>
        <w:numPr>
          <w:ilvl w:val="0"/>
          <w:numId w:val="8"/>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公共卫生支出科目，较上年预算数减少5314万元，下降63.6%。</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上级转移支付和上年结转资金预计减少。</w:t>
      </w:r>
    </w:p>
    <w:p>
      <w:pPr>
        <w:numPr>
          <w:ilvl w:val="0"/>
          <w:numId w:val="8"/>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计划生育支出科目，</w:t>
      </w:r>
      <w:r>
        <w:rPr>
          <w:rFonts w:hint="eastAsia" w:ascii="仿宋_GB2312" w:hAnsi="仿宋_GB2312" w:eastAsia="仿宋_GB2312" w:cs="仿宋_GB2312"/>
          <w:kern w:val="0"/>
          <w:sz w:val="32"/>
          <w:szCs w:val="32"/>
          <w:highlight w:val="none"/>
          <w:lang w:val="en-US" w:eastAsia="zh-CN"/>
        </w:rPr>
        <w:t>较上年预算数减少594万元，下降29.1%。</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转移支付减少。</w:t>
      </w:r>
    </w:p>
    <w:p>
      <w:pPr>
        <w:numPr>
          <w:ilvl w:val="0"/>
          <w:numId w:val="8"/>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行政事业单位医疗支出科目，</w:t>
      </w:r>
      <w:r>
        <w:rPr>
          <w:rFonts w:hint="eastAsia" w:ascii="仿宋_GB2312" w:hAnsi="仿宋_GB2312" w:eastAsia="仿宋_GB2312" w:cs="仿宋_GB2312"/>
          <w:kern w:val="0"/>
          <w:sz w:val="32"/>
          <w:szCs w:val="32"/>
          <w:highlight w:val="none"/>
          <w:lang w:val="en-US" w:eastAsia="zh-CN"/>
        </w:rPr>
        <w:t>较上年预算数减少190万元，下降5.7%。</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转移支付减少</w:t>
      </w:r>
      <w:r>
        <w:rPr>
          <w:rFonts w:hint="eastAsia" w:ascii="仿宋_GB2312" w:hAnsi="仿宋_GB2312" w:eastAsia="仿宋_GB2312" w:cs="仿宋_GB2312"/>
          <w:kern w:val="0"/>
          <w:sz w:val="32"/>
          <w:szCs w:val="32"/>
          <w:highlight w:val="none"/>
          <w:lang w:val="en-US" w:eastAsia="zh-CN"/>
        </w:rPr>
        <w:t>。</w:t>
      </w:r>
    </w:p>
    <w:p>
      <w:pPr>
        <w:numPr>
          <w:ilvl w:val="0"/>
          <w:numId w:val="8"/>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财政对基本医疗保险基金的补助，增加20万元（上年无此项），</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转移支付新增该项。</w:t>
      </w:r>
    </w:p>
    <w:p>
      <w:pPr>
        <w:numPr>
          <w:ilvl w:val="0"/>
          <w:numId w:val="8"/>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优抚对象医疗支出科目，增加33万元，增长38.8%</w:t>
      </w:r>
      <w:r>
        <w:rPr>
          <w:rFonts w:hint="eastAsia" w:ascii="仿宋_GB2312" w:hAnsi="仿宋_GB2312" w:eastAsia="仿宋_GB2312" w:cs="仿宋_GB2312"/>
          <w:color w:val="auto"/>
          <w:kern w:val="0"/>
          <w:sz w:val="32"/>
          <w:szCs w:val="32"/>
          <w:highlight w:val="none"/>
          <w:lang w:eastAsia="zh-CN"/>
        </w:rPr>
        <w:t>。</w:t>
      </w:r>
    </w:p>
    <w:p>
      <w:pPr>
        <w:numPr>
          <w:ilvl w:val="0"/>
          <w:numId w:val="8"/>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老龄卫生健康事务</w:t>
      </w:r>
      <w:r>
        <w:rPr>
          <w:rFonts w:hint="eastAsia" w:ascii="仿宋_GB2312" w:hAnsi="仿宋_GB2312" w:eastAsia="仿宋_GB2312" w:cs="仿宋_GB2312"/>
          <w:kern w:val="0"/>
          <w:sz w:val="32"/>
          <w:szCs w:val="32"/>
          <w:highlight w:val="none"/>
          <w:lang w:val="en-US" w:eastAsia="zh-CN"/>
        </w:rPr>
        <w:t>支出科目，较上年预算数减少151万元，下降100%。</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原因是项目经费取消</w:t>
      </w:r>
      <w:r>
        <w:rPr>
          <w:rFonts w:hint="eastAsia" w:ascii="仿宋_GB2312" w:hAnsi="仿宋_GB2312" w:eastAsia="仿宋_GB2312" w:cs="仿宋_GB2312"/>
          <w:color w:val="auto"/>
          <w:kern w:val="0"/>
          <w:sz w:val="32"/>
          <w:szCs w:val="32"/>
          <w:highlight w:val="none"/>
          <w:lang w:eastAsia="zh-CN"/>
        </w:rPr>
        <w:t>。</w:t>
      </w:r>
    </w:p>
    <w:p>
      <w:pPr>
        <w:numPr>
          <w:ilvl w:val="0"/>
          <w:numId w:val="8"/>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其他卫生健康支出科目，较上年预算数增加423万元，增长495.2%。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该项转移支付增加。</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节能环保支出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7957</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495.2</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上级转移支付增加</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9"/>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环境保护管理事务支出科目，较上年预算数减少315万元，下降100%。</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原因是支出调整至其他节能环保支出科目。</w:t>
      </w:r>
    </w:p>
    <w:p>
      <w:pPr>
        <w:numPr>
          <w:ilvl w:val="0"/>
          <w:numId w:val="9"/>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环境监测与监察</w:t>
      </w:r>
      <w:r>
        <w:rPr>
          <w:rFonts w:hint="eastAsia" w:ascii="仿宋_GB2312" w:hAnsi="仿宋_GB2312" w:eastAsia="仿宋_GB2312" w:cs="仿宋_GB2312"/>
          <w:kern w:val="0"/>
          <w:sz w:val="32"/>
          <w:szCs w:val="32"/>
          <w:highlight w:val="none"/>
          <w:lang w:val="en-US" w:eastAsia="zh-CN"/>
        </w:rPr>
        <w:t>支出科目，与上年持平。</w:t>
      </w:r>
    </w:p>
    <w:p>
      <w:pPr>
        <w:numPr>
          <w:ilvl w:val="0"/>
          <w:numId w:val="9"/>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污染防治支出科目，较上年预算数增加856万元（上年无此项）。</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上级转移支付新增该项。</w:t>
      </w:r>
    </w:p>
    <w:p>
      <w:pPr>
        <w:numPr>
          <w:ilvl w:val="0"/>
          <w:numId w:val="9"/>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自然生态保护支出科目，较上年预算数增加314万元，增加28.3%。</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上级转移支付增加。</w:t>
      </w:r>
    </w:p>
    <w:p>
      <w:pPr>
        <w:numPr>
          <w:ilvl w:val="0"/>
          <w:numId w:val="9"/>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天然林保护支出科目，较上年预算数减少122万元，下降100%。</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上级转移支付减少。</w:t>
      </w:r>
    </w:p>
    <w:p>
      <w:pPr>
        <w:numPr>
          <w:ilvl w:val="0"/>
          <w:numId w:val="9"/>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污染减排支出科目，较上年增加</w:t>
      </w:r>
      <w:r>
        <w:rPr>
          <w:rFonts w:hint="eastAsia" w:ascii="仿宋_GB2312" w:hAnsi="仿宋_GB2312" w:eastAsia="仿宋_GB2312" w:cs="仿宋_GB2312"/>
          <w:color w:val="auto"/>
          <w:kern w:val="0"/>
          <w:sz w:val="32"/>
          <w:szCs w:val="32"/>
          <w:highlight w:val="none"/>
          <w:lang w:val="en-US" w:eastAsia="zh-CN"/>
        </w:rPr>
        <w:t>1352万元（上年无此项）</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上级转移支付新增该项。</w:t>
      </w:r>
    </w:p>
    <w:p>
      <w:pPr>
        <w:numPr>
          <w:ilvl w:val="0"/>
          <w:numId w:val="9"/>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其他节能环保支出</w:t>
      </w:r>
      <w:r>
        <w:rPr>
          <w:rFonts w:hint="eastAsia" w:ascii="仿宋_GB2312" w:hAnsi="仿宋_GB2312" w:eastAsia="仿宋_GB2312" w:cs="仿宋_GB2312"/>
          <w:kern w:val="0"/>
          <w:sz w:val="32"/>
          <w:szCs w:val="32"/>
          <w:highlight w:val="none"/>
          <w:lang w:val="en-US" w:eastAsia="zh-CN"/>
        </w:rPr>
        <w:t>科目，较上年预算数增加5872万元（上年无此项）。</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上级转移支付增加和支出科目调整</w:t>
      </w:r>
      <w:r>
        <w:rPr>
          <w:rFonts w:hint="eastAsia" w:ascii="仿宋_GB2312" w:hAnsi="仿宋_GB2312" w:eastAsia="仿宋_GB2312" w:cs="仿宋_GB2312"/>
          <w:kern w:val="0"/>
          <w:sz w:val="32"/>
          <w:szCs w:val="32"/>
          <w:highlight w:val="none"/>
          <w:lang w:val="en-US" w:eastAsia="zh-CN"/>
        </w:rPr>
        <w:t>。</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城乡社区支出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w:t>
      </w:r>
      <w:r>
        <w:rPr>
          <w:rFonts w:hint="eastAsia" w:ascii="仿宋_GB2312" w:hAnsi="仿宋_GB2312" w:eastAsia="仿宋_GB2312" w:cs="仿宋_GB2312"/>
          <w:kern w:val="0"/>
          <w:sz w:val="32"/>
          <w:szCs w:val="32"/>
          <w:highlight w:val="none"/>
          <w:lang w:val="en-US" w:eastAsia="zh-CN"/>
        </w:rPr>
        <w:t>减少3196</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36.1</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上级转移支付减少</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10"/>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城乡社区管理事务支出科目，较上年预算数减少445</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19.3</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。主要原因是</w:t>
      </w:r>
      <w:r>
        <w:rPr>
          <w:rFonts w:hint="eastAsia" w:ascii="仿宋_GB2312" w:hAnsi="仿宋_GB2312" w:eastAsia="仿宋_GB2312" w:cs="仿宋_GB2312"/>
          <w:color w:val="auto"/>
          <w:kern w:val="0"/>
          <w:sz w:val="32"/>
          <w:szCs w:val="32"/>
          <w:highlight w:val="none"/>
          <w:lang w:val="en-US" w:eastAsia="zh-CN"/>
        </w:rPr>
        <w:t>人员经费增加，上级</w:t>
      </w:r>
      <w:r>
        <w:rPr>
          <w:rFonts w:hint="eastAsia" w:ascii="仿宋_GB2312" w:hAnsi="仿宋_GB2312" w:eastAsia="仿宋_GB2312" w:cs="仿宋_GB2312"/>
          <w:color w:val="auto"/>
          <w:kern w:val="0"/>
          <w:sz w:val="32"/>
          <w:szCs w:val="32"/>
          <w:highlight w:val="none"/>
          <w:lang w:eastAsia="zh-CN"/>
        </w:rPr>
        <w:t>转移支付减少</w:t>
      </w:r>
      <w:r>
        <w:rPr>
          <w:rFonts w:hint="eastAsia" w:ascii="仿宋_GB2312" w:hAnsi="仿宋_GB2312" w:eastAsia="仿宋_GB2312" w:cs="仿宋_GB2312"/>
          <w:color w:val="auto"/>
          <w:kern w:val="0"/>
          <w:sz w:val="32"/>
          <w:szCs w:val="32"/>
          <w:highlight w:val="none"/>
          <w:lang w:val="en-US" w:eastAsia="zh-CN"/>
        </w:rPr>
        <w:t>。</w:t>
      </w:r>
    </w:p>
    <w:p>
      <w:pPr>
        <w:numPr>
          <w:ilvl w:val="0"/>
          <w:numId w:val="10"/>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城乡社区规划与管理支出科目，较上年预算数增加2955</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898.2</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城乡社区公共设施以及城乡社区环境卫生两个支出科目中的部分项目调整至该项目支出</w:t>
      </w:r>
      <w:r>
        <w:rPr>
          <w:rFonts w:hint="eastAsia" w:ascii="仿宋_GB2312" w:hAnsi="仿宋_GB2312" w:eastAsia="仿宋_GB2312" w:cs="仿宋_GB2312"/>
          <w:color w:val="auto"/>
          <w:kern w:val="0"/>
          <w:sz w:val="32"/>
          <w:szCs w:val="32"/>
          <w:highlight w:val="none"/>
          <w:lang w:eastAsia="zh-CN"/>
        </w:rPr>
        <w:t>。</w:t>
      </w:r>
    </w:p>
    <w:p>
      <w:pPr>
        <w:numPr>
          <w:ilvl w:val="0"/>
          <w:numId w:val="10"/>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城乡社区公共设施支出科目，较上年预算数减少4387万元，下降97.5%。</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原因是支出科目调整以及</w:t>
      </w:r>
      <w:r>
        <w:rPr>
          <w:rFonts w:hint="eastAsia" w:ascii="仿宋_GB2312" w:hAnsi="仿宋_GB2312" w:eastAsia="仿宋_GB2312" w:cs="仿宋_GB2312"/>
          <w:color w:val="auto"/>
          <w:kern w:val="0"/>
          <w:sz w:val="32"/>
          <w:szCs w:val="32"/>
          <w:highlight w:val="none"/>
          <w:lang w:eastAsia="zh-CN"/>
        </w:rPr>
        <w:t>上级转移支付减少。</w:t>
      </w:r>
    </w:p>
    <w:p>
      <w:pPr>
        <w:numPr>
          <w:ilvl w:val="0"/>
          <w:numId w:val="10"/>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城乡社区环境卫生支出科目，较上年预算数减少1345</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80.8</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原因是支出科目调整以及</w:t>
      </w:r>
      <w:r>
        <w:rPr>
          <w:rFonts w:hint="eastAsia" w:ascii="仿宋_GB2312" w:hAnsi="仿宋_GB2312" w:eastAsia="仿宋_GB2312" w:cs="仿宋_GB2312"/>
          <w:color w:val="auto"/>
          <w:kern w:val="0"/>
          <w:sz w:val="32"/>
          <w:szCs w:val="32"/>
          <w:highlight w:val="none"/>
          <w:lang w:eastAsia="zh-CN"/>
        </w:rPr>
        <w:t>上级转移支付减少</w:t>
      </w:r>
      <w:r>
        <w:rPr>
          <w:rFonts w:hint="eastAsia" w:ascii="仿宋_GB2312" w:hAnsi="仿宋_GB2312" w:eastAsia="仿宋_GB2312" w:cs="仿宋_GB2312"/>
          <w:color w:val="auto"/>
          <w:kern w:val="0"/>
          <w:sz w:val="32"/>
          <w:szCs w:val="32"/>
          <w:highlight w:val="none"/>
          <w:lang w:val="en-US" w:eastAsia="zh-CN"/>
        </w:rPr>
        <w:t>。</w:t>
      </w:r>
    </w:p>
    <w:p>
      <w:pPr>
        <w:numPr>
          <w:ilvl w:val="0"/>
          <w:numId w:val="10"/>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建设市场管理与监督支出科目，较上年预算数增加26万元，增长43.3%</w:t>
      </w:r>
      <w:r>
        <w:rPr>
          <w:rFonts w:hint="eastAsia" w:ascii="仿宋_GB2312" w:hAnsi="仿宋_GB2312" w:eastAsia="仿宋_GB2312" w:cs="仿宋_GB2312"/>
          <w:color w:val="auto"/>
          <w:kern w:val="0"/>
          <w:sz w:val="32"/>
          <w:szCs w:val="32"/>
          <w:highlight w:val="none"/>
          <w:lang w:eastAsia="zh-CN"/>
        </w:rPr>
        <w:t>。</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农林水支出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40927</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69.9</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主要原因是预算稳定调节基金和</w:t>
      </w:r>
      <w:r>
        <w:rPr>
          <w:rFonts w:hint="eastAsia" w:ascii="仿宋_GB2312" w:hAnsi="仿宋_GB2312" w:eastAsia="仿宋_GB2312" w:cs="仿宋_GB2312"/>
          <w:color w:val="auto"/>
          <w:kern w:val="0"/>
          <w:sz w:val="32"/>
          <w:szCs w:val="32"/>
          <w:highlight w:val="none"/>
          <w:lang w:eastAsia="zh-CN"/>
        </w:rPr>
        <w:t>上年结转资金以及</w:t>
      </w:r>
      <w:r>
        <w:rPr>
          <w:rFonts w:hint="eastAsia" w:ascii="仿宋_GB2312" w:hAnsi="仿宋_GB2312" w:eastAsia="仿宋_GB2312" w:cs="仿宋_GB2312"/>
          <w:color w:val="auto"/>
          <w:kern w:val="0"/>
          <w:sz w:val="32"/>
          <w:szCs w:val="32"/>
          <w:highlight w:val="none"/>
          <w:lang w:val="en-US" w:eastAsia="zh-CN"/>
        </w:rPr>
        <w:t>上级转移支付</w:t>
      </w:r>
      <w:r>
        <w:rPr>
          <w:rFonts w:hint="eastAsia" w:ascii="仿宋_GB2312" w:hAnsi="仿宋_GB2312" w:eastAsia="仿宋_GB2312" w:cs="仿宋_GB2312"/>
          <w:color w:val="auto"/>
          <w:kern w:val="0"/>
          <w:sz w:val="32"/>
          <w:szCs w:val="32"/>
          <w:highlight w:val="none"/>
          <w:lang w:eastAsia="zh-CN"/>
        </w:rPr>
        <w:t>预计减少，部分项目经费本年不再安排预算</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11"/>
        </w:numPr>
        <w:shd w:val="clea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农业农村支出科目，较上年预算数</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5910</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47.2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w:t>
      </w:r>
      <w:r>
        <w:rPr>
          <w:rFonts w:hint="eastAsia" w:ascii="仿宋_GB2312" w:hAnsi="仿宋_GB2312" w:eastAsia="仿宋_GB2312" w:cs="仿宋_GB2312"/>
          <w:color w:val="auto"/>
          <w:kern w:val="0"/>
          <w:sz w:val="32"/>
          <w:szCs w:val="32"/>
          <w:highlight w:val="none"/>
          <w:lang w:val="en-US" w:eastAsia="zh-CN"/>
        </w:rPr>
        <w:t>上级转移支付</w:t>
      </w:r>
      <w:r>
        <w:rPr>
          <w:rFonts w:hint="eastAsia" w:ascii="仿宋_GB2312" w:hAnsi="仿宋_GB2312" w:eastAsia="仿宋_GB2312" w:cs="仿宋_GB2312"/>
          <w:color w:val="auto"/>
          <w:kern w:val="0"/>
          <w:sz w:val="32"/>
          <w:szCs w:val="32"/>
          <w:highlight w:val="none"/>
          <w:lang w:eastAsia="zh-CN"/>
        </w:rPr>
        <w:t>预计减少</w:t>
      </w:r>
      <w:r>
        <w:rPr>
          <w:rFonts w:hint="eastAsia" w:ascii="仿宋_GB2312" w:hAnsi="仿宋_GB2312" w:eastAsia="仿宋_GB2312" w:cs="仿宋_GB2312"/>
          <w:color w:val="auto"/>
          <w:kern w:val="0"/>
          <w:sz w:val="32"/>
          <w:szCs w:val="32"/>
          <w:highlight w:val="none"/>
          <w:lang w:val="en-US" w:eastAsia="zh-CN"/>
        </w:rPr>
        <w:t>。</w:t>
      </w:r>
    </w:p>
    <w:p>
      <w:pPr>
        <w:numPr>
          <w:ilvl w:val="0"/>
          <w:numId w:val="11"/>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林业和草原支出科目，较上年预算数</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10500</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63.6</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主要原因是预算稳定调节基金和</w:t>
      </w:r>
      <w:r>
        <w:rPr>
          <w:rFonts w:hint="eastAsia" w:ascii="仿宋_GB2312" w:hAnsi="仿宋_GB2312" w:eastAsia="仿宋_GB2312" w:cs="仿宋_GB2312"/>
          <w:color w:val="auto"/>
          <w:kern w:val="0"/>
          <w:sz w:val="32"/>
          <w:szCs w:val="32"/>
          <w:highlight w:val="none"/>
          <w:lang w:eastAsia="zh-CN"/>
        </w:rPr>
        <w:t>上年结转资金以及</w:t>
      </w:r>
      <w:r>
        <w:rPr>
          <w:rFonts w:hint="eastAsia" w:ascii="仿宋_GB2312" w:hAnsi="仿宋_GB2312" w:eastAsia="仿宋_GB2312" w:cs="仿宋_GB2312"/>
          <w:color w:val="auto"/>
          <w:kern w:val="0"/>
          <w:sz w:val="32"/>
          <w:szCs w:val="32"/>
          <w:highlight w:val="none"/>
          <w:lang w:val="en-US" w:eastAsia="zh-CN"/>
        </w:rPr>
        <w:t>上级转移支付</w:t>
      </w:r>
      <w:r>
        <w:rPr>
          <w:rFonts w:hint="eastAsia" w:ascii="仿宋_GB2312" w:hAnsi="仿宋_GB2312" w:eastAsia="仿宋_GB2312" w:cs="仿宋_GB2312"/>
          <w:color w:val="auto"/>
          <w:kern w:val="0"/>
          <w:sz w:val="32"/>
          <w:szCs w:val="32"/>
          <w:highlight w:val="none"/>
          <w:lang w:eastAsia="zh-CN"/>
        </w:rPr>
        <w:t>预计减少，部分项目经费本年不再安排预算</w:t>
      </w:r>
      <w:r>
        <w:rPr>
          <w:rFonts w:hint="eastAsia" w:ascii="仿宋_GB2312" w:hAnsi="仿宋_GB2312" w:eastAsia="仿宋_GB2312" w:cs="仿宋_GB2312"/>
          <w:color w:val="auto"/>
          <w:kern w:val="0"/>
          <w:sz w:val="32"/>
          <w:szCs w:val="32"/>
          <w:highlight w:val="none"/>
          <w:lang w:val="en-US" w:eastAsia="zh-CN"/>
        </w:rPr>
        <w:t>。</w:t>
      </w:r>
    </w:p>
    <w:p>
      <w:pPr>
        <w:numPr>
          <w:ilvl w:val="0"/>
          <w:numId w:val="11"/>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水利支出科目，较上年预算数</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16291</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89.4</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主要原因是预算稳定调节基金和</w:t>
      </w:r>
      <w:r>
        <w:rPr>
          <w:rFonts w:hint="eastAsia" w:ascii="仿宋_GB2312" w:hAnsi="仿宋_GB2312" w:eastAsia="仿宋_GB2312" w:cs="仿宋_GB2312"/>
          <w:color w:val="auto"/>
          <w:kern w:val="0"/>
          <w:sz w:val="32"/>
          <w:szCs w:val="32"/>
          <w:highlight w:val="none"/>
          <w:lang w:eastAsia="zh-CN"/>
        </w:rPr>
        <w:t>上年结转资金以及</w:t>
      </w:r>
      <w:r>
        <w:rPr>
          <w:rFonts w:hint="eastAsia" w:ascii="仿宋_GB2312" w:hAnsi="仿宋_GB2312" w:eastAsia="仿宋_GB2312" w:cs="仿宋_GB2312"/>
          <w:color w:val="auto"/>
          <w:kern w:val="0"/>
          <w:sz w:val="32"/>
          <w:szCs w:val="32"/>
          <w:highlight w:val="none"/>
          <w:lang w:val="en-US" w:eastAsia="zh-CN"/>
        </w:rPr>
        <w:t>上级转移支付</w:t>
      </w:r>
      <w:r>
        <w:rPr>
          <w:rFonts w:hint="eastAsia" w:ascii="仿宋_GB2312" w:hAnsi="仿宋_GB2312" w:eastAsia="仿宋_GB2312" w:cs="仿宋_GB2312"/>
          <w:color w:val="auto"/>
          <w:kern w:val="0"/>
          <w:sz w:val="32"/>
          <w:szCs w:val="32"/>
          <w:highlight w:val="none"/>
          <w:lang w:eastAsia="zh-CN"/>
        </w:rPr>
        <w:t>预计减少，部分项目经费本年不再安排预算</w:t>
      </w:r>
      <w:r>
        <w:rPr>
          <w:rFonts w:hint="eastAsia" w:ascii="仿宋_GB2312" w:hAnsi="仿宋_GB2312" w:eastAsia="仿宋_GB2312" w:cs="仿宋_GB2312"/>
          <w:color w:val="auto"/>
          <w:kern w:val="0"/>
          <w:sz w:val="32"/>
          <w:szCs w:val="32"/>
          <w:highlight w:val="none"/>
          <w:lang w:val="en-US" w:eastAsia="zh-CN"/>
        </w:rPr>
        <w:t>。</w:t>
      </w:r>
    </w:p>
    <w:p>
      <w:pPr>
        <w:numPr>
          <w:ilvl w:val="0"/>
          <w:numId w:val="11"/>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巩固脱贫衔接乡村振兴支出科目，较上年预算数减少6003万元，下降86.5%。</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上级转移支付减少。</w:t>
      </w:r>
    </w:p>
    <w:p>
      <w:pPr>
        <w:numPr>
          <w:ilvl w:val="0"/>
          <w:numId w:val="11"/>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农村综合改革支出科目，较上年预算数减少2783万元，下降71.2%。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上级转移支付减少。</w:t>
      </w:r>
    </w:p>
    <w:p>
      <w:pPr>
        <w:numPr>
          <w:ilvl w:val="0"/>
          <w:numId w:val="11"/>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普惠金融发展支出科目，较上年预算数</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highlight w:val="none"/>
          <w:lang w:val="en-US" w:eastAsia="zh-CN"/>
        </w:rPr>
        <w:t>74</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17.2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水稻保险和烟叶保险增加。</w:t>
      </w:r>
    </w:p>
    <w:p>
      <w:pPr>
        <w:numPr>
          <w:ilvl w:val="0"/>
          <w:numId w:val="11"/>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其他农林水支出科目，较上年预算数</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highlight w:val="none"/>
          <w:lang w:val="en-US" w:eastAsia="zh-CN"/>
        </w:rPr>
        <w:t>486</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883.6</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原因该项上级转移支付</w:t>
      </w:r>
      <w:r>
        <w:rPr>
          <w:rFonts w:hint="eastAsia" w:ascii="仿宋_GB2312" w:hAnsi="仿宋_GB2312" w:eastAsia="仿宋_GB2312" w:cs="仿宋_GB2312"/>
          <w:color w:val="auto"/>
          <w:kern w:val="0"/>
          <w:sz w:val="32"/>
          <w:szCs w:val="32"/>
          <w:highlight w:val="none"/>
          <w:lang w:val="en-US" w:eastAsia="zh-CN"/>
        </w:rPr>
        <w:t>增加。</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交通运输支出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10701</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89</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主要原因是预算稳定调节基金和</w:t>
      </w:r>
      <w:r>
        <w:rPr>
          <w:rFonts w:hint="eastAsia" w:ascii="仿宋_GB2312" w:hAnsi="仿宋_GB2312" w:eastAsia="仿宋_GB2312" w:cs="仿宋_GB2312"/>
          <w:color w:val="auto"/>
          <w:kern w:val="0"/>
          <w:sz w:val="32"/>
          <w:szCs w:val="32"/>
          <w:highlight w:val="none"/>
          <w:lang w:eastAsia="zh-CN"/>
        </w:rPr>
        <w:t>上年结转资金以及</w:t>
      </w:r>
      <w:r>
        <w:rPr>
          <w:rFonts w:hint="eastAsia" w:ascii="仿宋_GB2312" w:hAnsi="仿宋_GB2312" w:eastAsia="仿宋_GB2312" w:cs="仿宋_GB2312"/>
          <w:color w:val="auto"/>
          <w:kern w:val="0"/>
          <w:sz w:val="32"/>
          <w:szCs w:val="32"/>
          <w:highlight w:val="none"/>
          <w:lang w:val="en-US" w:eastAsia="zh-CN"/>
        </w:rPr>
        <w:t>上级转移支付</w:t>
      </w:r>
      <w:r>
        <w:rPr>
          <w:rFonts w:hint="eastAsia" w:ascii="仿宋_GB2312" w:hAnsi="仿宋_GB2312" w:eastAsia="仿宋_GB2312" w:cs="仿宋_GB2312"/>
          <w:color w:val="auto"/>
          <w:kern w:val="0"/>
          <w:sz w:val="32"/>
          <w:szCs w:val="32"/>
          <w:highlight w:val="none"/>
          <w:lang w:eastAsia="zh-CN"/>
        </w:rPr>
        <w:t>预计减少，部分项目经费本年不再安排预算</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12"/>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公路水路运输支出科目，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6034</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82.7</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主要原因是预算稳定调节基金和</w:t>
      </w:r>
      <w:r>
        <w:rPr>
          <w:rFonts w:hint="eastAsia" w:ascii="仿宋_GB2312" w:hAnsi="仿宋_GB2312" w:eastAsia="仿宋_GB2312" w:cs="仿宋_GB2312"/>
          <w:color w:val="auto"/>
          <w:kern w:val="0"/>
          <w:sz w:val="32"/>
          <w:szCs w:val="32"/>
          <w:highlight w:val="none"/>
          <w:lang w:eastAsia="zh-CN"/>
        </w:rPr>
        <w:t>上年结转资金以及</w:t>
      </w:r>
      <w:r>
        <w:rPr>
          <w:rFonts w:hint="eastAsia" w:ascii="仿宋_GB2312" w:hAnsi="仿宋_GB2312" w:eastAsia="仿宋_GB2312" w:cs="仿宋_GB2312"/>
          <w:color w:val="auto"/>
          <w:kern w:val="0"/>
          <w:sz w:val="32"/>
          <w:szCs w:val="32"/>
          <w:highlight w:val="none"/>
          <w:lang w:val="en-US" w:eastAsia="zh-CN"/>
        </w:rPr>
        <w:t>上级转移支付</w:t>
      </w:r>
      <w:r>
        <w:rPr>
          <w:rFonts w:hint="eastAsia" w:ascii="仿宋_GB2312" w:hAnsi="仿宋_GB2312" w:eastAsia="仿宋_GB2312" w:cs="仿宋_GB2312"/>
          <w:color w:val="auto"/>
          <w:kern w:val="0"/>
          <w:sz w:val="32"/>
          <w:szCs w:val="32"/>
          <w:highlight w:val="none"/>
          <w:lang w:eastAsia="zh-CN"/>
        </w:rPr>
        <w:t>预计减少，部分项目经费本年不再安排预算</w:t>
      </w:r>
      <w:r>
        <w:rPr>
          <w:rFonts w:hint="eastAsia" w:ascii="仿宋_GB2312" w:hAnsi="仿宋_GB2312" w:eastAsia="仿宋_GB2312" w:cs="仿宋_GB2312"/>
          <w:color w:val="auto"/>
          <w:kern w:val="0"/>
          <w:sz w:val="32"/>
          <w:szCs w:val="32"/>
          <w:highlight w:val="none"/>
        </w:rPr>
        <w:t>。</w:t>
      </w:r>
    </w:p>
    <w:p>
      <w:pPr>
        <w:numPr>
          <w:ilvl w:val="0"/>
          <w:numId w:val="1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铁路运输支出科目，较上年预算数</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highlight w:val="none"/>
          <w:lang w:val="en-US" w:eastAsia="zh-CN"/>
        </w:rPr>
        <w:t>15</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34.1</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w:t>
      </w:r>
    </w:p>
    <w:p>
      <w:pPr>
        <w:numPr>
          <w:ilvl w:val="0"/>
          <w:numId w:val="1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车辆购置税支出科目，较上年预算数减少4000万元，下降100%。</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rPr>
        <w:t>。</w:t>
      </w:r>
    </w:p>
    <w:p>
      <w:pPr>
        <w:numPr>
          <w:ilvl w:val="0"/>
          <w:numId w:val="12"/>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其他交通运输支出科目，较上年预算数减少682万元，下降100%。</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rPr>
        <w:t>。</w:t>
      </w:r>
    </w:p>
    <w:p>
      <w:pPr>
        <w:numPr>
          <w:ilvl w:val="0"/>
          <w:numId w:val="1"/>
        </w:numPr>
        <w:shd w:val="clear"/>
        <w:spacing w:line="600" w:lineRule="exact"/>
        <w:ind w:left="0" w:leftChars="0"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资源勘探工业信息等支出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，较上年预算数减少</w:t>
      </w:r>
      <w:r>
        <w:rPr>
          <w:rFonts w:hint="eastAsia" w:ascii="仿宋_GB2312" w:hAnsi="仿宋_GB2312" w:eastAsia="仿宋_GB2312" w:cs="仿宋_GB2312"/>
          <w:kern w:val="0"/>
          <w:sz w:val="32"/>
          <w:szCs w:val="32"/>
          <w:highlight w:val="none"/>
          <w:lang w:val="en-US" w:eastAsia="zh-CN"/>
        </w:rPr>
        <w:t>14568</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94.1</w:t>
      </w:r>
      <w:r>
        <w:rPr>
          <w:rFonts w:hint="eastAsia" w:ascii="仿宋_GB2312" w:hAnsi="仿宋_GB2312" w:eastAsia="仿宋_GB2312" w:cs="仿宋_GB2312"/>
          <w:kern w:val="0"/>
          <w:sz w:val="32"/>
          <w:szCs w:val="32"/>
          <w:highlight w:val="none"/>
        </w:rPr>
        <w:t>%。主要原因是预算稳定调节基金和上年结转资金以及上级转移支付预计减少，部分项目经费本年不再安排预算</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其中：</w:t>
      </w:r>
    </w:p>
    <w:p>
      <w:pPr>
        <w:numPr>
          <w:ilvl w:val="0"/>
          <w:numId w:val="13"/>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支持中小企业发展和管理支出科目，较上年预算数减少6750万元，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96.8%。</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kern w:val="0"/>
          <w:sz w:val="32"/>
          <w:szCs w:val="32"/>
          <w:highlight w:val="none"/>
        </w:rPr>
        <w:t>预算稳定调节基金和上年结转资金以及上级转移支付预计减少，部分项目经费本年不再安排预算</w:t>
      </w:r>
      <w:r>
        <w:rPr>
          <w:rFonts w:hint="eastAsia" w:ascii="仿宋_GB2312" w:hAnsi="仿宋_GB2312" w:eastAsia="仿宋_GB2312" w:cs="仿宋_GB2312"/>
          <w:color w:val="auto"/>
          <w:kern w:val="0"/>
          <w:sz w:val="32"/>
          <w:szCs w:val="32"/>
          <w:highlight w:val="none"/>
          <w:lang w:eastAsia="zh-CN"/>
        </w:rPr>
        <w:t>。</w:t>
      </w:r>
    </w:p>
    <w:p>
      <w:pPr>
        <w:numPr>
          <w:ilvl w:val="0"/>
          <w:numId w:val="13"/>
        </w:num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其他资源勘探信息等支出科目，较上年预算数减少7818万元，下降91.9%。</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kern w:val="0"/>
          <w:sz w:val="32"/>
          <w:szCs w:val="32"/>
          <w:highlight w:val="none"/>
        </w:rPr>
        <w:t>预算稳定调节基金和上年结转资金以及上级转移支付预计减少，部分项目经费本年不再安排预算</w:t>
      </w:r>
      <w:r>
        <w:rPr>
          <w:rFonts w:hint="eastAsia" w:ascii="仿宋_GB2312" w:hAnsi="仿宋_GB2312" w:eastAsia="仿宋_GB2312" w:cs="仿宋_GB2312"/>
          <w:color w:val="auto"/>
          <w:kern w:val="0"/>
          <w:sz w:val="32"/>
          <w:szCs w:val="32"/>
          <w:highlight w:val="none"/>
          <w:lang w:val="en-US" w:eastAsia="zh-CN"/>
        </w:rPr>
        <w:t>。</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商业服务业等支出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w:t>
      </w:r>
      <w:r>
        <w:rPr>
          <w:rFonts w:hint="eastAsia" w:ascii="仿宋_GB2312" w:hAnsi="仿宋_GB2312" w:eastAsia="仿宋_GB2312" w:cs="仿宋_GB2312"/>
          <w:kern w:val="0"/>
          <w:sz w:val="32"/>
          <w:szCs w:val="32"/>
          <w:highlight w:val="none"/>
          <w:lang w:val="en-US" w:eastAsia="zh-CN"/>
        </w:rPr>
        <w:t>减少1263万元，下降57.4%。</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其中：</w:t>
      </w:r>
    </w:p>
    <w:p>
      <w:pPr>
        <w:numPr>
          <w:ilvl w:val="0"/>
          <w:numId w:val="14"/>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商业流通事务支出科目，较上年预算数减少763万元，下降47.2%。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上级转移支付减少。</w:t>
      </w:r>
    </w:p>
    <w:p>
      <w:pPr>
        <w:numPr>
          <w:ilvl w:val="0"/>
          <w:numId w:val="14"/>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涉外发展事务支出科目，较上年预算数减少413万元，下降82.6%。</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kern w:val="0"/>
          <w:sz w:val="32"/>
          <w:szCs w:val="32"/>
          <w:highlight w:val="none"/>
          <w:lang w:val="en-US" w:eastAsia="zh-CN"/>
        </w:rPr>
        <w:t>。</w:t>
      </w:r>
    </w:p>
    <w:p>
      <w:pPr>
        <w:numPr>
          <w:ilvl w:val="0"/>
          <w:numId w:val="14"/>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其他商业服务业等支出科目，较上年预算数减少87万元，下降100%。</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kern w:val="0"/>
          <w:sz w:val="32"/>
          <w:szCs w:val="32"/>
          <w:highlight w:val="none"/>
          <w:lang w:val="en-US" w:eastAsia="zh-CN"/>
        </w:rPr>
        <w:t>。</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金融支出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151</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（去年无此项）</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上级转移支付增加</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15"/>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其他金融支出科目，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151</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（去年无此项）</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上级转移支付增加。</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自然资源海洋气象等支出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w:t>
      </w:r>
      <w:r>
        <w:rPr>
          <w:rFonts w:hint="eastAsia" w:ascii="仿宋_GB2312" w:hAnsi="仿宋_GB2312" w:eastAsia="仿宋_GB2312" w:cs="仿宋_GB2312"/>
          <w:kern w:val="0"/>
          <w:sz w:val="32"/>
          <w:szCs w:val="32"/>
          <w:highlight w:val="none"/>
          <w:lang w:val="en-US" w:eastAsia="zh-CN"/>
        </w:rPr>
        <w:t>减少2602万元，下降62.9%。</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16"/>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自然资源事务支出科目，较上年预算数减少2604万元，下降64.5%。</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rPr>
        <w:t>。</w:t>
      </w:r>
    </w:p>
    <w:p>
      <w:pPr>
        <w:numPr>
          <w:ilvl w:val="0"/>
          <w:numId w:val="16"/>
        </w:num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气象事务支出科目，较上年预算数增加2万元，增长2%。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人员经费增加</w:t>
      </w:r>
      <w:r>
        <w:rPr>
          <w:rFonts w:hint="eastAsia" w:ascii="仿宋_GB2312" w:hAnsi="仿宋_GB2312" w:eastAsia="仿宋_GB2312" w:cs="仿宋_GB2312"/>
          <w:color w:val="auto"/>
          <w:kern w:val="0"/>
          <w:sz w:val="32"/>
          <w:szCs w:val="32"/>
          <w:highlight w:val="none"/>
        </w:rPr>
        <w:t>。</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住房保障支出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w:t>
      </w:r>
      <w:r>
        <w:rPr>
          <w:rFonts w:hint="eastAsia" w:ascii="仿宋_GB2312" w:hAnsi="仿宋_GB2312" w:eastAsia="仿宋_GB2312" w:cs="仿宋_GB2312"/>
          <w:kern w:val="0"/>
          <w:sz w:val="32"/>
          <w:szCs w:val="32"/>
          <w:highlight w:val="none"/>
          <w:lang w:val="en-US" w:eastAsia="zh-CN"/>
        </w:rPr>
        <w:t>减少1795万元，下降45.8%。</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17"/>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保障性安居工程支出科目，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w:t>
      </w:r>
      <w:r>
        <w:rPr>
          <w:rFonts w:hint="eastAsia" w:ascii="仿宋_GB2312" w:hAnsi="仿宋_GB2312" w:eastAsia="仿宋_GB2312" w:cs="仿宋_GB2312"/>
          <w:kern w:val="0"/>
          <w:sz w:val="32"/>
          <w:szCs w:val="32"/>
          <w:highlight w:val="none"/>
          <w:lang w:val="en-US" w:eastAsia="zh-CN"/>
        </w:rPr>
        <w:t>减少1367万元，下降100%。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kern w:val="0"/>
          <w:sz w:val="32"/>
          <w:szCs w:val="32"/>
          <w:highlight w:val="none"/>
        </w:rPr>
        <w:t>。</w:t>
      </w:r>
    </w:p>
    <w:p>
      <w:pPr>
        <w:numPr>
          <w:ilvl w:val="0"/>
          <w:numId w:val="17"/>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住房改革支出科目，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w:t>
      </w:r>
      <w:r>
        <w:rPr>
          <w:rFonts w:hint="eastAsia" w:ascii="仿宋_GB2312" w:hAnsi="仿宋_GB2312" w:eastAsia="仿宋_GB2312" w:cs="仿宋_GB2312"/>
          <w:kern w:val="0"/>
          <w:sz w:val="32"/>
          <w:szCs w:val="32"/>
          <w:highlight w:val="none"/>
          <w:lang w:val="en-US" w:eastAsia="zh-CN"/>
        </w:rPr>
        <w:t>减少428万元，下降16.8%。</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kern w:val="0"/>
          <w:sz w:val="32"/>
          <w:szCs w:val="32"/>
          <w:highlight w:val="none"/>
        </w:rPr>
        <w:t>。</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粮油物资储备支出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462</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61.9</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18"/>
        </w:num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粮油事务支出科目，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462</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61.9</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rPr>
        <w:t>。</w:t>
      </w:r>
    </w:p>
    <w:p>
      <w:pPr>
        <w:numPr>
          <w:ilvl w:val="0"/>
          <w:numId w:val="1"/>
        </w:numPr>
        <w:shd w:val="clea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灾害防治及应急管理支出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526</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26.3</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上级转移支付增加</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19"/>
        </w:numPr>
        <w:shd w:val="clea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应急管理事务支出科目，较上年预算数减少1037万元，下降58.5%。</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w:t>
      </w:r>
      <w:r>
        <w:rPr>
          <w:rFonts w:hint="eastAsia" w:ascii="仿宋_GB2312" w:hAnsi="仿宋_GB2312" w:eastAsia="仿宋_GB2312" w:cs="仿宋_GB2312"/>
          <w:kern w:val="0"/>
          <w:sz w:val="32"/>
          <w:szCs w:val="32"/>
          <w:highlight w:val="none"/>
          <w:lang w:val="en-US" w:eastAsia="zh-CN"/>
        </w:rPr>
        <w:t>减少。</w:t>
      </w:r>
    </w:p>
    <w:p>
      <w:pPr>
        <w:numPr>
          <w:ilvl w:val="0"/>
          <w:numId w:val="19"/>
        </w:numPr>
        <w:shd w:val="clea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消防事务支出科目，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984</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6150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上级转移支付增加</w:t>
      </w:r>
      <w:r>
        <w:rPr>
          <w:rFonts w:hint="eastAsia" w:ascii="仿宋_GB2312" w:hAnsi="仿宋_GB2312" w:eastAsia="仿宋_GB2312" w:cs="仿宋_GB2312"/>
          <w:kern w:val="0"/>
          <w:sz w:val="32"/>
          <w:szCs w:val="32"/>
          <w:highlight w:val="none"/>
          <w:lang w:val="en-US" w:eastAsia="zh-CN"/>
        </w:rPr>
        <w:t>。</w:t>
      </w:r>
    </w:p>
    <w:p>
      <w:pPr>
        <w:numPr>
          <w:ilvl w:val="0"/>
          <w:numId w:val="19"/>
        </w:numPr>
        <w:shd w:val="clea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地震事务支出科目，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250</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color w:val="auto"/>
          <w:kern w:val="0"/>
          <w:sz w:val="32"/>
          <w:szCs w:val="32"/>
          <w:highlight w:val="none"/>
        </w:rPr>
        <w:t>。</w:t>
      </w:r>
    </w:p>
    <w:p>
      <w:pPr>
        <w:numPr>
          <w:ilvl w:val="0"/>
          <w:numId w:val="19"/>
        </w:numPr>
        <w:shd w:val="clea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自然灾害防治支出科目，较上年预算数增加584万元（上年无此项）</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上级转移支付增加</w:t>
      </w:r>
      <w:r>
        <w:rPr>
          <w:rFonts w:hint="eastAsia" w:ascii="仿宋_GB2312" w:hAnsi="仿宋_GB2312" w:eastAsia="仿宋_GB2312" w:cs="仿宋_GB2312"/>
          <w:color w:val="auto"/>
          <w:kern w:val="0"/>
          <w:sz w:val="32"/>
          <w:szCs w:val="32"/>
          <w:highlight w:val="none"/>
        </w:rPr>
        <w:t>。</w:t>
      </w:r>
    </w:p>
    <w:p>
      <w:pPr>
        <w:numPr>
          <w:ilvl w:val="0"/>
          <w:numId w:val="19"/>
        </w:numPr>
        <w:shd w:val="clea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自然灾害救灾及恢复重建支出科目，较上年预算数减少10万元，下降4.9%。</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rPr>
        <w:t>。</w:t>
      </w:r>
    </w:p>
    <w:p>
      <w:pPr>
        <w:shd w:val="clea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十九</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预备费支出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745</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16.6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根据</w:t>
      </w:r>
      <w:r>
        <w:rPr>
          <w:rFonts w:hint="eastAsia" w:ascii="仿宋_GB2312" w:hAnsi="仿宋_GB2312" w:eastAsia="仿宋_GB2312" w:cs="仿宋_GB2312"/>
          <w:kern w:val="0"/>
          <w:sz w:val="32"/>
          <w:szCs w:val="32"/>
          <w:highlight w:val="none"/>
        </w:rPr>
        <w:t>《预算法》规定安排，</w:t>
      </w:r>
      <w:r>
        <w:rPr>
          <w:rFonts w:hint="eastAsia" w:ascii="仿宋_GB2312" w:hAnsi="仿宋_GB2312" w:eastAsia="仿宋_GB2312" w:cs="仿宋_GB2312"/>
          <w:kern w:val="0"/>
          <w:sz w:val="32"/>
          <w:szCs w:val="32"/>
          <w:highlight w:val="none"/>
          <w:lang w:val="en-US" w:eastAsia="zh-CN"/>
        </w:rPr>
        <w:t>因2024年本级预算支出数减少，相应减少预备费。</w:t>
      </w:r>
    </w:p>
    <w:p>
      <w:pPr>
        <w:shd w:val="clear"/>
        <w:spacing w:line="60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二十</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其他支出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12646</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42.3</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其中：</w:t>
      </w:r>
    </w:p>
    <w:p>
      <w:pPr>
        <w:shd w:val="clear"/>
        <w:spacing w:line="60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1.年初预留支出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13406</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55.8</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上级转移支付减少</w:t>
      </w:r>
      <w:r>
        <w:rPr>
          <w:rFonts w:hint="eastAsia" w:ascii="仿宋_GB2312" w:hAnsi="仿宋_GB2312" w:eastAsia="仿宋_GB2312" w:cs="仿宋_GB2312"/>
          <w:color w:val="auto"/>
          <w:kern w:val="0"/>
          <w:sz w:val="32"/>
          <w:szCs w:val="32"/>
          <w:highlight w:val="none"/>
          <w:lang w:eastAsia="zh-CN"/>
        </w:rPr>
        <w:t>。</w:t>
      </w:r>
    </w:p>
    <w:p>
      <w:pPr>
        <w:shd w:val="clea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2.其他支出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color w:val="auto"/>
          <w:kern w:val="0"/>
          <w:sz w:val="32"/>
          <w:szCs w:val="32"/>
          <w:highlight w:val="none"/>
          <w:lang w:val="en-US" w:eastAsia="zh-CN"/>
        </w:rPr>
        <w:t>，较上年预算数增加760万元，增长12.8%。</w:t>
      </w:r>
      <w:r>
        <w:rPr>
          <w:rFonts w:hint="eastAsia" w:ascii="仿宋_GB2312" w:hAnsi="仿宋_GB2312" w:eastAsia="仿宋_GB2312" w:cs="仿宋_GB2312"/>
          <w:color w:val="auto"/>
          <w:kern w:val="0"/>
          <w:sz w:val="32"/>
          <w:szCs w:val="32"/>
          <w:highlight w:val="none"/>
        </w:rPr>
        <w:t>主要</w:t>
      </w:r>
      <w:r>
        <w:rPr>
          <w:rFonts w:hint="eastAsia" w:ascii="仿宋_GB2312" w:hAnsi="仿宋_GB2312" w:eastAsia="仿宋_GB2312" w:cs="仿宋_GB2312"/>
          <w:color w:val="auto"/>
          <w:kern w:val="0"/>
          <w:sz w:val="32"/>
          <w:szCs w:val="32"/>
          <w:highlight w:val="none"/>
          <w:lang w:val="en-US" w:eastAsia="zh-CN"/>
        </w:rPr>
        <w:t>原因是上级转移支付增加</w:t>
      </w:r>
      <w:r>
        <w:rPr>
          <w:rFonts w:hint="eastAsia" w:ascii="仿宋_GB2312" w:hAnsi="仿宋_GB2312" w:eastAsia="仿宋_GB2312" w:cs="仿宋_GB2312"/>
          <w:color w:val="auto"/>
          <w:kern w:val="0"/>
          <w:sz w:val="32"/>
          <w:szCs w:val="32"/>
          <w:highlight w:val="none"/>
        </w:rPr>
        <w:t>。</w:t>
      </w:r>
    </w:p>
    <w:p>
      <w:pPr>
        <w:shd w:val="clear"/>
        <w:spacing w:line="60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二十一</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债务付息支出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2065</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17.6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rPr>
        <w:t>地方政府债券利息支出</w:t>
      </w:r>
      <w:r>
        <w:rPr>
          <w:rFonts w:hint="eastAsia" w:ascii="仿宋_GB2312" w:hAnsi="仿宋_GB2312" w:eastAsia="仿宋_GB2312" w:cs="仿宋_GB2312"/>
          <w:color w:val="auto"/>
          <w:kern w:val="0"/>
          <w:sz w:val="32"/>
          <w:szCs w:val="32"/>
          <w:highlight w:val="none"/>
          <w:lang w:eastAsia="zh-CN"/>
        </w:rPr>
        <w:t>增加</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其中：</w:t>
      </w:r>
    </w:p>
    <w:p>
      <w:pPr>
        <w:shd w:val="clear"/>
        <w:spacing w:line="60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地方政府一般债务付息支出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2065</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17.6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rPr>
        <w:t>地方政府债券利息支出</w:t>
      </w:r>
      <w:r>
        <w:rPr>
          <w:rFonts w:hint="eastAsia" w:ascii="仿宋_GB2312" w:hAnsi="仿宋_GB2312" w:eastAsia="仿宋_GB2312" w:cs="仿宋_GB2312"/>
          <w:color w:val="auto"/>
          <w:kern w:val="0"/>
          <w:sz w:val="32"/>
          <w:szCs w:val="32"/>
          <w:highlight w:val="none"/>
          <w:lang w:eastAsia="zh-CN"/>
        </w:rPr>
        <w:t>增加</w:t>
      </w:r>
      <w:r>
        <w:rPr>
          <w:rFonts w:hint="eastAsia" w:ascii="仿宋_GB2312" w:hAnsi="仿宋_GB2312" w:eastAsia="仿宋_GB2312" w:cs="仿宋_GB2312"/>
          <w:color w:val="auto"/>
          <w:kern w:val="0"/>
          <w:sz w:val="32"/>
          <w:szCs w:val="32"/>
          <w:highlight w:val="none"/>
        </w:rPr>
        <w:t>。</w:t>
      </w:r>
    </w:p>
    <w:p>
      <w:p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二十二</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债务发行费用支出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5.3</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预计新增债券规模增大，发行费用增加</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shd w:val="clea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lang w:eastAsia="zh-CN"/>
        </w:rPr>
        <w:t>地方政府一般债务发行费用支出</w:t>
      </w:r>
      <w:r>
        <w:rPr>
          <w:rFonts w:hint="eastAsia" w:ascii="仿宋_GB2312" w:hAnsi="仿宋_GB2312" w:eastAsia="仿宋_GB2312" w:cs="仿宋_GB2312"/>
          <w:kern w:val="0"/>
          <w:sz w:val="32"/>
          <w:szCs w:val="32"/>
          <w:highlight w:val="none"/>
          <w:lang w:val="en-US" w:eastAsia="zh-CN"/>
        </w:rPr>
        <w:t>科目</w:t>
      </w:r>
      <w:r>
        <w:rPr>
          <w:rFonts w:hint="eastAsia" w:ascii="仿宋_GB2312" w:hAnsi="仿宋_GB2312" w:eastAsia="仿宋_GB2312" w:cs="仿宋_GB2312"/>
          <w:kern w:val="0"/>
          <w:sz w:val="32"/>
          <w:szCs w:val="32"/>
          <w:highlight w:val="none"/>
        </w:rPr>
        <w:t>，较</w:t>
      </w:r>
      <w:r>
        <w:rPr>
          <w:rFonts w:hint="eastAsia" w:ascii="仿宋_GB2312" w:hAnsi="仿宋_GB2312" w:eastAsia="仿宋_GB2312" w:cs="仿宋_GB2312"/>
          <w:kern w:val="0"/>
          <w:sz w:val="32"/>
          <w:szCs w:val="32"/>
          <w:highlight w:val="none"/>
          <w:lang w:eastAsia="zh-CN"/>
        </w:rPr>
        <w:t>上年预算数增加</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仿宋_GB2312" w:eastAsia="仿宋_GB2312" w:cs="仿宋_GB2312"/>
          <w:kern w:val="0"/>
          <w:sz w:val="32"/>
          <w:szCs w:val="32"/>
          <w:highlight w:val="none"/>
          <w:lang w:val="en-US" w:eastAsia="zh-CN"/>
        </w:rPr>
        <w:t>5.3</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预计新增债券规模增大，发行费用增加。</w:t>
      </w:r>
    </w:p>
    <w:p>
      <w:pPr>
        <w:shd w:val="clear"/>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二、财政转移支付安排情况</w:t>
      </w:r>
    </w:p>
    <w:p>
      <w:pPr>
        <w:shd w:val="clear"/>
        <w:spacing w:line="600" w:lineRule="exact"/>
        <w:ind w:firstLine="640" w:firstLineChars="200"/>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2024</w:t>
      </w:r>
      <w:r>
        <w:rPr>
          <w:rFonts w:hint="eastAsia" w:ascii="仿宋" w:hAnsi="仿宋" w:eastAsia="仿宋" w:cs="仿宋"/>
          <w:kern w:val="0"/>
          <w:sz w:val="32"/>
          <w:szCs w:val="32"/>
          <w:highlight w:val="none"/>
        </w:rPr>
        <w:t>年度</w:t>
      </w:r>
      <w:r>
        <w:rPr>
          <w:rFonts w:hint="eastAsia" w:ascii="仿宋" w:hAnsi="仿宋" w:eastAsia="仿宋" w:cs="仿宋"/>
          <w:kern w:val="0"/>
          <w:sz w:val="32"/>
          <w:szCs w:val="32"/>
          <w:highlight w:val="none"/>
          <w:lang w:eastAsia="zh-CN"/>
        </w:rPr>
        <w:t>长汀县</w:t>
      </w:r>
      <w:r>
        <w:rPr>
          <w:rFonts w:hint="eastAsia" w:ascii="仿宋" w:hAnsi="仿宋" w:eastAsia="仿宋" w:cs="仿宋"/>
          <w:kern w:val="0"/>
          <w:sz w:val="32"/>
          <w:szCs w:val="32"/>
          <w:highlight w:val="none"/>
        </w:rPr>
        <w:t>对下</w:t>
      </w:r>
      <w:r>
        <w:rPr>
          <w:rFonts w:hint="default" w:ascii="Times New Roman" w:hAnsi="Times New Roman" w:eastAsia="仿宋_GB2312" w:cs="Times New Roman"/>
          <w:kern w:val="0"/>
          <w:sz w:val="32"/>
          <w:szCs w:val="32"/>
          <w:highlight w:val="none"/>
        </w:rPr>
        <w:t>税收返还和</w:t>
      </w:r>
      <w:r>
        <w:rPr>
          <w:rFonts w:hint="eastAsia" w:ascii="仿宋" w:hAnsi="仿宋" w:eastAsia="仿宋" w:cs="仿宋"/>
          <w:kern w:val="0"/>
          <w:sz w:val="32"/>
          <w:szCs w:val="32"/>
          <w:highlight w:val="none"/>
        </w:rPr>
        <w:t>转移支付预算数为</w:t>
      </w:r>
      <w:r>
        <w:rPr>
          <w:rFonts w:hint="eastAsia" w:ascii="仿宋" w:hAnsi="仿宋" w:eastAsia="仿宋" w:cs="仿宋"/>
          <w:kern w:val="0"/>
          <w:sz w:val="32"/>
          <w:szCs w:val="32"/>
          <w:highlight w:val="none"/>
          <w:lang w:val="en-US" w:eastAsia="zh-CN"/>
        </w:rPr>
        <w:t>18635</w:t>
      </w:r>
      <w:r>
        <w:rPr>
          <w:rFonts w:hint="eastAsia" w:ascii="仿宋" w:hAnsi="仿宋" w:eastAsia="仿宋" w:cs="仿宋"/>
          <w:kern w:val="0"/>
          <w:sz w:val="32"/>
          <w:szCs w:val="32"/>
          <w:highlight w:val="none"/>
        </w:rPr>
        <w:t>万元，比</w:t>
      </w:r>
      <w:r>
        <w:rPr>
          <w:rFonts w:hint="eastAsia" w:ascii="仿宋" w:hAnsi="仿宋" w:eastAsia="仿宋" w:cs="仿宋"/>
          <w:kern w:val="0"/>
          <w:sz w:val="32"/>
          <w:szCs w:val="32"/>
          <w:highlight w:val="none"/>
          <w:lang w:val="en-US" w:eastAsia="zh-CN"/>
        </w:rPr>
        <w:t>2023</w:t>
      </w:r>
      <w:r>
        <w:rPr>
          <w:rFonts w:hint="eastAsia" w:ascii="仿宋" w:hAnsi="仿宋" w:eastAsia="仿宋" w:cs="仿宋"/>
          <w:kern w:val="0"/>
          <w:sz w:val="32"/>
          <w:szCs w:val="32"/>
          <w:highlight w:val="none"/>
        </w:rPr>
        <w:t>年度</w:t>
      </w:r>
      <w:r>
        <w:rPr>
          <w:rFonts w:hint="eastAsia" w:ascii="仿宋" w:hAnsi="仿宋" w:eastAsia="仿宋" w:cs="仿宋"/>
          <w:kern w:val="0"/>
          <w:sz w:val="32"/>
          <w:szCs w:val="32"/>
          <w:highlight w:val="none"/>
          <w:lang w:eastAsia="zh-CN"/>
        </w:rPr>
        <w:t>上年预算数减少</w:t>
      </w:r>
      <w:r>
        <w:rPr>
          <w:rFonts w:hint="eastAsia" w:ascii="仿宋" w:hAnsi="仿宋" w:eastAsia="仿宋" w:cs="仿宋"/>
          <w:kern w:val="0"/>
          <w:sz w:val="32"/>
          <w:szCs w:val="32"/>
          <w:highlight w:val="none"/>
          <w:lang w:val="en-US" w:eastAsia="zh-CN"/>
        </w:rPr>
        <w:t>6323</w:t>
      </w:r>
      <w:r>
        <w:rPr>
          <w:rFonts w:hint="eastAsia" w:ascii="仿宋" w:hAnsi="仿宋" w:eastAsia="仿宋" w:cs="仿宋"/>
          <w:kern w:val="0"/>
          <w:sz w:val="32"/>
          <w:szCs w:val="32"/>
          <w:highlight w:val="none"/>
        </w:rPr>
        <w:t>万元，</w:t>
      </w:r>
      <w:r>
        <w:rPr>
          <w:rFonts w:hint="eastAsia" w:ascii="仿宋" w:hAnsi="仿宋" w:eastAsia="仿宋" w:cs="仿宋"/>
          <w:kern w:val="0"/>
          <w:sz w:val="32"/>
          <w:szCs w:val="32"/>
          <w:highlight w:val="none"/>
          <w:lang w:eastAsia="zh-CN"/>
        </w:rPr>
        <w:t>下降</w:t>
      </w:r>
      <w:r>
        <w:rPr>
          <w:rFonts w:hint="eastAsia" w:ascii="仿宋" w:hAnsi="仿宋" w:eastAsia="仿宋" w:cs="仿宋"/>
          <w:kern w:val="0"/>
          <w:sz w:val="32"/>
          <w:szCs w:val="32"/>
          <w:highlight w:val="none"/>
          <w:lang w:val="en-US" w:eastAsia="zh-CN"/>
        </w:rPr>
        <w:t>25.3</w:t>
      </w:r>
      <w:r>
        <w:rPr>
          <w:rFonts w:hint="eastAsia" w:ascii="仿宋" w:hAnsi="仿宋" w:eastAsia="仿宋" w:cs="仿宋"/>
          <w:kern w:val="0"/>
          <w:sz w:val="32"/>
          <w:szCs w:val="32"/>
          <w:highlight w:val="none"/>
        </w:rPr>
        <w:t>%。具体情况如下：</w:t>
      </w:r>
    </w:p>
    <w:p>
      <w:pPr>
        <w:shd w:val="clear"/>
        <w:spacing w:line="600" w:lineRule="exact"/>
        <w:ind w:firstLine="643" w:firstLineChars="200"/>
        <w:rPr>
          <w:rFonts w:hint="eastAsia" w:ascii="楷体" w:hAnsi="楷体" w:eastAsia="楷体" w:cs="楷体"/>
          <w:b/>
          <w:bCs/>
          <w:kern w:val="0"/>
          <w:sz w:val="32"/>
          <w:szCs w:val="32"/>
          <w:highlight w:val="none"/>
          <w:lang w:val="en-US" w:eastAsia="zh-CN"/>
        </w:rPr>
      </w:pPr>
      <w:r>
        <w:rPr>
          <w:rFonts w:hint="eastAsia" w:ascii="楷体" w:hAnsi="楷体" w:eastAsia="楷体" w:cs="楷体"/>
          <w:b/>
          <w:bCs/>
          <w:kern w:val="0"/>
          <w:sz w:val="32"/>
          <w:szCs w:val="32"/>
          <w:highlight w:val="none"/>
          <w:lang w:val="en-US" w:eastAsia="zh-CN"/>
        </w:rPr>
        <w:t>（一）一般性转移支付</w:t>
      </w:r>
    </w:p>
    <w:p>
      <w:pPr>
        <w:shd w:val="clear"/>
        <w:spacing w:line="600" w:lineRule="exact"/>
        <w:ind w:firstLine="640" w:firstLineChars="200"/>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2024</w:t>
      </w:r>
      <w:r>
        <w:rPr>
          <w:rFonts w:hint="eastAsia" w:ascii="仿宋" w:hAnsi="仿宋" w:eastAsia="仿宋" w:cs="仿宋"/>
          <w:kern w:val="0"/>
          <w:sz w:val="32"/>
          <w:szCs w:val="32"/>
          <w:highlight w:val="none"/>
        </w:rPr>
        <w:t>年度</w:t>
      </w:r>
      <w:r>
        <w:rPr>
          <w:rFonts w:hint="eastAsia" w:ascii="仿宋" w:hAnsi="仿宋" w:eastAsia="仿宋" w:cs="仿宋"/>
          <w:kern w:val="0"/>
          <w:sz w:val="32"/>
          <w:szCs w:val="32"/>
          <w:highlight w:val="none"/>
          <w:lang w:eastAsia="zh-CN"/>
        </w:rPr>
        <w:t>长汀县</w:t>
      </w:r>
      <w:r>
        <w:rPr>
          <w:rFonts w:hint="eastAsia" w:ascii="仿宋" w:hAnsi="仿宋" w:eastAsia="仿宋" w:cs="仿宋"/>
          <w:kern w:val="0"/>
          <w:sz w:val="32"/>
          <w:szCs w:val="32"/>
          <w:highlight w:val="none"/>
        </w:rPr>
        <w:t>对下一般转移支付预算数为</w:t>
      </w:r>
      <w:r>
        <w:rPr>
          <w:rFonts w:hint="eastAsia" w:ascii="仿宋" w:hAnsi="仿宋" w:eastAsia="仿宋" w:cs="仿宋"/>
          <w:kern w:val="0"/>
          <w:sz w:val="32"/>
          <w:szCs w:val="32"/>
          <w:highlight w:val="none"/>
          <w:lang w:val="en-US" w:eastAsia="zh-CN"/>
        </w:rPr>
        <w:t>18635</w:t>
      </w:r>
      <w:r>
        <w:rPr>
          <w:rFonts w:hint="eastAsia" w:ascii="仿宋" w:hAnsi="仿宋" w:eastAsia="仿宋" w:cs="仿宋"/>
          <w:kern w:val="0"/>
          <w:sz w:val="32"/>
          <w:szCs w:val="32"/>
          <w:highlight w:val="none"/>
        </w:rPr>
        <w:t>万元，比</w:t>
      </w:r>
      <w:r>
        <w:rPr>
          <w:rFonts w:hint="eastAsia" w:ascii="仿宋" w:hAnsi="仿宋" w:eastAsia="仿宋" w:cs="仿宋"/>
          <w:kern w:val="0"/>
          <w:sz w:val="32"/>
          <w:szCs w:val="32"/>
          <w:highlight w:val="none"/>
          <w:lang w:eastAsia="zh-CN"/>
        </w:rPr>
        <w:t>上年预算数减少</w:t>
      </w:r>
      <w:r>
        <w:rPr>
          <w:rFonts w:hint="eastAsia" w:ascii="仿宋" w:hAnsi="仿宋" w:eastAsia="仿宋" w:cs="仿宋"/>
          <w:kern w:val="0"/>
          <w:sz w:val="32"/>
          <w:szCs w:val="32"/>
          <w:highlight w:val="none"/>
          <w:lang w:val="en-US" w:eastAsia="zh-CN"/>
        </w:rPr>
        <w:t>6323</w:t>
      </w:r>
      <w:r>
        <w:rPr>
          <w:rFonts w:hint="eastAsia" w:ascii="仿宋" w:hAnsi="仿宋" w:eastAsia="仿宋" w:cs="仿宋"/>
          <w:kern w:val="0"/>
          <w:sz w:val="32"/>
          <w:szCs w:val="32"/>
          <w:highlight w:val="none"/>
        </w:rPr>
        <w:t>万元，</w:t>
      </w:r>
      <w:r>
        <w:rPr>
          <w:rFonts w:hint="eastAsia" w:ascii="仿宋" w:hAnsi="仿宋" w:eastAsia="仿宋" w:cs="仿宋"/>
          <w:kern w:val="0"/>
          <w:sz w:val="32"/>
          <w:szCs w:val="32"/>
          <w:highlight w:val="none"/>
          <w:lang w:eastAsia="zh-CN"/>
        </w:rPr>
        <w:t>下降</w:t>
      </w:r>
      <w:r>
        <w:rPr>
          <w:rFonts w:hint="eastAsia" w:ascii="仿宋" w:hAnsi="仿宋" w:eastAsia="仿宋" w:cs="仿宋"/>
          <w:kern w:val="0"/>
          <w:sz w:val="32"/>
          <w:szCs w:val="32"/>
          <w:highlight w:val="none"/>
          <w:lang w:val="en-US" w:eastAsia="zh-CN"/>
        </w:rPr>
        <w:t>25.3</w:t>
      </w:r>
      <w:r>
        <w:rPr>
          <w:rFonts w:hint="eastAsia" w:ascii="仿宋" w:hAnsi="仿宋" w:eastAsia="仿宋" w:cs="仿宋"/>
          <w:kern w:val="0"/>
          <w:sz w:val="32"/>
          <w:szCs w:val="32"/>
          <w:highlight w:val="none"/>
        </w:rPr>
        <w:t>%。具体情况如下：</w:t>
      </w:r>
    </w:p>
    <w:p>
      <w:pPr>
        <w:numPr>
          <w:ilvl w:val="0"/>
          <w:numId w:val="0"/>
        </w:numPr>
        <w:shd w:val="clear"/>
        <w:spacing w:line="600" w:lineRule="exact"/>
        <w:ind w:firstLine="640"/>
        <w:rPr>
          <w:rFonts w:hint="eastAsia" w:ascii="仿宋" w:hAnsi="仿宋" w:eastAsia="仿宋" w:cs="仿宋"/>
          <w:kern w:val="0"/>
          <w:sz w:val="32"/>
          <w:szCs w:val="32"/>
          <w:highlight w:val="none"/>
        </w:rPr>
      </w:pPr>
      <w:r>
        <w:rPr>
          <w:rFonts w:hint="default" w:ascii="仿宋" w:hAnsi="仿宋" w:eastAsia="仿宋" w:cs="仿宋"/>
          <w:kern w:val="0"/>
          <w:sz w:val="32"/>
          <w:szCs w:val="32"/>
          <w:highlight w:val="none"/>
        </w:rPr>
        <w:t>1.</w:t>
      </w:r>
      <w:r>
        <w:rPr>
          <w:rFonts w:hint="eastAsia" w:ascii="仿宋" w:hAnsi="仿宋" w:eastAsia="仿宋" w:cs="仿宋"/>
          <w:kern w:val="0"/>
          <w:sz w:val="32"/>
          <w:szCs w:val="32"/>
          <w:highlight w:val="none"/>
        </w:rPr>
        <w:t>体制补助支出</w:t>
      </w:r>
      <w:r>
        <w:rPr>
          <w:rFonts w:hint="eastAsia" w:ascii="仿宋" w:hAnsi="仿宋" w:eastAsia="仿宋" w:cs="仿宋"/>
          <w:kern w:val="0"/>
          <w:sz w:val="32"/>
          <w:szCs w:val="32"/>
          <w:highlight w:val="none"/>
          <w:lang w:val="en-US" w:eastAsia="zh-CN"/>
        </w:rPr>
        <w:t>1862</w:t>
      </w:r>
      <w:r>
        <w:rPr>
          <w:rFonts w:hint="eastAsia" w:ascii="仿宋" w:hAnsi="仿宋" w:eastAsia="仿宋" w:cs="仿宋"/>
          <w:kern w:val="0"/>
          <w:sz w:val="32"/>
          <w:szCs w:val="32"/>
          <w:highlight w:val="none"/>
        </w:rPr>
        <w:t>万元，</w:t>
      </w:r>
      <w:r>
        <w:rPr>
          <w:rFonts w:hint="eastAsia" w:ascii="仿宋" w:hAnsi="仿宋" w:eastAsia="仿宋" w:cs="仿宋"/>
          <w:kern w:val="0"/>
          <w:sz w:val="32"/>
          <w:szCs w:val="32"/>
          <w:highlight w:val="none"/>
          <w:lang w:eastAsia="zh-CN"/>
        </w:rPr>
        <w:t>与上年预算数持平</w:t>
      </w:r>
      <w:r>
        <w:rPr>
          <w:rFonts w:hint="eastAsia" w:ascii="仿宋" w:hAnsi="仿宋" w:eastAsia="仿宋" w:cs="仿宋"/>
          <w:kern w:val="0"/>
          <w:sz w:val="32"/>
          <w:szCs w:val="32"/>
          <w:highlight w:val="none"/>
        </w:rPr>
        <w:t>。</w:t>
      </w:r>
    </w:p>
    <w:p>
      <w:pPr>
        <w:numPr>
          <w:ilvl w:val="0"/>
          <w:numId w:val="0"/>
        </w:numPr>
        <w:shd w:val="clear"/>
        <w:spacing w:line="600" w:lineRule="exact"/>
        <w:ind w:firstLine="640"/>
        <w:rPr>
          <w:rFonts w:hint="eastAsia" w:ascii="仿宋" w:hAnsi="仿宋" w:eastAsia="仿宋" w:cs="仿宋"/>
          <w:color w:val="auto"/>
          <w:kern w:val="0"/>
          <w:sz w:val="32"/>
          <w:szCs w:val="32"/>
          <w:highlight w:val="none"/>
        </w:rPr>
      </w:pPr>
      <w:r>
        <w:rPr>
          <w:rFonts w:hint="default" w:ascii="仿宋" w:hAnsi="仿宋" w:eastAsia="仿宋" w:cs="仿宋"/>
          <w:kern w:val="0"/>
          <w:sz w:val="32"/>
          <w:szCs w:val="32"/>
          <w:highlight w:val="none"/>
        </w:rPr>
        <w:t>2.</w:t>
      </w:r>
      <w:r>
        <w:rPr>
          <w:rFonts w:hint="eastAsia" w:ascii="仿宋" w:hAnsi="仿宋" w:eastAsia="仿宋" w:cs="仿宋"/>
          <w:kern w:val="0"/>
          <w:sz w:val="32"/>
          <w:szCs w:val="32"/>
          <w:highlight w:val="none"/>
        </w:rPr>
        <w:t>均衡性转移支付支出</w:t>
      </w:r>
      <w:r>
        <w:rPr>
          <w:rFonts w:hint="eastAsia" w:ascii="仿宋" w:hAnsi="仿宋" w:eastAsia="仿宋" w:cs="仿宋"/>
          <w:color w:val="auto"/>
          <w:kern w:val="0"/>
          <w:sz w:val="32"/>
          <w:szCs w:val="32"/>
          <w:highlight w:val="none"/>
          <w:lang w:val="en-US" w:eastAsia="zh-CN"/>
        </w:rPr>
        <w:t>7578</w:t>
      </w:r>
      <w:r>
        <w:rPr>
          <w:rFonts w:hint="eastAsia" w:ascii="仿宋" w:hAnsi="仿宋" w:eastAsia="仿宋" w:cs="仿宋"/>
          <w:kern w:val="0"/>
          <w:sz w:val="32"/>
          <w:szCs w:val="32"/>
          <w:highlight w:val="none"/>
        </w:rPr>
        <w:t>万元，较</w:t>
      </w:r>
      <w:r>
        <w:rPr>
          <w:rFonts w:hint="eastAsia" w:ascii="仿宋" w:hAnsi="仿宋" w:eastAsia="仿宋" w:cs="仿宋"/>
          <w:kern w:val="0"/>
          <w:sz w:val="32"/>
          <w:szCs w:val="32"/>
          <w:highlight w:val="none"/>
          <w:lang w:eastAsia="zh-CN"/>
        </w:rPr>
        <w:t>上年预算数增加</w:t>
      </w:r>
      <w:r>
        <w:rPr>
          <w:rFonts w:hint="eastAsia" w:ascii="仿宋" w:hAnsi="仿宋" w:eastAsia="仿宋" w:cs="仿宋"/>
          <w:color w:val="auto"/>
          <w:kern w:val="0"/>
          <w:sz w:val="32"/>
          <w:szCs w:val="32"/>
          <w:highlight w:val="none"/>
          <w:lang w:val="en-US" w:eastAsia="zh-CN"/>
        </w:rPr>
        <w:t>766</w:t>
      </w:r>
      <w:r>
        <w:rPr>
          <w:rFonts w:hint="eastAsia" w:ascii="仿宋" w:hAnsi="仿宋" w:eastAsia="仿宋" w:cs="仿宋"/>
          <w:kern w:val="0"/>
          <w:sz w:val="32"/>
          <w:szCs w:val="32"/>
          <w:highlight w:val="none"/>
        </w:rPr>
        <w:t>万元，</w:t>
      </w:r>
      <w:r>
        <w:rPr>
          <w:rFonts w:hint="eastAsia" w:ascii="仿宋" w:hAnsi="仿宋" w:eastAsia="仿宋" w:cs="仿宋"/>
          <w:kern w:val="0"/>
          <w:sz w:val="32"/>
          <w:szCs w:val="32"/>
          <w:highlight w:val="none"/>
          <w:lang w:eastAsia="zh-CN"/>
        </w:rPr>
        <w:t>增长</w:t>
      </w:r>
      <w:r>
        <w:rPr>
          <w:rFonts w:hint="eastAsia" w:ascii="仿宋" w:hAnsi="仿宋" w:eastAsia="仿宋" w:cs="仿宋"/>
          <w:color w:val="auto"/>
          <w:kern w:val="0"/>
          <w:sz w:val="32"/>
          <w:szCs w:val="32"/>
          <w:highlight w:val="none"/>
          <w:lang w:val="en-US" w:eastAsia="zh-CN"/>
        </w:rPr>
        <w:t>11.2</w:t>
      </w:r>
      <w:r>
        <w:rPr>
          <w:rFonts w:hint="eastAsia" w:ascii="仿宋" w:hAnsi="仿宋" w:eastAsia="仿宋" w:cs="仿宋"/>
          <w:kern w:val="0"/>
          <w:sz w:val="32"/>
          <w:szCs w:val="32"/>
          <w:highlight w:val="none"/>
        </w:rPr>
        <w:t>%。主要原因是</w:t>
      </w:r>
      <w:r>
        <w:rPr>
          <w:rFonts w:hint="eastAsia" w:ascii="仿宋" w:hAnsi="仿宋" w:eastAsia="仿宋" w:cs="仿宋"/>
          <w:color w:val="auto"/>
          <w:kern w:val="0"/>
          <w:sz w:val="32"/>
          <w:szCs w:val="32"/>
          <w:highlight w:val="none"/>
          <w:lang w:eastAsia="zh-CN"/>
        </w:rPr>
        <w:t>人员经费</w:t>
      </w:r>
      <w:bookmarkStart w:id="0" w:name="_GoBack"/>
      <w:bookmarkEnd w:id="0"/>
      <w:r>
        <w:rPr>
          <w:rFonts w:hint="eastAsia" w:ascii="仿宋" w:hAnsi="仿宋" w:eastAsia="仿宋" w:cs="仿宋"/>
          <w:color w:val="auto"/>
          <w:kern w:val="0"/>
          <w:sz w:val="32"/>
          <w:szCs w:val="32"/>
          <w:highlight w:val="none"/>
          <w:lang w:eastAsia="zh-CN"/>
        </w:rPr>
        <w:t>增加</w:t>
      </w:r>
      <w:r>
        <w:rPr>
          <w:rFonts w:hint="eastAsia" w:ascii="仿宋" w:hAnsi="仿宋" w:eastAsia="仿宋" w:cs="仿宋"/>
          <w:color w:val="auto"/>
          <w:kern w:val="0"/>
          <w:sz w:val="32"/>
          <w:szCs w:val="32"/>
          <w:highlight w:val="none"/>
        </w:rPr>
        <w:t>。</w:t>
      </w:r>
    </w:p>
    <w:p>
      <w:pPr>
        <w:shd w:val="clear"/>
        <w:spacing w:line="600" w:lineRule="exact"/>
        <w:ind w:firstLine="640" w:firstLineChars="200"/>
        <w:rPr>
          <w:rFonts w:hint="eastAsia" w:ascii="仿宋" w:hAnsi="仿宋" w:eastAsia="仿宋" w:cs="仿宋"/>
          <w:color w:val="auto"/>
          <w:kern w:val="0"/>
          <w:sz w:val="32"/>
          <w:szCs w:val="32"/>
          <w:highlight w:val="none"/>
        </w:rPr>
      </w:pPr>
      <w:r>
        <w:rPr>
          <w:rFonts w:hint="default" w:ascii="仿宋" w:hAnsi="仿宋" w:eastAsia="仿宋" w:cs="仿宋"/>
          <w:kern w:val="0"/>
          <w:sz w:val="32"/>
          <w:szCs w:val="32"/>
          <w:highlight w:val="none"/>
        </w:rPr>
        <w:t>3.</w:t>
      </w:r>
      <w:r>
        <w:rPr>
          <w:rFonts w:hint="eastAsia" w:ascii="仿宋" w:hAnsi="仿宋" w:eastAsia="仿宋" w:cs="仿宋"/>
          <w:kern w:val="0"/>
          <w:sz w:val="32"/>
          <w:szCs w:val="32"/>
          <w:highlight w:val="none"/>
        </w:rPr>
        <w:t>县级基本财力保障机制奖补资金支出</w:t>
      </w:r>
      <w:r>
        <w:rPr>
          <w:rFonts w:hint="eastAsia" w:ascii="仿宋" w:hAnsi="仿宋" w:eastAsia="仿宋" w:cs="仿宋"/>
          <w:kern w:val="0"/>
          <w:sz w:val="32"/>
          <w:szCs w:val="32"/>
          <w:highlight w:val="none"/>
          <w:lang w:val="en-US" w:eastAsia="zh-CN"/>
        </w:rPr>
        <w:t>2850</w:t>
      </w:r>
      <w:r>
        <w:rPr>
          <w:rFonts w:hint="eastAsia" w:ascii="仿宋" w:hAnsi="仿宋" w:eastAsia="仿宋" w:cs="仿宋"/>
          <w:kern w:val="0"/>
          <w:sz w:val="32"/>
          <w:szCs w:val="32"/>
          <w:highlight w:val="none"/>
        </w:rPr>
        <w:t>万元，较</w:t>
      </w:r>
      <w:r>
        <w:rPr>
          <w:rFonts w:hint="eastAsia" w:ascii="仿宋" w:hAnsi="仿宋" w:eastAsia="仿宋" w:cs="仿宋"/>
          <w:kern w:val="0"/>
          <w:sz w:val="32"/>
          <w:szCs w:val="32"/>
          <w:highlight w:val="none"/>
          <w:lang w:eastAsia="zh-CN"/>
        </w:rPr>
        <w:t>上年预算数减少</w:t>
      </w:r>
      <w:r>
        <w:rPr>
          <w:rFonts w:hint="eastAsia" w:ascii="仿宋" w:hAnsi="仿宋" w:eastAsia="仿宋" w:cs="仿宋"/>
          <w:kern w:val="0"/>
          <w:sz w:val="32"/>
          <w:szCs w:val="32"/>
          <w:highlight w:val="none"/>
          <w:lang w:val="en-US" w:eastAsia="zh-CN"/>
        </w:rPr>
        <w:t>376</w:t>
      </w:r>
      <w:r>
        <w:rPr>
          <w:rFonts w:hint="eastAsia" w:ascii="仿宋" w:hAnsi="仿宋" w:eastAsia="仿宋" w:cs="仿宋"/>
          <w:kern w:val="0"/>
          <w:sz w:val="32"/>
          <w:szCs w:val="32"/>
          <w:highlight w:val="none"/>
        </w:rPr>
        <w:t>万元，</w:t>
      </w:r>
      <w:r>
        <w:rPr>
          <w:rFonts w:hint="eastAsia" w:ascii="仿宋" w:hAnsi="仿宋" w:eastAsia="仿宋" w:cs="仿宋"/>
          <w:kern w:val="0"/>
          <w:sz w:val="32"/>
          <w:szCs w:val="32"/>
          <w:highlight w:val="none"/>
          <w:lang w:eastAsia="zh-CN"/>
        </w:rPr>
        <w:t>下降</w:t>
      </w:r>
      <w:r>
        <w:rPr>
          <w:rFonts w:hint="eastAsia" w:ascii="仿宋" w:hAnsi="仿宋" w:eastAsia="仿宋" w:cs="仿宋"/>
          <w:kern w:val="0"/>
          <w:sz w:val="32"/>
          <w:szCs w:val="32"/>
          <w:highlight w:val="none"/>
          <w:lang w:val="en-US" w:eastAsia="zh-CN"/>
        </w:rPr>
        <w:t>11.7</w:t>
      </w:r>
      <w:r>
        <w:rPr>
          <w:rFonts w:hint="eastAsia" w:ascii="仿宋" w:hAnsi="仿宋" w:eastAsia="仿宋" w:cs="仿宋"/>
          <w:kern w:val="0"/>
          <w:sz w:val="32"/>
          <w:szCs w:val="32"/>
          <w:highlight w:val="none"/>
        </w:rPr>
        <w:t>%。主要原因是</w:t>
      </w:r>
      <w:r>
        <w:rPr>
          <w:rFonts w:hint="eastAsia" w:ascii="仿宋" w:hAnsi="仿宋" w:eastAsia="仿宋" w:cs="仿宋"/>
          <w:color w:val="auto"/>
          <w:kern w:val="0"/>
          <w:sz w:val="32"/>
          <w:szCs w:val="32"/>
          <w:highlight w:val="none"/>
          <w:lang w:eastAsia="zh-CN"/>
        </w:rPr>
        <w:t>上级转移支付减少</w:t>
      </w:r>
      <w:r>
        <w:rPr>
          <w:rFonts w:hint="eastAsia" w:ascii="仿宋" w:hAnsi="仿宋" w:eastAsia="仿宋" w:cs="仿宋"/>
          <w:color w:val="auto"/>
          <w:kern w:val="0"/>
          <w:sz w:val="32"/>
          <w:szCs w:val="32"/>
          <w:highlight w:val="none"/>
        </w:rPr>
        <w:t>。</w:t>
      </w:r>
    </w:p>
    <w:p>
      <w:pPr>
        <w:shd w:val="clear"/>
        <w:spacing w:line="600" w:lineRule="exact"/>
        <w:ind w:firstLine="640" w:firstLineChars="200"/>
        <w:rPr>
          <w:rFonts w:hint="eastAsia" w:ascii="仿宋" w:hAnsi="仿宋" w:eastAsia="仿宋" w:cs="仿宋"/>
          <w:kern w:val="0"/>
          <w:sz w:val="32"/>
          <w:szCs w:val="32"/>
          <w:highlight w:val="none"/>
          <w:lang w:eastAsia="zh-CN"/>
        </w:rPr>
      </w:pPr>
      <w:r>
        <w:rPr>
          <w:rFonts w:hint="default" w:ascii="仿宋" w:hAnsi="仿宋" w:eastAsia="仿宋" w:cs="仿宋"/>
          <w:kern w:val="0"/>
          <w:sz w:val="32"/>
          <w:szCs w:val="32"/>
          <w:highlight w:val="none"/>
        </w:rPr>
        <w:t>4.</w:t>
      </w:r>
      <w:r>
        <w:rPr>
          <w:rFonts w:hint="eastAsia" w:ascii="仿宋" w:hAnsi="仿宋" w:eastAsia="仿宋" w:cs="仿宋"/>
          <w:kern w:val="0"/>
          <w:sz w:val="32"/>
          <w:szCs w:val="32"/>
          <w:highlight w:val="none"/>
        </w:rPr>
        <w:t>结算补助支出</w:t>
      </w:r>
      <w:r>
        <w:rPr>
          <w:rFonts w:hint="eastAsia" w:ascii="仿宋" w:hAnsi="仿宋" w:eastAsia="仿宋" w:cs="仿宋"/>
          <w:kern w:val="0"/>
          <w:sz w:val="32"/>
          <w:szCs w:val="32"/>
          <w:highlight w:val="none"/>
          <w:lang w:val="en-US" w:eastAsia="zh-CN"/>
        </w:rPr>
        <w:t>0</w:t>
      </w:r>
      <w:r>
        <w:rPr>
          <w:rFonts w:hint="eastAsia" w:ascii="仿宋" w:hAnsi="仿宋" w:eastAsia="仿宋" w:cs="仿宋"/>
          <w:kern w:val="0"/>
          <w:sz w:val="32"/>
          <w:szCs w:val="32"/>
          <w:highlight w:val="none"/>
        </w:rPr>
        <w:t>万元，</w:t>
      </w:r>
      <w:r>
        <w:rPr>
          <w:rFonts w:hint="eastAsia" w:ascii="仿宋" w:hAnsi="仿宋" w:eastAsia="仿宋" w:cs="仿宋"/>
          <w:kern w:val="0"/>
          <w:sz w:val="32"/>
          <w:szCs w:val="32"/>
          <w:highlight w:val="none"/>
          <w:lang w:eastAsia="zh-CN"/>
        </w:rPr>
        <w:t>下降</w:t>
      </w:r>
      <w:r>
        <w:rPr>
          <w:rFonts w:hint="eastAsia" w:ascii="仿宋" w:hAnsi="仿宋" w:eastAsia="仿宋" w:cs="仿宋"/>
          <w:kern w:val="0"/>
          <w:sz w:val="32"/>
          <w:szCs w:val="32"/>
          <w:highlight w:val="none"/>
          <w:lang w:val="en-US" w:eastAsia="zh-CN"/>
        </w:rPr>
        <w:t>100</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主要原因是</w:t>
      </w:r>
      <w:r>
        <w:rPr>
          <w:rFonts w:hint="eastAsia" w:ascii="仿宋" w:hAnsi="仿宋" w:eastAsia="仿宋" w:cs="仿宋"/>
          <w:color w:val="auto"/>
          <w:kern w:val="0"/>
          <w:sz w:val="32"/>
          <w:szCs w:val="32"/>
          <w:highlight w:val="none"/>
          <w:lang w:eastAsia="zh-CN"/>
        </w:rPr>
        <w:t>上级转移支付减少</w:t>
      </w:r>
      <w:r>
        <w:rPr>
          <w:rFonts w:hint="eastAsia" w:ascii="仿宋" w:hAnsi="仿宋" w:eastAsia="仿宋" w:cs="仿宋"/>
          <w:kern w:val="0"/>
          <w:sz w:val="32"/>
          <w:szCs w:val="32"/>
          <w:highlight w:val="none"/>
        </w:rPr>
        <w:t>。</w:t>
      </w:r>
    </w:p>
    <w:p>
      <w:pPr>
        <w:shd w:val="clear"/>
        <w:spacing w:line="600" w:lineRule="exact"/>
        <w:ind w:firstLine="640" w:firstLineChars="200"/>
        <w:rPr>
          <w:rFonts w:hint="eastAsia" w:ascii="仿宋" w:hAnsi="仿宋" w:eastAsia="仿宋" w:cs="仿宋"/>
          <w:color w:val="auto"/>
          <w:kern w:val="0"/>
          <w:sz w:val="32"/>
          <w:szCs w:val="32"/>
          <w:highlight w:val="none"/>
        </w:rPr>
      </w:pPr>
      <w:r>
        <w:rPr>
          <w:rFonts w:hint="default" w:ascii="仿宋" w:hAnsi="仿宋" w:eastAsia="仿宋" w:cs="仿宋"/>
          <w:kern w:val="0"/>
          <w:sz w:val="32"/>
          <w:szCs w:val="32"/>
          <w:highlight w:val="none"/>
        </w:rPr>
        <w:t>5.</w:t>
      </w:r>
      <w:r>
        <w:rPr>
          <w:rFonts w:hint="eastAsia" w:ascii="仿宋" w:hAnsi="仿宋" w:eastAsia="仿宋" w:cs="仿宋"/>
          <w:kern w:val="0"/>
          <w:sz w:val="32"/>
          <w:szCs w:val="32"/>
          <w:highlight w:val="none"/>
        </w:rPr>
        <w:t>农村综合改革转移支付支出</w:t>
      </w:r>
      <w:r>
        <w:rPr>
          <w:rFonts w:hint="eastAsia" w:ascii="仿宋" w:hAnsi="仿宋" w:eastAsia="仿宋" w:cs="仿宋"/>
          <w:kern w:val="0"/>
          <w:sz w:val="32"/>
          <w:szCs w:val="32"/>
          <w:highlight w:val="none"/>
          <w:lang w:val="en-US" w:eastAsia="zh-CN"/>
        </w:rPr>
        <w:t>6345</w:t>
      </w:r>
      <w:r>
        <w:rPr>
          <w:rFonts w:hint="eastAsia" w:ascii="仿宋" w:hAnsi="仿宋" w:eastAsia="仿宋" w:cs="仿宋"/>
          <w:kern w:val="0"/>
          <w:sz w:val="32"/>
          <w:szCs w:val="32"/>
          <w:highlight w:val="none"/>
        </w:rPr>
        <w:t>万元，较</w:t>
      </w:r>
      <w:r>
        <w:rPr>
          <w:rFonts w:hint="eastAsia" w:ascii="仿宋" w:hAnsi="仿宋" w:eastAsia="仿宋" w:cs="仿宋"/>
          <w:kern w:val="0"/>
          <w:sz w:val="32"/>
          <w:szCs w:val="32"/>
          <w:highlight w:val="none"/>
          <w:lang w:eastAsia="zh-CN"/>
        </w:rPr>
        <w:t>上年预算数减少</w:t>
      </w:r>
      <w:r>
        <w:rPr>
          <w:rFonts w:hint="eastAsia" w:ascii="仿宋" w:hAnsi="仿宋" w:eastAsia="仿宋" w:cs="仿宋"/>
          <w:kern w:val="0"/>
          <w:sz w:val="32"/>
          <w:szCs w:val="32"/>
          <w:highlight w:val="none"/>
          <w:lang w:val="en-US" w:eastAsia="zh-CN"/>
        </w:rPr>
        <w:t>313</w:t>
      </w:r>
      <w:r>
        <w:rPr>
          <w:rFonts w:hint="eastAsia" w:ascii="仿宋" w:hAnsi="仿宋" w:eastAsia="仿宋" w:cs="仿宋"/>
          <w:kern w:val="0"/>
          <w:sz w:val="32"/>
          <w:szCs w:val="32"/>
          <w:highlight w:val="none"/>
        </w:rPr>
        <w:t>万元，</w:t>
      </w:r>
      <w:r>
        <w:rPr>
          <w:rFonts w:hint="eastAsia" w:ascii="仿宋" w:hAnsi="仿宋" w:eastAsia="仿宋" w:cs="仿宋"/>
          <w:kern w:val="0"/>
          <w:sz w:val="32"/>
          <w:szCs w:val="32"/>
          <w:highlight w:val="none"/>
          <w:lang w:eastAsia="zh-CN"/>
        </w:rPr>
        <w:t>下降</w:t>
      </w:r>
      <w:r>
        <w:rPr>
          <w:rFonts w:hint="eastAsia" w:ascii="仿宋" w:hAnsi="仿宋" w:eastAsia="仿宋" w:cs="仿宋"/>
          <w:kern w:val="0"/>
          <w:sz w:val="32"/>
          <w:szCs w:val="32"/>
          <w:highlight w:val="none"/>
          <w:lang w:val="en-US" w:eastAsia="zh-CN"/>
        </w:rPr>
        <w:t>4.7</w:t>
      </w:r>
      <w:r>
        <w:rPr>
          <w:rFonts w:hint="eastAsia" w:ascii="仿宋" w:hAnsi="仿宋" w:eastAsia="仿宋" w:cs="仿宋"/>
          <w:kern w:val="0"/>
          <w:sz w:val="32"/>
          <w:szCs w:val="32"/>
          <w:highlight w:val="none"/>
        </w:rPr>
        <w:t>%。主要原因是</w:t>
      </w:r>
      <w:r>
        <w:rPr>
          <w:rFonts w:hint="eastAsia" w:ascii="仿宋" w:hAnsi="仿宋" w:eastAsia="仿宋" w:cs="仿宋"/>
          <w:color w:val="auto"/>
          <w:kern w:val="0"/>
          <w:sz w:val="32"/>
          <w:szCs w:val="32"/>
          <w:highlight w:val="none"/>
          <w:lang w:eastAsia="zh-CN"/>
        </w:rPr>
        <w:t>上级转移支付减少</w:t>
      </w:r>
      <w:r>
        <w:rPr>
          <w:rFonts w:hint="eastAsia" w:ascii="仿宋" w:hAnsi="仿宋" w:eastAsia="仿宋" w:cs="仿宋"/>
          <w:color w:val="auto"/>
          <w:kern w:val="0"/>
          <w:sz w:val="32"/>
          <w:szCs w:val="32"/>
          <w:highlight w:val="none"/>
        </w:rPr>
        <w:t>。</w:t>
      </w:r>
    </w:p>
    <w:p>
      <w:pPr>
        <w:shd w:val="clear"/>
        <w:spacing w:line="600" w:lineRule="exact"/>
        <w:ind w:firstLine="640" w:firstLineChars="200"/>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6.其他一般性转移支付支出</w:t>
      </w:r>
      <w:r>
        <w:rPr>
          <w:rFonts w:hint="eastAsia" w:ascii="仿宋" w:hAnsi="仿宋" w:eastAsia="仿宋" w:cs="仿宋"/>
          <w:kern w:val="0"/>
          <w:sz w:val="32"/>
          <w:szCs w:val="32"/>
          <w:highlight w:val="none"/>
          <w:lang w:val="en-US" w:eastAsia="zh-CN"/>
        </w:rPr>
        <w:t>0</w:t>
      </w:r>
      <w:r>
        <w:rPr>
          <w:rFonts w:hint="eastAsia" w:ascii="仿宋" w:hAnsi="仿宋" w:eastAsia="仿宋" w:cs="仿宋"/>
          <w:kern w:val="0"/>
          <w:sz w:val="32"/>
          <w:szCs w:val="32"/>
          <w:highlight w:val="none"/>
        </w:rPr>
        <w:t>万元，</w:t>
      </w:r>
      <w:r>
        <w:rPr>
          <w:rFonts w:hint="eastAsia" w:ascii="仿宋" w:hAnsi="仿宋" w:eastAsia="仿宋" w:cs="仿宋"/>
          <w:kern w:val="0"/>
          <w:sz w:val="32"/>
          <w:szCs w:val="32"/>
          <w:highlight w:val="none"/>
          <w:lang w:eastAsia="zh-CN"/>
        </w:rPr>
        <w:t>下降</w:t>
      </w:r>
      <w:r>
        <w:rPr>
          <w:rFonts w:hint="eastAsia" w:ascii="仿宋" w:hAnsi="仿宋" w:eastAsia="仿宋" w:cs="仿宋"/>
          <w:kern w:val="0"/>
          <w:sz w:val="32"/>
          <w:szCs w:val="32"/>
          <w:highlight w:val="none"/>
          <w:lang w:val="en-US" w:eastAsia="zh-CN"/>
        </w:rPr>
        <w:t>100</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主要原因是</w:t>
      </w:r>
      <w:r>
        <w:rPr>
          <w:rFonts w:hint="eastAsia" w:ascii="仿宋" w:hAnsi="仿宋" w:eastAsia="仿宋" w:cs="仿宋"/>
          <w:color w:val="auto"/>
          <w:kern w:val="0"/>
          <w:sz w:val="32"/>
          <w:szCs w:val="32"/>
          <w:highlight w:val="none"/>
          <w:lang w:eastAsia="zh-CN"/>
        </w:rPr>
        <w:t>上级转移支付减少</w:t>
      </w:r>
      <w:r>
        <w:rPr>
          <w:rFonts w:hint="eastAsia" w:ascii="仿宋" w:hAnsi="仿宋" w:eastAsia="仿宋" w:cs="仿宋"/>
          <w:color w:val="auto"/>
          <w:kern w:val="0"/>
          <w:sz w:val="32"/>
          <w:szCs w:val="32"/>
          <w:highlight w:val="none"/>
        </w:rPr>
        <w:t>。</w:t>
      </w:r>
    </w:p>
    <w:p>
      <w:pPr>
        <w:shd w:val="clear"/>
        <w:spacing w:line="600" w:lineRule="exact"/>
        <w:ind w:firstLine="643" w:firstLineChars="200"/>
        <w:rPr>
          <w:rFonts w:hint="eastAsia" w:ascii="楷体" w:hAnsi="楷体" w:eastAsia="楷体" w:cs="楷体"/>
          <w:b/>
          <w:bCs/>
          <w:kern w:val="0"/>
          <w:sz w:val="32"/>
          <w:szCs w:val="32"/>
          <w:highlight w:val="none"/>
          <w:lang w:val="en-US" w:eastAsia="zh-CN"/>
        </w:rPr>
      </w:pPr>
      <w:r>
        <w:rPr>
          <w:rFonts w:hint="eastAsia" w:ascii="楷体" w:hAnsi="楷体" w:eastAsia="楷体" w:cs="楷体"/>
          <w:b/>
          <w:bCs/>
          <w:kern w:val="0"/>
          <w:sz w:val="32"/>
          <w:szCs w:val="32"/>
          <w:highlight w:val="none"/>
          <w:lang w:val="en-US" w:eastAsia="zh-CN"/>
        </w:rPr>
        <w:t>（二）专项转移支付</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2024</w:t>
      </w:r>
      <w:r>
        <w:rPr>
          <w:rFonts w:hint="eastAsia" w:ascii="仿宋" w:hAnsi="仿宋" w:eastAsia="仿宋" w:cs="仿宋"/>
          <w:kern w:val="0"/>
          <w:sz w:val="32"/>
          <w:szCs w:val="32"/>
          <w:highlight w:val="none"/>
        </w:rPr>
        <w:t>年度</w:t>
      </w:r>
      <w:r>
        <w:rPr>
          <w:rFonts w:hint="eastAsia" w:ascii="仿宋" w:hAnsi="仿宋" w:eastAsia="仿宋" w:cs="仿宋"/>
          <w:kern w:val="0"/>
          <w:sz w:val="32"/>
          <w:szCs w:val="32"/>
          <w:highlight w:val="none"/>
          <w:lang w:eastAsia="zh-CN"/>
        </w:rPr>
        <w:t>长汀</w:t>
      </w:r>
      <w:r>
        <w:rPr>
          <w:rFonts w:hint="eastAsia" w:ascii="仿宋" w:hAnsi="仿宋" w:eastAsia="仿宋" w:cs="仿宋"/>
          <w:kern w:val="0"/>
          <w:sz w:val="32"/>
          <w:szCs w:val="32"/>
          <w:highlight w:val="none"/>
        </w:rPr>
        <w:t>县</w:t>
      </w:r>
      <w:r>
        <w:rPr>
          <w:rFonts w:hint="eastAsia" w:ascii="仿宋" w:hAnsi="仿宋" w:eastAsia="仿宋" w:cs="仿宋"/>
          <w:kern w:val="0"/>
          <w:sz w:val="32"/>
          <w:szCs w:val="32"/>
          <w:highlight w:val="none"/>
          <w:lang w:eastAsia="zh-CN"/>
        </w:rPr>
        <w:t>无</w:t>
      </w:r>
      <w:r>
        <w:rPr>
          <w:rFonts w:hint="eastAsia" w:ascii="仿宋" w:hAnsi="仿宋" w:eastAsia="仿宋" w:cs="仿宋"/>
          <w:kern w:val="0"/>
          <w:sz w:val="32"/>
          <w:szCs w:val="32"/>
          <w:highlight w:val="none"/>
        </w:rPr>
        <w:t>对下专项转移支付预算数。</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Style w:val="7"/>
          <w:rFonts w:hint="eastAsia" w:ascii="楷体" w:hAnsi="楷体" w:eastAsia="楷体" w:cs="楷体"/>
          <w:b w:val="0"/>
          <w:kern w:val="0"/>
          <w:sz w:val="32"/>
          <w:szCs w:val="32"/>
          <w:highlight w:val="none"/>
        </w:rPr>
      </w:pPr>
      <w:r>
        <w:rPr>
          <w:rFonts w:hint="eastAsia" w:ascii="楷体" w:hAnsi="楷体" w:eastAsia="楷体" w:cs="楷体"/>
          <w:b/>
          <w:kern w:val="0"/>
          <w:sz w:val="32"/>
          <w:szCs w:val="32"/>
          <w:highlight w:val="none"/>
        </w:rPr>
        <w:t>（三）</w:t>
      </w:r>
      <w:r>
        <w:rPr>
          <w:rStyle w:val="7"/>
          <w:rFonts w:hint="eastAsia" w:ascii="楷体" w:hAnsi="楷体" w:eastAsia="楷体" w:cs="楷体"/>
          <w:kern w:val="0"/>
          <w:sz w:val="32"/>
          <w:szCs w:val="32"/>
          <w:highlight w:val="none"/>
        </w:rPr>
        <w:t>税收返还</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2024</w:t>
      </w:r>
      <w:r>
        <w:rPr>
          <w:rFonts w:hint="eastAsia" w:ascii="仿宋" w:hAnsi="仿宋" w:eastAsia="仿宋" w:cs="仿宋"/>
          <w:kern w:val="0"/>
          <w:sz w:val="32"/>
          <w:szCs w:val="32"/>
          <w:highlight w:val="none"/>
        </w:rPr>
        <w:t>年度</w:t>
      </w:r>
      <w:r>
        <w:rPr>
          <w:rFonts w:hint="eastAsia" w:ascii="仿宋" w:hAnsi="仿宋" w:eastAsia="仿宋" w:cs="仿宋"/>
          <w:kern w:val="0"/>
          <w:sz w:val="32"/>
          <w:szCs w:val="32"/>
          <w:highlight w:val="none"/>
          <w:lang w:eastAsia="zh-CN"/>
        </w:rPr>
        <w:t>长汀</w:t>
      </w:r>
      <w:r>
        <w:rPr>
          <w:rFonts w:hint="eastAsia" w:ascii="仿宋" w:hAnsi="仿宋" w:eastAsia="仿宋" w:cs="仿宋"/>
          <w:kern w:val="0"/>
          <w:sz w:val="32"/>
          <w:szCs w:val="32"/>
          <w:highlight w:val="none"/>
        </w:rPr>
        <w:t>县</w:t>
      </w:r>
      <w:r>
        <w:rPr>
          <w:rFonts w:hint="default" w:ascii="仿宋" w:hAnsi="仿宋" w:eastAsia="仿宋" w:cs="仿宋"/>
          <w:kern w:val="0"/>
          <w:sz w:val="32"/>
          <w:szCs w:val="32"/>
          <w:highlight w:val="none"/>
        </w:rPr>
        <w:t>无</w:t>
      </w:r>
      <w:r>
        <w:rPr>
          <w:rFonts w:hint="eastAsia" w:ascii="仿宋" w:hAnsi="仿宋" w:eastAsia="仿宋" w:cs="仿宋"/>
          <w:kern w:val="0"/>
          <w:sz w:val="32"/>
          <w:szCs w:val="32"/>
          <w:highlight w:val="none"/>
        </w:rPr>
        <w:t>对下税收返还预算数。</w:t>
      </w:r>
    </w:p>
    <w:p>
      <w:pPr>
        <w:shd w:val="clear"/>
        <w:spacing w:line="60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三、举借政府债务情况</w:t>
      </w:r>
    </w:p>
    <w:p>
      <w:pPr>
        <w:shd w:val="clear"/>
        <w:spacing w:line="600" w:lineRule="exact"/>
        <w:ind w:firstLine="643" w:firstLineChars="200"/>
        <w:rPr>
          <w:rFonts w:hint="eastAsia" w:ascii="楷体" w:hAnsi="楷体" w:eastAsia="楷体" w:cs="楷体"/>
          <w:b/>
          <w:bCs/>
          <w:kern w:val="0"/>
          <w:sz w:val="32"/>
          <w:szCs w:val="32"/>
          <w:highlight w:val="none"/>
          <w:lang w:val="en-US" w:eastAsia="zh-CN"/>
        </w:rPr>
      </w:pPr>
      <w:r>
        <w:rPr>
          <w:rFonts w:hint="eastAsia" w:ascii="楷体" w:hAnsi="楷体" w:eastAsia="楷体" w:cs="楷体"/>
          <w:b/>
          <w:bCs/>
          <w:kern w:val="0"/>
          <w:sz w:val="32"/>
          <w:szCs w:val="32"/>
          <w:highlight w:val="none"/>
          <w:lang w:val="en-US" w:eastAsia="zh-CN"/>
        </w:rPr>
        <w:t>（一）举借政府债务情况</w:t>
      </w:r>
    </w:p>
    <w:p>
      <w:pPr>
        <w:shd w:val="clear"/>
        <w:spacing w:line="600" w:lineRule="exact"/>
        <w:ind w:firstLine="640" w:firstLineChars="200"/>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2023年全县新增政府债务限额119585万元，其中：一般债务限额18285万元，专项债务限额101300万元。</w:t>
      </w:r>
    </w:p>
    <w:p>
      <w:pPr>
        <w:shd w:val="clear"/>
        <w:spacing w:line="600" w:lineRule="exact"/>
        <w:ind w:firstLine="643" w:firstLineChars="200"/>
        <w:rPr>
          <w:rFonts w:hint="eastAsia" w:ascii="楷体" w:hAnsi="楷体" w:eastAsia="楷体" w:cs="楷体"/>
          <w:b/>
          <w:bCs/>
          <w:kern w:val="0"/>
          <w:sz w:val="32"/>
          <w:szCs w:val="32"/>
          <w:highlight w:val="none"/>
          <w:lang w:val="en-US" w:eastAsia="zh-CN"/>
        </w:rPr>
      </w:pPr>
      <w:r>
        <w:rPr>
          <w:rFonts w:hint="eastAsia" w:ascii="楷体" w:hAnsi="楷体" w:eastAsia="楷体" w:cs="楷体"/>
          <w:b/>
          <w:bCs/>
          <w:kern w:val="0"/>
          <w:sz w:val="32"/>
          <w:szCs w:val="32"/>
          <w:highlight w:val="none"/>
          <w:lang w:val="en-US" w:eastAsia="zh-CN"/>
        </w:rPr>
        <w:t>（二）地方政府债务限额余额情况</w:t>
      </w:r>
    </w:p>
    <w:p>
      <w:pPr>
        <w:shd w:val="clear"/>
        <w:spacing w:line="600" w:lineRule="exact"/>
        <w:ind w:firstLine="640" w:firstLineChars="200"/>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截至2023年底，全县政府债务余额预计执行数850753万元，债务余额严格控制在中央核定的限额895024万元内（所属地区地方政府债务限额及余额预计执行数详见附表）。</w:t>
      </w:r>
    </w:p>
    <w:p>
      <w:pPr>
        <w:shd w:val="clear"/>
        <w:spacing w:line="600" w:lineRule="exact"/>
        <w:ind w:firstLine="643" w:firstLineChars="200"/>
        <w:rPr>
          <w:rFonts w:hint="eastAsia" w:ascii="楷体" w:hAnsi="楷体" w:eastAsia="楷体" w:cs="楷体"/>
          <w:b/>
          <w:bCs/>
          <w:kern w:val="0"/>
          <w:sz w:val="32"/>
          <w:szCs w:val="32"/>
          <w:highlight w:val="none"/>
          <w:lang w:val="en-US" w:eastAsia="zh-CN"/>
        </w:rPr>
      </w:pPr>
      <w:r>
        <w:rPr>
          <w:rFonts w:hint="eastAsia" w:ascii="楷体" w:hAnsi="楷体" w:eastAsia="楷体" w:cs="楷体"/>
          <w:b/>
          <w:bCs/>
          <w:kern w:val="0"/>
          <w:sz w:val="32"/>
          <w:szCs w:val="32"/>
          <w:highlight w:val="none"/>
          <w:lang w:val="en-US" w:eastAsia="zh-CN"/>
        </w:rPr>
        <w:t>（三）地方政府债券发行情况</w:t>
      </w:r>
    </w:p>
    <w:p>
      <w:pPr>
        <w:shd w:val="clear"/>
        <w:spacing w:line="600" w:lineRule="exact"/>
        <w:ind w:firstLine="640" w:firstLineChars="200"/>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 xml:space="preserve">2023年全县由省级代为发行地方政府债券211724万元。 </w:t>
      </w:r>
    </w:p>
    <w:p>
      <w:pPr>
        <w:shd w:val="clear"/>
        <w:spacing w:line="600" w:lineRule="exact"/>
        <w:ind w:firstLine="640" w:firstLineChars="200"/>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按债券性质分：由省级代为发行新增债券119585万元、由省级代为发行再融资债券92139万元。</w:t>
      </w:r>
    </w:p>
    <w:p>
      <w:pPr>
        <w:shd w:val="clear"/>
        <w:spacing w:line="600" w:lineRule="exact"/>
        <w:ind w:firstLine="643" w:firstLineChars="200"/>
        <w:rPr>
          <w:rFonts w:hint="eastAsia" w:ascii="楷体" w:hAnsi="楷体" w:eastAsia="楷体" w:cs="楷体"/>
          <w:b/>
          <w:bCs/>
          <w:kern w:val="0"/>
          <w:sz w:val="32"/>
          <w:szCs w:val="32"/>
          <w:highlight w:val="none"/>
          <w:lang w:val="en-US" w:eastAsia="zh-CN"/>
        </w:rPr>
      </w:pPr>
      <w:r>
        <w:rPr>
          <w:rFonts w:hint="eastAsia" w:ascii="楷体" w:hAnsi="楷体" w:eastAsia="楷体" w:cs="楷体"/>
          <w:b/>
          <w:bCs/>
          <w:kern w:val="0"/>
          <w:sz w:val="32"/>
          <w:szCs w:val="32"/>
          <w:highlight w:val="none"/>
          <w:lang w:val="en-US" w:eastAsia="zh-CN"/>
        </w:rPr>
        <w:t>（四）地方政府债券还本付息情况</w:t>
      </w:r>
    </w:p>
    <w:p>
      <w:pPr>
        <w:shd w:val="clear"/>
        <w:spacing w:line="600" w:lineRule="exact"/>
        <w:ind w:firstLine="640" w:firstLineChars="200"/>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 xml:space="preserve">2023年全县地方政府债券还本付息129430万元。 </w:t>
      </w:r>
    </w:p>
    <w:p>
      <w:pPr>
        <w:shd w:val="clear"/>
        <w:spacing w:line="600" w:lineRule="exact"/>
        <w:ind w:firstLine="640" w:firstLineChars="200"/>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2024年全县地方政府债券还本付息预算安排45274万元。</w:t>
      </w:r>
    </w:p>
    <w:p>
      <w:pPr>
        <w:shd w:val="clear"/>
        <w:spacing w:line="600" w:lineRule="exact"/>
        <w:ind w:firstLine="643" w:firstLineChars="200"/>
        <w:rPr>
          <w:rFonts w:hint="eastAsia" w:ascii="楷体" w:hAnsi="楷体" w:eastAsia="楷体" w:cs="楷体"/>
          <w:b/>
          <w:bCs/>
          <w:kern w:val="0"/>
          <w:sz w:val="32"/>
          <w:szCs w:val="32"/>
          <w:highlight w:val="none"/>
          <w:lang w:val="en-US" w:eastAsia="zh-CN"/>
        </w:rPr>
      </w:pPr>
      <w:r>
        <w:rPr>
          <w:rFonts w:hint="eastAsia" w:ascii="楷体" w:hAnsi="楷体" w:eastAsia="楷体" w:cs="楷体"/>
          <w:b/>
          <w:bCs/>
          <w:kern w:val="0"/>
          <w:sz w:val="32"/>
          <w:szCs w:val="32"/>
          <w:highlight w:val="none"/>
          <w:lang w:val="en-US" w:eastAsia="zh-CN"/>
        </w:rPr>
        <w:t>（五）地方政府债券资金使用安排</w:t>
      </w:r>
    </w:p>
    <w:p>
      <w:pPr>
        <w:shd w:val="clear"/>
        <w:spacing w:line="600" w:lineRule="exact"/>
        <w:ind w:firstLine="640" w:firstLineChars="200"/>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省财政厅尚未下达2024年提前批债券资金额度，本县年初预算没有安排相应债券资金的使用。</w:t>
      </w:r>
    </w:p>
    <w:p>
      <w:pPr>
        <w:shd w:val="clear"/>
        <w:spacing w:line="60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四、预算绩效开展情况</w:t>
      </w:r>
    </w:p>
    <w:p>
      <w:pPr>
        <w:shd w:val="clear"/>
        <w:spacing w:line="600" w:lineRule="exact"/>
        <w:ind w:firstLine="640" w:firstLineChars="200"/>
        <w:rPr>
          <w:rFonts w:hint="eastAsia" w:ascii="仿宋" w:hAnsi="仿宋" w:eastAsia="仿宋" w:cs="仿宋"/>
          <w:kern w:val="0"/>
          <w:sz w:val="32"/>
          <w:szCs w:val="32"/>
          <w:highlight w:val="none"/>
          <w:lang w:val="zh-CN" w:eastAsia="zh-CN"/>
        </w:rPr>
      </w:pPr>
      <w:r>
        <w:rPr>
          <w:rFonts w:hint="eastAsia" w:ascii="仿宋" w:hAnsi="仿宋" w:eastAsia="仿宋" w:cs="仿宋"/>
          <w:kern w:val="0"/>
          <w:sz w:val="32"/>
          <w:szCs w:val="32"/>
          <w:highlight w:val="none"/>
          <w:lang w:val="zh-CN" w:eastAsia="zh-CN"/>
        </w:rPr>
        <w:t>202</w:t>
      </w:r>
      <w:r>
        <w:rPr>
          <w:rFonts w:hint="eastAsia" w:ascii="仿宋" w:hAnsi="仿宋" w:eastAsia="仿宋" w:cs="仿宋"/>
          <w:kern w:val="0"/>
          <w:sz w:val="32"/>
          <w:szCs w:val="32"/>
          <w:highlight w:val="none"/>
          <w:lang w:val="en-US" w:eastAsia="zh-CN"/>
        </w:rPr>
        <w:t>3</w:t>
      </w:r>
      <w:r>
        <w:rPr>
          <w:rFonts w:hint="eastAsia" w:ascii="仿宋" w:hAnsi="仿宋" w:eastAsia="仿宋" w:cs="仿宋"/>
          <w:kern w:val="0"/>
          <w:sz w:val="32"/>
          <w:szCs w:val="32"/>
          <w:highlight w:val="none"/>
          <w:lang w:val="zh-CN" w:eastAsia="zh-CN"/>
        </w:rPr>
        <w:t>年，长汀县财政局对5个领域5个财政重点支出项目进行了绩效评价，涉及财政资金</w:t>
      </w:r>
      <w:r>
        <w:rPr>
          <w:rFonts w:hint="eastAsia" w:ascii="仿宋" w:hAnsi="仿宋" w:eastAsia="仿宋" w:cs="仿宋"/>
          <w:kern w:val="0"/>
          <w:sz w:val="32"/>
          <w:szCs w:val="32"/>
          <w:highlight w:val="none"/>
          <w:lang w:val="en-US" w:eastAsia="zh-CN"/>
        </w:rPr>
        <w:t>32879.29</w:t>
      </w:r>
      <w:r>
        <w:rPr>
          <w:rFonts w:hint="eastAsia" w:ascii="仿宋" w:hAnsi="仿宋" w:eastAsia="仿宋" w:cs="仿宋"/>
          <w:kern w:val="0"/>
          <w:sz w:val="32"/>
          <w:szCs w:val="32"/>
          <w:highlight w:val="none"/>
          <w:lang w:val="zh-CN" w:eastAsia="zh-CN"/>
        </w:rPr>
        <w:t>万元。其中，绩效等级达到“优”的有1项，达到“良”的有3项，“合格”的1项。</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18C3F8"/>
    <w:multiLevelType w:val="singleLevel"/>
    <w:tmpl w:val="8E18C3F8"/>
    <w:lvl w:ilvl="0" w:tentative="0">
      <w:start w:val="1"/>
      <w:numFmt w:val="decimal"/>
      <w:lvlText w:val="%1."/>
      <w:lvlJc w:val="left"/>
      <w:pPr>
        <w:tabs>
          <w:tab w:val="left" w:pos="312"/>
        </w:tabs>
      </w:pPr>
    </w:lvl>
  </w:abstractNum>
  <w:abstractNum w:abstractNumId="1">
    <w:nsid w:val="A24BE2CA"/>
    <w:multiLevelType w:val="singleLevel"/>
    <w:tmpl w:val="A24BE2CA"/>
    <w:lvl w:ilvl="0" w:tentative="0">
      <w:start w:val="1"/>
      <w:numFmt w:val="decimal"/>
      <w:lvlText w:val="%1."/>
      <w:lvlJc w:val="left"/>
      <w:pPr>
        <w:tabs>
          <w:tab w:val="left" w:pos="312"/>
        </w:tabs>
      </w:pPr>
    </w:lvl>
  </w:abstractNum>
  <w:abstractNum w:abstractNumId="2">
    <w:nsid w:val="CB5D5504"/>
    <w:multiLevelType w:val="singleLevel"/>
    <w:tmpl w:val="CB5D5504"/>
    <w:lvl w:ilvl="0" w:tentative="0">
      <w:start w:val="1"/>
      <w:numFmt w:val="chineseCounting"/>
      <w:suff w:val="nothing"/>
      <w:lvlText w:val="（%1）"/>
      <w:lvlJc w:val="left"/>
      <w:rPr>
        <w:rFonts w:hint="eastAsia"/>
      </w:rPr>
    </w:lvl>
  </w:abstractNum>
  <w:abstractNum w:abstractNumId="3">
    <w:nsid w:val="FC000B47"/>
    <w:multiLevelType w:val="singleLevel"/>
    <w:tmpl w:val="FC000B47"/>
    <w:lvl w:ilvl="0" w:tentative="0">
      <w:start w:val="1"/>
      <w:numFmt w:val="decimal"/>
      <w:lvlText w:val="%1."/>
      <w:lvlJc w:val="left"/>
      <w:pPr>
        <w:tabs>
          <w:tab w:val="left" w:pos="312"/>
        </w:tabs>
      </w:pPr>
    </w:lvl>
  </w:abstractNum>
  <w:abstractNum w:abstractNumId="4">
    <w:nsid w:val="02832D50"/>
    <w:multiLevelType w:val="singleLevel"/>
    <w:tmpl w:val="02832D50"/>
    <w:lvl w:ilvl="0" w:tentative="0">
      <w:start w:val="1"/>
      <w:numFmt w:val="decimal"/>
      <w:lvlText w:val="%1."/>
      <w:lvlJc w:val="left"/>
      <w:pPr>
        <w:tabs>
          <w:tab w:val="left" w:pos="312"/>
        </w:tabs>
      </w:pPr>
    </w:lvl>
  </w:abstractNum>
  <w:abstractNum w:abstractNumId="5">
    <w:nsid w:val="1881330F"/>
    <w:multiLevelType w:val="singleLevel"/>
    <w:tmpl w:val="1881330F"/>
    <w:lvl w:ilvl="0" w:tentative="0">
      <w:start w:val="1"/>
      <w:numFmt w:val="decimal"/>
      <w:lvlText w:val="%1."/>
      <w:lvlJc w:val="left"/>
      <w:pPr>
        <w:tabs>
          <w:tab w:val="left" w:pos="312"/>
        </w:tabs>
      </w:pPr>
    </w:lvl>
  </w:abstractNum>
  <w:abstractNum w:abstractNumId="6">
    <w:nsid w:val="192B7E84"/>
    <w:multiLevelType w:val="singleLevel"/>
    <w:tmpl w:val="192B7E84"/>
    <w:lvl w:ilvl="0" w:tentative="0">
      <w:start w:val="1"/>
      <w:numFmt w:val="decimal"/>
      <w:lvlText w:val="%1."/>
      <w:lvlJc w:val="left"/>
      <w:pPr>
        <w:tabs>
          <w:tab w:val="left" w:pos="312"/>
        </w:tabs>
      </w:pPr>
    </w:lvl>
  </w:abstractNum>
  <w:abstractNum w:abstractNumId="7">
    <w:nsid w:val="1A39ADAD"/>
    <w:multiLevelType w:val="singleLevel"/>
    <w:tmpl w:val="1A39ADAD"/>
    <w:lvl w:ilvl="0" w:tentative="0">
      <w:start w:val="1"/>
      <w:numFmt w:val="decimal"/>
      <w:lvlText w:val="%1."/>
      <w:lvlJc w:val="left"/>
      <w:pPr>
        <w:tabs>
          <w:tab w:val="left" w:pos="312"/>
        </w:tabs>
      </w:pPr>
    </w:lvl>
  </w:abstractNum>
  <w:abstractNum w:abstractNumId="8">
    <w:nsid w:val="33E67D67"/>
    <w:multiLevelType w:val="singleLevel"/>
    <w:tmpl w:val="33E67D67"/>
    <w:lvl w:ilvl="0" w:tentative="0">
      <w:start w:val="1"/>
      <w:numFmt w:val="decimal"/>
      <w:lvlText w:val="%1."/>
      <w:lvlJc w:val="left"/>
      <w:pPr>
        <w:tabs>
          <w:tab w:val="left" w:pos="312"/>
        </w:tabs>
      </w:pPr>
    </w:lvl>
  </w:abstractNum>
  <w:abstractNum w:abstractNumId="9">
    <w:nsid w:val="3A95D302"/>
    <w:multiLevelType w:val="singleLevel"/>
    <w:tmpl w:val="3A95D302"/>
    <w:lvl w:ilvl="0" w:tentative="0">
      <w:start w:val="1"/>
      <w:numFmt w:val="decimal"/>
      <w:lvlText w:val="%1."/>
      <w:lvlJc w:val="left"/>
      <w:pPr>
        <w:tabs>
          <w:tab w:val="left" w:pos="312"/>
        </w:tabs>
      </w:pPr>
    </w:lvl>
  </w:abstractNum>
  <w:abstractNum w:abstractNumId="10">
    <w:nsid w:val="44BFE8CE"/>
    <w:multiLevelType w:val="singleLevel"/>
    <w:tmpl w:val="44BFE8CE"/>
    <w:lvl w:ilvl="0" w:tentative="0">
      <w:start w:val="1"/>
      <w:numFmt w:val="decimal"/>
      <w:lvlText w:val="%1."/>
      <w:lvlJc w:val="left"/>
      <w:pPr>
        <w:tabs>
          <w:tab w:val="left" w:pos="312"/>
        </w:tabs>
      </w:pPr>
    </w:lvl>
  </w:abstractNum>
  <w:abstractNum w:abstractNumId="11">
    <w:nsid w:val="504F8E4A"/>
    <w:multiLevelType w:val="singleLevel"/>
    <w:tmpl w:val="504F8E4A"/>
    <w:lvl w:ilvl="0" w:tentative="0">
      <w:start w:val="1"/>
      <w:numFmt w:val="decimal"/>
      <w:lvlText w:val="%1."/>
      <w:lvlJc w:val="left"/>
      <w:pPr>
        <w:tabs>
          <w:tab w:val="left" w:pos="312"/>
        </w:tabs>
      </w:pPr>
    </w:lvl>
  </w:abstractNum>
  <w:abstractNum w:abstractNumId="12">
    <w:nsid w:val="5618126F"/>
    <w:multiLevelType w:val="singleLevel"/>
    <w:tmpl w:val="5618126F"/>
    <w:lvl w:ilvl="0" w:tentative="0">
      <w:start w:val="1"/>
      <w:numFmt w:val="decimal"/>
      <w:lvlText w:val="%1."/>
      <w:lvlJc w:val="left"/>
      <w:pPr>
        <w:tabs>
          <w:tab w:val="left" w:pos="312"/>
        </w:tabs>
      </w:pPr>
    </w:lvl>
  </w:abstractNum>
  <w:abstractNum w:abstractNumId="13">
    <w:nsid w:val="600F647E"/>
    <w:multiLevelType w:val="singleLevel"/>
    <w:tmpl w:val="600F647E"/>
    <w:lvl w:ilvl="0" w:tentative="0">
      <w:start w:val="1"/>
      <w:numFmt w:val="decimalFullWidth"/>
      <w:suff w:val="nothing"/>
      <w:lvlText w:val="%1．"/>
      <w:lvlJc w:val="left"/>
    </w:lvl>
  </w:abstractNum>
  <w:abstractNum w:abstractNumId="14">
    <w:nsid w:val="600F6DCD"/>
    <w:multiLevelType w:val="singleLevel"/>
    <w:tmpl w:val="600F6DCD"/>
    <w:lvl w:ilvl="0" w:tentative="0">
      <w:start w:val="1"/>
      <w:numFmt w:val="decimalFullWidth"/>
      <w:suff w:val="nothing"/>
      <w:lvlText w:val="%1．"/>
      <w:lvlJc w:val="left"/>
    </w:lvl>
  </w:abstractNum>
  <w:abstractNum w:abstractNumId="15">
    <w:nsid w:val="600F6E18"/>
    <w:multiLevelType w:val="singleLevel"/>
    <w:tmpl w:val="600F6E18"/>
    <w:lvl w:ilvl="0" w:tentative="0">
      <w:start w:val="1"/>
      <w:numFmt w:val="decimalFullWidth"/>
      <w:suff w:val="nothing"/>
      <w:lvlText w:val="%1．"/>
      <w:lvlJc w:val="left"/>
    </w:lvl>
  </w:abstractNum>
  <w:abstractNum w:abstractNumId="16">
    <w:nsid w:val="600F6E5C"/>
    <w:multiLevelType w:val="singleLevel"/>
    <w:tmpl w:val="600F6E5C"/>
    <w:lvl w:ilvl="0" w:tentative="0">
      <w:start w:val="1"/>
      <w:numFmt w:val="decimalFullWidth"/>
      <w:suff w:val="nothing"/>
      <w:lvlText w:val="%1．"/>
      <w:lvlJc w:val="left"/>
    </w:lvl>
  </w:abstractNum>
  <w:abstractNum w:abstractNumId="17">
    <w:nsid w:val="600F6E96"/>
    <w:multiLevelType w:val="singleLevel"/>
    <w:tmpl w:val="600F6E96"/>
    <w:lvl w:ilvl="0" w:tentative="0">
      <w:start w:val="1"/>
      <w:numFmt w:val="decimalFullWidth"/>
      <w:suff w:val="nothing"/>
      <w:lvlText w:val="%1．"/>
      <w:lvlJc w:val="left"/>
    </w:lvl>
  </w:abstractNum>
  <w:abstractNum w:abstractNumId="18">
    <w:nsid w:val="7758DDBA"/>
    <w:multiLevelType w:val="singleLevel"/>
    <w:tmpl w:val="7758DDBA"/>
    <w:lvl w:ilvl="0" w:tentative="0">
      <w:start w:val="1"/>
      <w:numFmt w:val="decimal"/>
      <w:lvlText w:val="%1."/>
      <w:lvlJc w:val="left"/>
      <w:pPr>
        <w:tabs>
          <w:tab w:val="left" w:pos="312"/>
        </w:tabs>
      </w:pPr>
    </w:lvl>
  </w:abstractNum>
  <w:num w:numId="1">
    <w:abstractNumId w:val="2"/>
  </w:num>
  <w:num w:numId="2">
    <w:abstractNumId w:val="4"/>
  </w:num>
  <w:num w:numId="3">
    <w:abstractNumId w:val="14"/>
  </w:num>
  <w:num w:numId="4">
    <w:abstractNumId w:val="15"/>
  </w:num>
  <w:num w:numId="5">
    <w:abstractNumId w:val="9"/>
  </w:num>
  <w:num w:numId="6">
    <w:abstractNumId w:val="1"/>
  </w:num>
  <w:num w:numId="7">
    <w:abstractNumId w:val="11"/>
  </w:num>
  <w:num w:numId="8">
    <w:abstractNumId w:val="0"/>
  </w:num>
  <w:num w:numId="9">
    <w:abstractNumId w:val="5"/>
  </w:num>
  <w:num w:numId="10">
    <w:abstractNumId w:val="8"/>
  </w:num>
  <w:num w:numId="11">
    <w:abstractNumId w:val="16"/>
  </w:num>
  <w:num w:numId="12">
    <w:abstractNumId w:val="6"/>
  </w:num>
  <w:num w:numId="13">
    <w:abstractNumId w:val="12"/>
  </w:num>
  <w:num w:numId="14">
    <w:abstractNumId w:val="3"/>
  </w:num>
  <w:num w:numId="15">
    <w:abstractNumId w:val="13"/>
  </w:num>
  <w:num w:numId="16">
    <w:abstractNumId w:val="7"/>
  </w:num>
  <w:num w:numId="17">
    <w:abstractNumId w:val="18"/>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04A3"/>
    <w:rsid w:val="00057A3C"/>
    <w:rsid w:val="00102DF0"/>
    <w:rsid w:val="002411BA"/>
    <w:rsid w:val="00265341"/>
    <w:rsid w:val="00313891"/>
    <w:rsid w:val="00514FC0"/>
    <w:rsid w:val="005775D9"/>
    <w:rsid w:val="00580AD9"/>
    <w:rsid w:val="005C319A"/>
    <w:rsid w:val="005D12B2"/>
    <w:rsid w:val="00651375"/>
    <w:rsid w:val="0071527D"/>
    <w:rsid w:val="007A0B3E"/>
    <w:rsid w:val="009D34A6"/>
    <w:rsid w:val="00A931FC"/>
    <w:rsid w:val="00AE4E5E"/>
    <w:rsid w:val="00B03E7C"/>
    <w:rsid w:val="00D905AB"/>
    <w:rsid w:val="00E469B6"/>
    <w:rsid w:val="00EE575F"/>
    <w:rsid w:val="00FC6FDA"/>
    <w:rsid w:val="01181C25"/>
    <w:rsid w:val="012A032D"/>
    <w:rsid w:val="01706796"/>
    <w:rsid w:val="018A2F4F"/>
    <w:rsid w:val="018D1AB7"/>
    <w:rsid w:val="019326AD"/>
    <w:rsid w:val="01A755EB"/>
    <w:rsid w:val="01C4335D"/>
    <w:rsid w:val="01DE1D6B"/>
    <w:rsid w:val="02344F8F"/>
    <w:rsid w:val="02474B1A"/>
    <w:rsid w:val="02581ADC"/>
    <w:rsid w:val="025A6CEA"/>
    <w:rsid w:val="025C2918"/>
    <w:rsid w:val="026015DA"/>
    <w:rsid w:val="02653646"/>
    <w:rsid w:val="02EC49AB"/>
    <w:rsid w:val="03160697"/>
    <w:rsid w:val="031C2550"/>
    <w:rsid w:val="034C5148"/>
    <w:rsid w:val="039A2ADE"/>
    <w:rsid w:val="03BD46B0"/>
    <w:rsid w:val="03F42327"/>
    <w:rsid w:val="04704056"/>
    <w:rsid w:val="047F5141"/>
    <w:rsid w:val="04EB2D5D"/>
    <w:rsid w:val="05232E77"/>
    <w:rsid w:val="05387467"/>
    <w:rsid w:val="054A0418"/>
    <w:rsid w:val="05684DF3"/>
    <w:rsid w:val="05814FC0"/>
    <w:rsid w:val="0598413A"/>
    <w:rsid w:val="05A90CB9"/>
    <w:rsid w:val="05A92675"/>
    <w:rsid w:val="05B510B8"/>
    <w:rsid w:val="05B969A4"/>
    <w:rsid w:val="05BA1CEA"/>
    <w:rsid w:val="05CB64E3"/>
    <w:rsid w:val="06527D66"/>
    <w:rsid w:val="067A5B3E"/>
    <w:rsid w:val="06884B9A"/>
    <w:rsid w:val="06B05F39"/>
    <w:rsid w:val="06B230B5"/>
    <w:rsid w:val="06C5462E"/>
    <w:rsid w:val="06F053BD"/>
    <w:rsid w:val="070B6749"/>
    <w:rsid w:val="074647BF"/>
    <w:rsid w:val="07706D34"/>
    <w:rsid w:val="07C92976"/>
    <w:rsid w:val="0802077E"/>
    <w:rsid w:val="08342CE2"/>
    <w:rsid w:val="08575524"/>
    <w:rsid w:val="08581A17"/>
    <w:rsid w:val="08633061"/>
    <w:rsid w:val="089E17C3"/>
    <w:rsid w:val="08B84057"/>
    <w:rsid w:val="091D7F06"/>
    <w:rsid w:val="094C707B"/>
    <w:rsid w:val="0967159A"/>
    <w:rsid w:val="09822E76"/>
    <w:rsid w:val="09827FB8"/>
    <w:rsid w:val="09A638E2"/>
    <w:rsid w:val="09AE755D"/>
    <w:rsid w:val="09B43B5D"/>
    <w:rsid w:val="09C3427F"/>
    <w:rsid w:val="09D77FF9"/>
    <w:rsid w:val="09FF7F90"/>
    <w:rsid w:val="0A114100"/>
    <w:rsid w:val="0A175728"/>
    <w:rsid w:val="0A584151"/>
    <w:rsid w:val="0A630B0F"/>
    <w:rsid w:val="0B0F378F"/>
    <w:rsid w:val="0B4C5E56"/>
    <w:rsid w:val="0B4D12D8"/>
    <w:rsid w:val="0B731301"/>
    <w:rsid w:val="0BD8737F"/>
    <w:rsid w:val="0BED68F0"/>
    <w:rsid w:val="0BFF7D72"/>
    <w:rsid w:val="0C2D36A8"/>
    <w:rsid w:val="0C3B663C"/>
    <w:rsid w:val="0C4C218C"/>
    <w:rsid w:val="0C736C04"/>
    <w:rsid w:val="0CA604C7"/>
    <w:rsid w:val="0D00762C"/>
    <w:rsid w:val="0D3D011F"/>
    <w:rsid w:val="0D666F92"/>
    <w:rsid w:val="0D754DF8"/>
    <w:rsid w:val="0DB83697"/>
    <w:rsid w:val="0DC17EFB"/>
    <w:rsid w:val="0DC90E96"/>
    <w:rsid w:val="0DDB62D4"/>
    <w:rsid w:val="0E0B7C2B"/>
    <w:rsid w:val="0E7065A1"/>
    <w:rsid w:val="0E7E1270"/>
    <w:rsid w:val="0E813819"/>
    <w:rsid w:val="0E9D5B5D"/>
    <w:rsid w:val="0EAC270F"/>
    <w:rsid w:val="0EB3622E"/>
    <w:rsid w:val="0EC92775"/>
    <w:rsid w:val="0F0D5307"/>
    <w:rsid w:val="0F186284"/>
    <w:rsid w:val="0F3408FD"/>
    <w:rsid w:val="0F9301C0"/>
    <w:rsid w:val="0FBC6855"/>
    <w:rsid w:val="0FD855D3"/>
    <w:rsid w:val="0FE4492D"/>
    <w:rsid w:val="0FE8351C"/>
    <w:rsid w:val="101658F2"/>
    <w:rsid w:val="10380A00"/>
    <w:rsid w:val="106A0867"/>
    <w:rsid w:val="10B64944"/>
    <w:rsid w:val="10DA5915"/>
    <w:rsid w:val="11025260"/>
    <w:rsid w:val="11041E87"/>
    <w:rsid w:val="110443CB"/>
    <w:rsid w:val="110C10AD"/>
    <w:rsid w:val="11390C22"/>
    <w:rsid w:val="1198267D"/>
    <w:rsid w:val="11A3460F"/>
    <w:rsid w:val="11CC677A"/>
    <w:rsid w:val="11D914E6"/>
    <w:rsid w:val="1210724D"/>
    <w:rsid w:val="121E496C"/>
    <w:rsid w:val="12623D54"/>
    <w:rsid w:val="1264578E"/>
    <w:rsid w:val="12BF7F15"/>
    <w:rsid w:val="12E474BA"/>
    <w:rsid w:val="13102464"/>
    <w:rsid w:val="13664FC4"/>
    <w:rsid w:val="136F7BA8"/>
    <w:rsid w:val="13CA01A3"/>
    <w:rsid w:val="13E927A5"/>
    <w:rsid w:val="141254C5"/>
    <w:rsid w:val="147B1E3D"/>
    <w:rsid w:val="150D7AA1"/>
    <w:rsid w:val="152B38D7"/>
    <w:rsid w:val="152C4AE4"/>
    <w:rsid w:val="153452D2"/>
    <w:rsid w:val="1576615F"/>
    <w:rsid w:val="157D593E"/>
    <w:rsid w:val="15846B73"/>
    <w:rsid w:val="160120F2"/>
    <w:rsid w:val="164810D6"/>
    <w:rsid w:val="16551C1F"/>
    <w:rsid w:val="165858CD"/>
    <w:rsid w:val="16693C5F"/>
    <w:rsid w:val="16695657"/>
    <w:rsid w:val="168C296D"/>
    <w:rsid w:val="16D87827"/>
    <w:rsid w:val="16DA7F71"/>
    <w:rsid w:val="175721C7"/>
    <w:rsid w:val="17762154"/>
    <w:rsid w:val="177E3E27"/>
    <w:rsid w:val="178B07AF"/>
    <w:rsid w:val="178B7EE7"/>
    <w:rsid w:val="179C763A"/>
    <w:rsid w:val="17D32CB5"/>
    <w:rsid w:val="17DA7667"/>
    <w:rsid w:val="17ED1C1A"/>
    <w:rsid w:val="181F416F"/>
    <w:rsid w:val="1828161A"/>
    <w:rsid w:val="1839667F"/>
    <w:rsid w:val="1846232F"/>
    <w:rsid w:val="185B0408"/>
    <w:rsid w:val="185E7FDD"/>
    <w:rsid w:val="18615C86"/>
    <w:rsid w:val="18927F64"/>
    <w:rsid w:val="18932382"/>
    <w:rsid w:val="189C45FB"/>
    <w:rsid w:val="18CB788E"/>
    <w:rsid w:val="18D80917"/>
    <w:rsid w:val="18EF53B2"/>
    <w:rsid w:val="18F63CFC"/>
    <w:rsid w:val="19164562"/>
    <w:rsid w:val="1976508A"/>
    <w:rsid w:val="19C3310B"/>
    <w:rsid w:val="19C462BF"/>
    <w:rsid w:val="1A174CE2"/>
    <w:rsid w:val="1A412FB6"/>
    <w:rsid w:val="1A4A26DB"/>
    <w:rsid w:val="1A6B54A7"/>
    <w:rsid w:val="1A841D93"/>
    <w:rsid w:val="1A8B2D06"/>
    <w:rsid w:val="1AD602C0"/>
    <w:rsid w:val="1B305D20"/>
    <w:rsid w:val="1BB13357"/>
    <w:rsid w:val="1BB71E7E"/>
    <w:rsid w:val="1C36633E"/>
    <w:rsid w:val="1C513E64"/>
    <w:rsid w:val="1C7C7F56"/>
    <w:rsid w:val="1CAD5256"/>
    <w:rsid w:val="1CB43934"/>
    <w:rsid w:val="1CFE2F24"/>
    <w:rsid w:val="1D106207"/>
    <w:rsid w:val="1D854507"/>
    <w:rsid w:val="1E20743B"/>
    <w:rsid w:val="1E8A1208"/>
    <w:rsid w:val="1E8C0597"/>
    <w:rsid w:val="1EA53332"/>
    <w:rsid w:val="1EB14C5E"/>
    <w:rsid w:val="1F035029"/>
    <w:rsid w:val="1F3661D2"/>
    <w:rsid w:val="1F6D1F24"/>
    <w:rsid w:val="1F953073"/>
    <w:rsid w:val="1F9B7E9B"/>
    <w:rsid w:val="1FC14F26"/>
    <w:rsid w:val="1FF53789"/>
    <w:rsid w:val="1FF80ADC"/>
    <w:rsid w:val="20001DD1"/>
    <w:rsid w:val="20007DFE"/>
    <w:rsid w:val="200D1AB6"/>
    <w:rsid w:val="202F57C4"/>
    <w:rsid w:val="2034076B"/>
    <w:rsid w:val="2036329E"/>
    <w:rsid w:val="203B291D"/>
    <w:rsid w:val="2052053F"/>
    <w:rsid w:val="20734972"/>
    <w:rsid w:val="209A230D"/>
    <w:rsid w:val="20B20A41"/>
    <w:rsid w:val="20C4641B"/>
    <w:rsid w:val="20C91022"/>
    <w:rsid w:val="20E02691"/>
    <w:rsid w:val="21616684"/>
    <w:rsid w:val="2164044A"/>
    <w:rsid w:val="217A2A2A"/>
    <w:rsid w:val="219E706F"/>
    <w:rsid w:val="21C026E1"/>
    <w:rsid w:val="21CF128C"/>
    <w:rsid w:val="22282096"/>
    <w:rsid w:val="223F124A"/>
    <w:rsid w:val="225C135A"/>
    <w:rsid w:val="2271078F"/>
    <w:rsid w:val="22817C5B"/>
    <w:rsid w:val="228E2C42"/>
    <w:rsid w:val="22CF17B7"/>
    <w:rsid w:val="2338579E"/>
    <w:rsid w:val="235F04CB"/>
    <w:rsid w:val="23672A7C"/>
    <w:rsid w:val="238804D1"/>
    <w:rsid w:val="23B32661"/>
    <w:rsid w:val="23CF6606"/>
    <w:rsid w:val="24207BE5"/>
    <w:rsid w:val="24323759"/>
    <w:rsid w:val="24326650"/>
    <w:rsid w:val="24D41B16"/>
    <w:rsid w:val="25123C8E"/>
    <w:rsid w:val="2533685B"/>
    <w:rsid w:val="25FC476A"/>
    <w:rsid w:val="25FF199F"/>
    <w:rsid w:val="26122998"/>
    <w:rsid w:val="2664776C"/>
    <w:rsid w:val="26A020F3"/>
    <w:rsid w:val="26A20732"/>
    <w:rsid w:val="26B36962"/>
    <w:rsid w:val="26D934E4"/>
    <w:rsid w:val="26DE65A9"/>
    <w:rsid w:val="26ED08EF"/>
    <w:rsid w:val="26EE4AEC"/>
    <w:rsid w:val="270360A2"/>
    <w:rsid w:val="278159F0"/>
    <w:rsid w:val="27915C95"/>
    <w:rsid w:val="27B33424"/>
    <w:rsid w:val="27BD09F5"/>
    <w:rsid w:val="27C14B48"/>
    <w:rsid w:val="27CC473D"/>
    <w:rsid w:val="27E43919"/>
    <w:rsid w:val="283475CC"/>
    <w:rsid w:val="283731BD"/>
    <w:rsid w:val="283D2F22"/>
    <w:rsid w:val="28483CEC"/>
    <w:rsid w:val="285A4B61"/>
    <w:rsid w:val="285A4F63"/>
    <w:rsid w:val="28713B70"/>
    <w:rsid w:val="28881361"/>
    <w:rsid w:val="28B62938"/>
    <w:rsid w:val="28B70BF4"/>
    <w:rsid w:val="28BC5ABB"/>
    <w:rsid w:val="28C9362B"/>
    <w:rsid w:val="28E2313B"/>
    <w:rsid w:val="290278CD"/>
    <w:rsid w:val="29285E8A"/>
    <w:rsid w:val="29565175"/>
    <w:rsid w:val="29585CC1"/>
    <w:rsid w:val="29CF6C52"/>
    <w:rsid w:val="29FE6040"/>
    <w:rsid w:val="2A0538C0"/>
    <w:rsid w:val="2A076B7E"/>
    <w:rsid w:val="2A323D74"/>
    <w:rsid w:val="2A442DA3"/>
    <w:rsid w:val="2A51686E"/>
    <w:rsid w:val="2A5D6F68"/>
    <w:rsid w:val="2A65226E"/>
    <w:rsid w:val="2A6924CE"/>
    <w:rsid w:val="2A7A5E8C"/>
    <w:rsid w:val="2A9A1076"/>
    <w:rsid w:val="2ACC2CC1"/>
    <w:rsid w:val="2B125478"/>
    <w:rsid w:val="2B6B2312"/>
    <w:rsid w:val="2BF60BE7"/>
    <w:rsid w:val="2C0A2594"/>
    <w:rsid w:val="2C2F1514"/>
    <w:rsid w:val="2C3B366F"/>
    <w:rsid w:val="2C581243"/>
    <w:rsid w:val="2C5A2803"/>
    <w:rsid w:val="2C770A97"/>
    <w:rsid w:val="2C916DB3"/>
    <w:rsid w:val="2CAC2CCF"/>
    <w:rsid w:val="2CC5743E"/>
    <w:rsid w:val="2CF17DEB"/>
    <w:rsid w:val="2CFD43A1"/>
    <w:rsid w:val="2D0B2BA3"/>
    <w:rsid w:val="2D406B77"/>
    <w:rsid w:val="2D5458E0"/>
    <w:rsid w:val="2D875A6B"/>
    <w:rsid w:val="2D883AEF"/>
    <w:rsid w:val="2D904D7D"/>
    <w:rsid w:val="2E044B66"/>
    <w:rsid w:val="2E8A45F6"/>
    <w:rsid w:val="2EE1729B"/>
    <w:rsid w:val="2EF80938"/>
    <w:rsid w:val="2F521EE4"/>
    <w:rsid w:val="2F9E5DD0"/>
    <w:rsid w:val="2FFD668D"/>
    <w:rsid w:val="302E6C86"/>
    <w:rsid w:val="304159C3"/>
    <w:rsid w:val="30814147"/>
    <w:rsid w:val="30FE7D0A"/>
    <w:rsid w:val="31032778"/>
    <w:rsid w:val="312E3C56"/>
    <w:rsid w:val="31480568"/>
    <w:rsid w:val="316D3379"/>
    <w:rsid w:val="3188213C"/>
    <w:rsid w:val="318D4F0F"/>
    <w:rsid w:val="31C761A0"/>
    <w:rsid w:val="31C96384"/>
    <w:rsid w:val="31CE2E5D"/>
    <w:rsid w:val="31E33D3B"/>
    <w:rsid w:val="321679EC"/>
    <w:rsid w:val="32326DEE"/>
    <w:rsid w:val="3246417E"/>
    <w:rsid w:val="327D700D"/>
    <w:rsid w:val="32B944BD"/>
    <w:rsid w:val="32EF6566"/>
    <w:rsid w:val="32FA5054"/>
    <w:rsid w:val="332F0CE3"/>
    <w:rsid w:val="333E346C"/>
    <w:rsid w:val="337D6FAB"/>
    <w:rsid w:val="33B41AA9"/>
    <w:rsid w:val="33BB7656"/>
    <w:rsid w:val="33F635ED"/>
    <w:rsid w:val="3407296C"/>
    <w:rsid w:val="341D4408"/>
    <w:rsid w:val="34522E30"/>
    <w:rsid w:val="34741EBF"/>
    <w:rsid w:val="348F4C85"/>
    <w:rsid w:val="34A23936"/>
    <w:rsid w:val="34D156BA"/>
    <w:rsid w:val="3519779C"/>
    <w:rsid w:val="354D2B7B"/>
    <w:rsid w:val="35640A95"/>
    <w:rsid w:val="3586174C"/>
    <w:rsid w:val="35BB5E8A"/>
    <w:rsid w:val="35D22A99"/>
    <w:rsid w:val="35E522B2"/>
    <w:rsid w:val="35E73D95"/>
    <w:rsid w:val="36105A88"/>
    <w:rsid w:val="3629423F"/>
    <w:rsid w:val="362B2004"/>
    <w:rsid w:val="36404250"/>
    <w:rsid w:val="365A60AC"/>
    <w:rsid w:val="36843A25"/>
    <w:rsid w:val="368A5B80"/>
    <w:rsid w:val="36C343D6"/>
    <w:rsid w:val="36D02854"/>
    <w:rsid w:val="36E6528C"/>
    <w:rsid w:val="37047125"/>
    <w:rsid w:val="370D11F0"/>
    <w:rsid w:val="373134D4"/>
    <w:rsid w:val="373F4C05"/>
    <w:rsid w:val="3743129B"/>
    <w:rsid w:val="376B4AD0"/>
    <w:rsid w:val="37713D36"/>
    <w:rsid w:val="37723256"/>
    <w:rsid w:val="3789467A"/>
    <w:rsid w:val="37A42BA7"/>
    <w:rsid w:val="37A621D5"/>
    <w:rsid w:val="385E4BE3"/>
    <w:rsid w:val="38644B23"/>
    <w:rsid w:val="38783AC7"/>
    <w:rsid w:val="389337C4"/>
    <w:rsid w:val="38A04DA7"/>
    <w:rsid w:val="38FF1261"/>
    <w:rsid w:val="3902031F"/>
    <w:rsid w:val="39143EC0"/>
    <w:rsid w:val="39191E4F"/>
    <w:rsid w:val="3941266A"/>
    <w:rsid w:val="394814C5"/>
    <w:rsid w:val="394D405C"/>
    <w:rsid w:val="398D38DB"/>
    <w:rsid w:val="39A84E8D"/>
    <w:rsid w:val="39AA17A2"/>
    <w:rsid w:val="39B6414D"/>
    <w:rsid w:val="39EB49C2"/>
    <w:rsid w:val="39FE262A"/>
    <w:rsid w:val="3A233AF2"/>
    <w:rsid w:val="3A495325"/>
    <w:rsid w:val="3A5F78A7"/>
    <w:rsid w:val="3A7C6474"/>
    <w:rsid w:val="3AA96010"/>
    <w:rsid w:val="3AB8688E"/>
    <w:rsid w:val="3AC12AAD"/>
    <w:rsid w:val="3ACF1495"/>
    <w:rsid w:val="3AE635AA"/>
    <w:rsid w:val="3AEC0BCC"/>
    <w:rsid w:val="3B142642"/>
    <w:rsid w:val="3B413C7A"/>
    <w:rsid w:val="3B4A577B"/>
    <w:rsid w:val="3B5708E7"/>
    <w:rsid w:val="3BA6131B"/>
    <w:rsid w:val="3BAC6094"/>
    <w:rsid w:val="3BF31413"/>
    <w:rsid w:val="3BF94436"/>
    <w:rsid w:val="3C526DC9"/>
    <w:rsid w:val="3C531D98"/>
    <w:rsid w:val="3C542491"/>
    <w:rsid w:val="3C845F64"/>
    <w:rsid w:val="3CA1459E"/>
    <w:rsid w:val="3CA56B0C"/>
    <w:rsid w:val="3CA82C0D"/>
    <w:rsid w:val="3CA91D26"/>
    <w:rsid w:val="3CAE47E6"/>
    <w:rsid w:val="3CD15C51"/>
    <w:rsid w:val="3CED3CF6"/>
    <w:rsid w:val="3CF07DFC"/>
    <w:rsid w:val="3D6F7E2B"/>
    <w:rsid w:val="3D846DD1"/>
    <w:rsid w:val="3DA76409"/>
    <w:rsid w:val="3DB7260F"/>
    <w:rsid w:val="3DF663A9"/>
    <w:rsid w:val="3E016FAE"/>
    <w:rsid w:val="3E065DC2"/>
    <w:rsid w:val="3E1C6AFB"/>
    <w:rsid w:val="3E415352"/>
    <w:rsid w:val="3E474E76"/>
    <w:rsid w:val="3E58535A"/>
    <w:rsid w:val="3E7F6373"/>
    <w:rsid w:val="3ECA0A7B"/>
    <w:rsid w:val="3ECB1DF0"/>
    <w:rsid w:val="3EEB49D6"/>
    <w:rsid w:val="3F141E60"/>
    <w:rsid w:val="3F385D60"/>
    <w:rsid w:val="3FD030C7"/>
    <w:rsid w:val="3FF97953"/>
    <w:rsid w:val="40035C74"/>
    <w:rsid w:val="401C2E50"/>
    <w:rsid w:val="40605D74"/>
    <w:rsid w:val="40A52CF1"/>
    <w:rsid w:val="40ED1A9D"/>
    <w:rsid w:val="40FE4A71"/>
    <w:rsid w:val="41480474"/>
    <w:rsid w:val="418F207F"/>
    <w:rsid w:val="41BD772F"/>
    <w:rsid w:val="41D31FB6"/>
    <w:rsid w:val="41E657D9"/>
    <w:rsid w:val="41F215A5"/>
    <w:rsid w:val="4203738D"/>
    <w:rsid w:val="42302BA3"/>
    <w:rsid w:val="423A2F11"/>
    <w:rsid w:val="423D24B8"/>
    <w:rsid w:val="42413EAC"/>
    <w:rsid w:val="426858D2"/>
    <w:rsid w:val="42813832"/>
    <w:rsid w:val="42C153AF"/>
    <w:rsid w:val="42EE0043"/>
    <w:rsid w:val="43063143"/>
    <w:rsid w:val="43072CC1"/>
    <w:rsid w:val="430E3F1F"/>
    <w:rsid w:val="431D51EB"/>
    <w:rsid w:val="431E3AB7"/>
    <w:rsid w:val="435965AF"/>
    <w:rsid w:val="43981F8C"/>
    <w:rsid w:val="43CA3958"/>
    <w:rsid w:val="43DA6926"/>
    <w:rsid w:val="447C0F87"/>
    <w:rsid w:val="44DA2495"/>
    <w:rsid w:val="45095DC2"/>
    <w:rsid w:val="4527799F"/>
    <w:rsid w:val="4551487C"/>
    <w:rsid w:val="45664346"/>
    <w:rsid w:val="459B01BB"/>
    <w:rsid w:val="459C1B41"/>
    <w:rsid w:val="45A65076"/>
    <w:rsid w:val="45D1181E"/>
    <w:rsid w:val="45DC4FF7"/>
    <w:rsid w:val="461B4F40"/>
    <w:rsid w:val="461B6CB2"/>
    <w:rsid w:val="465074F3"/>
    <w:rsid w:val="46B64E24"/>
    <w:rsid w:val="46C465FA"/>
    <w:rsid w:val="46D02061"/>
    <w:rsid w:val="46E74931"/>
    <w:rsid w:val="47094229"/>
    <w:rsid w:val="47107DF6"/>
    <w:rsid w:val="47212100"/>
    <w:rsid w:val="474A029C"/>
    <w:rsid w:val="474B0355"/>
    <w:rsid w:val="474B3DC9"/>
    <w:rsid w:val="475A23FB"/>
    <w:rsid w:val="476A08A6"/>
    <w:rsid w:val="477819AF"/>
    <w:rsid w:val="478C21B2"/>
    <w:rsid w:val="47A81100"/>
    <w:rsid w:val="47BA7F16"/>
    <w:rsid w:val="47BC5310"/>
    <w:rsid w:val="47BF4E29"/>
    <w:rsid w:val="47D07E95"/>
    <w:rsid w:val="47F646E3"/>
    <w:rsid w:val="47F90A14"/>
    <w:rsid w:val="480777A5"/>
    <w:rsid w:val="48311C4A"/>
    <w:rsid w:val="484F7A11"/>
    <w:rsid w:val="48541521"/>
    <w:rsid w:val="488C66FB"/>
    <w:rsid w:val="48C927D5"/>
    <w:rsid w:val="48DF59FB"/>
    <w:rsid w:val="49144CFE"/>
    <w:rsid w:val="491603A4"/>
    <w:rsid w:val="494001EA"/>
    <w:rsid w:val="49861BC2"/>
    <w:rsid w:val="49AA41E4"/>
    <w:rsid w:val="49B316F6"/>
    <w:rsid w:val="49B6507C"/>
    <w:rsid w:val="49C10B37"/>
    <w:rsid w:val="49C30B22"/>
    <w:rsid w:val="49E8120D"/>
    <w:rsid w:val="49EC0373"/>
    <w:rsid w:val="4A7A5352"/>
    <w:rsid w:val="4A897845"/>
    <w:rsid w:val="4B010724"/>
    <w:rsid w:val="4B1677CD"/>
    <w:rsid w:val="4B3664C6"/>
    <w:rsid w:val="4B5C4B48"/>
    <w:rsid w:val="4B7605D6"/>
    <w:rsid w:val="4B917E29"/>
    <w:rsid w:val="4B99046A"/>
    <w:rsid w:val="4BB45FC5"/>
    <w:rsid w:val="4BBE702F"/>
    <w:rsid w:val="4C564716"/>
    <w:rsid w:val="4C672DAA"/>
    <w:rsid w:val="4C7B732D"/>
    <w:rsid w:val="4CA2495B"/>
    <w:rsid w:val="4CB3014A"/>
    <w:rsid w:val="4CD135A0"/>
    <w:rsid w:val="4CE72D85"/>
    <w:rsid w:val="4D015655"/>
    <w:rsid w:val="4D3F0F63"/>
    <w:rsid w:val="4D4D406B"/>
    <w:rsid w:val="4D58641C"/>
    <w:rsid w:val="4D607B4C"/>
    <w:rsid w:val="4D67335B"/>
    <w:rsid w:val="4DD0126E"/>
    <w:rsid w:val="4E1F1829"/>
    <w:rsid w:val="4E69029A"/>
    <w:rsid w:val="4E83277D"/>
    <w:rsid w:val="4E9D5D88"/>
    <w:rsid w:val="4EA221FF"/>
    <w:rsid w:val="4EAC683F"/>
    <w:rsid w:val="4EBB0352"/>
    <w:rsid w:val="4EE3416B"/>
    <w:rsid w:val="4EE40D05"/>
    <w:rsid w:val="4EEE28F0"/>
    <w:rsid w:val="4F0A28C7"/>
    <w:rsid w:val="4F0A540F"/>
    <w:rsid w:val="4F1E21C8"/>
    <w:rsid w:val="4F5E5BA0"/>
    <w:rsid w:val="4F7333A2"/>
    <w:rsid w:val="4FB6368C"/>
    <w:rsid w:val="4FBC0249"/>
    <w:rsid w:val="4FC90ACE"/>
    <w:rsid w:val="508203CB"/>
    <w:rsid w:val="508F76BD"/>
    <w:rsid w:val="5095463D"/>
    <w:rsid w:val="50B83A6A"/>
    <w:rsid w:val="51183927"/>
    <w:rsid w:val="519C7E95"/>
    <w:rsid w:val="51AE1882"/>
    <w:rsid w:val="52066882"/>
    <w:rsid w:val="5211125A"/>
    <w:rsid w:val="521F44F2"/>
    <w:rsid w:val="5231798F"/>
    <w:rsid w:val="52397A7D"/>
    <w:rsid w:val="52C9487E"/>
    <w:rsid w:val="52FA73B7"/>
    <w:rsid w:val="530610B2"/>
    <w:rsid w:val="53120F7F"/>
    <w:rsid w:val="533D3802"/>
    <w:rsid w:val="533E642A"/>
    <w:rsid w:val="53577C89"/>
    <w:rsid w:val="53723D01"/>
    <w:rsid w:val="538A636D"/>
    <w:rsid w:val="53BC7F23"/>
    <w:rsid w:val="53C517CF"/>
    <w:rsid w:val="53FA36E1"/>
    <w:rsid w:val="540447AE"/>
    <w:rsid w:val="5415743E"/>
    <w:rsid w:val="54234721"/>
    <w:rsid w:val="54510AF3"/>
    <w:rsid w:val="54696B09"/>
    <w:rsid w:val="546B7FD4"/>
    <w:rsid w:val="54B76BB7"/>
    <w:rsid w:val="54D072C0"/>
    <w:rsid w:val="5507716D"/>
    <w:rsid w:val="55224F67"/>
    <w:rsid w:val="55591109"/>
    <w:rsid w:val="556D03CB"/>
    <w:rsid w:val="55961177"/>
    <w:rsid w:val="55994319"/>
    <w:rsid w:val="55A07AB8"/>
    <w:rsid w:val="55BB7B91"/>
    <w:rsid w:val="55BB7D2D"/>
    <w:rsid w:val="5627056E"/>
    <w:rsid w:val="5635605E"/>
    <w:rsid w:val="563D2A16"/>
    <w:rsid w:val="56895BF8"/>
    <w:rsid w:val="569533AF"/>
    <w:rsid w:val="56C8367E"/>
    <w:rsid w:val="56F66733"/>
    <w:rsid w:val="56FA24B8"/>
    <w:rsid w:val="57025EFF"/>
    <w:rsid w:val="570641D0"/>
    <w:rsid w:val="571A450D"/>
    <w:rsid w:val="57316E84"/>
    <w:rsid w:val="5749628A"/>
    <w:rsid w:val="57913F1C"/>
    <w:rsid w:val="57A87572"/>
    <w:rsid w:val="57AF1C70"/>
    <w:rsid w:val="57C572C4"/>
    <w:rsid w:val="57C92869"/>
    <w:rsid w:val="57D3019A"/>
    <w:rsid w:val="57D40172"/>
    <w:rsid w:val="58267077"/>
    <w:rsid w:val="58354F54"/>
    <w:rsid w:val="58507E85"/>
    <w:rsid w:val="585C6BB9"/>
    <w:rsid w:val="586A61FE"/>
    <w:rsid w:val="587F0983"/>
    <w:rsid w:val="58D03A01"/>
    <w:rsid w:val="5923262F"/>
    <w:rsid w:val="59353185"/>
    <w:rsid w:val="59437562"/>
    <w:rsid w:val="59461FB5"/>
    <w:rsid w:val="595A1CC3"/>
    <w:rsid w:val="595E1CDE"/>
    <w:rsid w:val="59E4052A"/>
    <w:rsid w:val="59E659B4"/>
    <w:rsid w:val="59F82E9A"/>
    <w:rsid w:val="5A0E6E21"/>
    <w:rsid w:val="5A1426FC"/>
    <w:rsid w:val="5A5E4DBD"/>
    <w:rsid w:val="5A9013D7"/>
    <w:rsid w:val="5A9F1AE7"/>
    <w:rsid w:val="5AEA7695"/>
    <w:rsid w:val="5AF932DF"/>
    <w:rsid w:val="5B2B606D"/>
    <w:rsid w:val="5B483322"/>
    <w:rsid w:val="5B4A0666"/>
    <w:rsid w:val="5B4F5486"/>
    <w:rsid w:val="5B7B509F"/>
    <w:rsid w:val="5BAB0CE4"/>
    <w:rsid w:val="5BAB7ED2"/>
    <w:rsid w:val="5BB15668"/>
    <w:rsid w:val="5BD623B1"/>
    <w:rsid w:val="5BFE01B0"/>
    <w:rsid w:val="5C193BD2"/>
    <w:rsid w:val="5C485110"/>
    <w:rsid w:val="5C563892"/>
    <w:rsid w:val="5C7576C6"/>
    <w:rsid w:val="5C921862"/>
    <w:rsid w:val="5CBF0C84"/>
    <w:rsid w:val="5D060E8E"/>
    <w:rsid w:val="5D0E0C53"/>
    <w:rsid w:val="5D121B70"/>
    <w:rsid w:val="5D163FA5"/>
    <w:rsid w:val="5D526A73"/>
    <w:rsid w:val="5D9861BE"/>
    <w:rsid w:val="5DC51F08"/>
    <w:rsid w:val="5DDFE600"/>
    <w:rsid w:val="5DE7296B"/>
    <w:rsid w:val="5DF03E1E"/>
    <w:rsid w:val="5E082CF6"/>
    <w:rsid w:val="5E3343E2"/>
    <w:rsid w:val="5E3610EE"/>
    <w:rsid w:val="5E4C0327"/>
    <w:rsid w:val="5E511222"/>
    <w:rsid w:val="5E693A60"/>
    <w:rsid w:val="5E796BC3"/>
    <w:rsid w:val="5E9F7C79"/>
    <w:rsid w:val="5EB10C47"/>
    <w:rsid w:val="5EB20437"/>
    <w:rsid w:val="5EB22EB0"/>
    <w:rsid w:val="5EC90D32"/>
    <w:rsid w:val="5F092FC5"/>
    <w:rsid w:val="5F5107E1"/>
    <w:rsid w:val="5FA06845"/>
    <w:rsid w:val="600D7877"/>
    <w:rsid w:val="60207D40"/>
    <w:rsid w:val="6044657C"/>
    <w:rsid w:val="605A3DC6"/>
    <w:rsid w:val="60667D51"/>
    <w:rsid w:val="612914B6"/>
    <w:rsid w:val="617B7A24"/>
    <w:rsid w:val="619F4756"/>
    <w:rsid w:val="61BD7077"/>
    <w:rsid w:val="62624580"/>
    <w:rsid w:val="62672837"/>
    <w:rsid w:val="628E0EA1"/>
    <w:rsid w:val="62A97727"/>
    <w:rsid w:val="62B34ABC"/>
    <w:rsid w:val="62EB2F0A"/>
    <w:rsid w:val="6339679F"/>
    <w:rsid w:val="634D5CC7"/>
    <w:rsid w:val="638D38DD"/>
    <w:rsid w:val="63A56891"/>
    <w:rsid w:val="63FB1068"/>
    <w:rsid w:val="64260D8B"/>
    <w:rsid w:val="643801DD"/>
    <w:rsid w:val="64561075"/>
    <w:rsid w:val="6475173C"/>
    <w:rsid w:val="64BA084B"/>
    <w:rsid w:val="64C50436"/>
    <w:rsid w:val="64E513AF"/>
    <w:rsid w:val="64F42BE2"/>
    <w:rsid w:val="652A32C0"/>
    <w:rsid w:val="65955795"/>
    <w:rsid w:val="65AB02CC"/>
    <w:rsid w:val="65D35C18"/>
    <w:rsid w:val="65E737AC"/>
    <w:rsid w:val="65F10ECE"/>
    <w:rsid w:val="660F01B3"/>
    <w:rsid w:val="665723A3"/>
    <w:rsid w:val="66931901"/>
    <w:rsid w:val="66A365C9"/>
    <w:rsid w:val="66B902AF"/>
    <w:rsid w:val="66CF2BA5"/>
    <w:rsid w:val="67081C0E"/>
    <w:rsid w:val="67311E80"/>
    <w:rsid w:val="67452AFF"/>
    <w:rsid w:val="675404B4"/>
    <w:rsid w:val="67830036"/>
    <w:rsid w:val="67845DC0"/>
    <w:rsid w:val="67B86EAE"/>
    <w:rsid w:val="67F867E3"/>
    <w:rsid w:val="682762BD"/>
    <w:rsid w:val="68396F1C"/>
    <w:rsid w:val="6870245F"/>
    <w:rsid w:val="687D7814"/>
    <w:rsid w:val="689A243E"/>
    <w:rsid w:val="69200B97"/>
    <w:rsid w:val="693E4391"/>
    <w:rsid w:val="695E4274"/>
    <w:rsid w:val="69AE63B2"/>
    <w:rsid w:val="69F24315"/>
    <w:rsid w:val="6A077B6E"/>
    <w:rsid w:val="6A1F0EFF"/>
    <w:rsid w:val="6A312206"/>
    <w:rsid w:val="6A3A2555"/>
    <w:rsid w:val="6A4435A2"/>
    <w:rsid w:val="6A9B031F"/>
    <w:rsid w:val="6A9B3044"/>
    <w:rsid w:val="6AA823BF"/>
    <w:rsid w:val="6AE86E19"/>
    <w:rsid w:val="6B4037A6"/>
    <w:rsid w:val="6B421A03"/>
    <w:rsid w:val="6B903FB1"/>
    <w:rsid w:val="6BAA7395"/>
    <w:rsid w:val="6BB27A60"/>
    <w:rsid w:val="6BC34C26"/>
    <w:rsid w:val="6BC64ED3"/>
    <w:rsid w:val="6C035D6A"/>
    <w:rsid w:val="6C697CDF"/>
    <w:rsid w:val="6C7A2F79"/>
    <w:rsid w:val="6C7E35A5"/>
    <w:rsid w:val="6C8A5C38"/>
    <w:rsid w:val="6C9379DA"/>
    <w:rsid w:val="6CBC768A"/>
    <w:rsid w:val="6D0B56DC"/>
    <w:rsid w:val="6D1F3997"/>
    <w:rsid w:val="6D325DD0"/>
    <w:rsid w:val="6D781247"/>
    <w:rsid w:val="6DCF003E"/>
    <w:rsid w:val="6DEF6264"/>
    <w:rsid w:val="6DF90886"/>
    <w:rsid w:val="6DFB044F"/>
    <w:rsid w:val="6E58158F"/>
    <w:rsid w:val="6E66399E"/>
    <w:rsid w:val="6E833F50"/>
    <w:rsid w:val="6EA55ECF"/>
    <w:rsid w:val="6EC9741C"/>
    <w:rsid w:val="6ED377CA"/>
    <w:rsid w:val="6ED84F55"/>
    <w:rsid w:val="6F067EA2"/>
    <w:rsid w:val="6F455345"/>
    <w:rsid w:val="6F4852A8"/>
    <w:rsid w:val="6F4C0232"/>
    <w:rsid w:val="6F5F47A6"/>
    <w:rsid w:val="6F67557C"/>
    <w:rsid w:val="6F690404"/>
    <w:rsid w:val="6F8C464E"/>
    <w:rsid w:val="6F967CD7"/>
    <w:rsid w:val="6FD835A5"/>
    <w:rsid w:val="6FDB7AC8"/>
    <w:rsid w:val="70382D72"/>
    <w:rsid w:val="705515A2"/>
    <w:rsid w:val="70960EA6"/>
    <w:rsid w:val="70BB0B20"/>
    <w:rsid w:val="70D41661"/>
    <w:rsid w:val="71142A90"/>
    <w:rsid w:val="71143EC4"/>
    <w:rsid w:val="71450D48"/>
    <w:rsid w:val="71533F19"/>
    <w:rsid w:val="71592626"/>
    <w:rsid w:val="7166416D"/>
    <w:rsid w:val="7192243C"/>
    <w:rsid w:val="719C2894"/>
    <w:rsid w:val="71A33789"/>
    <w:rsid w:val="71AF13A3"/>
    <w:rsid w:val="71C20C8F"/>
    <w:rsid w:val="71C86562"/>
    <w:rsid w:val="71DE498F"/>
    <w:rsid w:val="725D640B"/>
    <w:rsid w:val="72EF23C2"/>
    <w:rsid w:val="7327266E"/>
    <w:rsid w:val="732E7BDA"/>
    <w:rsid w:val="7333019D"/>
    <w:rsid w:val="73722F12"/>
    <w:rsid w:val="73B3702A"/>
    <w:rsid w:val="73D72D96"/>
    <w:rsid w:val="74285DE7"/>
    <w:rsid w:val="7449003E"/>
    <w:rsid w:val="744C2299"/>
    <w:rsid w:val="74667232"/>
    <w:rsid w:val="748E581E"/>
    <w:rsid w:val="7491196C"/>
    <w:rsid w:val="749A6E3B"/>
    <w:rsid w:val="74B9096B"/>
    <w:rsid w:val="74EB7C3D"/>
    <w:rsid w:val="74F16BE5"/>
    <w:rsid w:val="74F54CC5"/>
    <w:rsid w:val="74F837F9"/>
    <w:rsid w:val="750240ED"/>
    <w:rsid w:val="7526654C"/>
    <w:rsid w:val="75372CF0"/>
    <w:rsid w:val="7551666D"/>
    <w:rsid w:val="75933C57"/>
    <w:rsid w:val="759E7F7C"/>
    <w:rsid w:val="75A331F6"/>
    <w:rsid w:val="75C63C0E"/>
    <w:rsid w:val="75D12B5A"/>
    <w:rsid w:val="75D45583"/>
    <w:rsid w:val="75DA0B11"/>
    <w:rsid w:val="75DF0BEC"/>
    <w:rsid w:val="75E60C1E"/>
    <w:rsid w:val="75F43000"/>
    <w:rsid w:val="767D7930"/>
    <w:rsid w:val="76804A44"/>
    <w:rsid w:val="768B5833"/>
    <w:rsid w:val="76A57A7D"/>
    <w:rsid w:val="76A8706D"/>
    <w:rsid w:val="76C575B7"/>
    <w:rsid w:val="76E55C78"/>
    <w:rsid w:val="76F071AA"/>
    <w:rsid w:val="7722257B"/>
    <w:rsid w:val="772F044E"/>
    <w:rsid w:val="77552141"/>
    <w:rsid w:val="775804F0"/>
    <w:rsid w:val="775B7647"/>
    <w:rsid w:val="777F3849"/>
    <w:rsid w:val="778F2858"/>
    <w:rsid w:val="77B50AC5"/>
    <w:rsid w:val="77E7611A"/>
    <w:rsid w:val="77EF3D39"/>
    <w:rsid w:val="78134458"/>
    <w:rsid w:val="782020C8"/>
    <w:rsid w:val="789144D1"/>
    <w:rsid w:val="78A93B93"/>
    <w:rsid w:val="78BE36B1"/>
    <w:rsid w:val="78EB3419"/>
    <w:rsid w:val="79417611"/>
    <w:rsid w:val="797D5BCE"/>
    <w:rsid w:val="79DF4ECD"/>
    <w:rsid w:val="79FB78AF"/>
    <w:rsid w:val="7A0F4151"/>
    <w:rsid w:val="7A1662DD"/>
    <w:rsid w:val="7A1E482C"/>
    <w:rsid w:val="7A2F5684"/>
    <w:rsid w:val="7A5015A5"/>
    <w:rsid w:val="7A5F5199"/>
    <w:rsid w:val="7A7D2580"/>
    <w:rsid w:val="7A825EAC"/>
    <w:rsid w:val="7AB5483B"/>
    <w:rsid w:val="7AFF6D7B"/>
    <w:rsid w:val="7B0F541D"/>
    <w:rsid w:val="7B153A20"/>
    <w:rsid w:val="7B8442C1"/>
    <w:rsid w:val="7B9740BC"/>
    <w:rsid w:val="7BDA085A"/>
    <w:rsid w:val="7C387C25"/>
    <w:rsid w:val="7C3E27A6"/>
    <w:rsid w:val="7C6067AC"/>
    <w:rsid w:val="7CB47924"/>
    <w:rsid w:val="7CDF6C6F"/>
    <w:rsid w:val="7CFE3D92"/>
    <w:rsid w:val="7D8E7DA7"/>
    <w:rsid w:val="7DE006EF"/>
    <w:rsid w:val="7DF14CE0"/>
    <w:rsid w:val="7E50731D"/>
    <w:rsid w:val="7E580E49"/>
    <w:rsid w:val="7E736CD9"/>
    <w:rsid w:val="7E8B5D0F"/>
    <w:rsid w:val="7EB20792"/>
    <w:rsid w:val="7F1E5235"/>
    <w:rsid w:val="7F2C36C3"/>
    <w:rsid w:val="7F327CE5"/>
    <w:rsid w:val="7F555AA6"/>
    <w:rsid w:val="7F847CE3"/>
    <w:rsid w:val="7FA32627"/>
    <w:rsid w:val="7FFD69AC"/>
    <w:rsid w:val="9D6D6EF8"/>
    <w:rsid w:val="9DFF7513"/>
    <w:rsid w:val="BFF37CE7"/>
    <w:rsid w:val="FBB7E2A1"/>
    <w:rsid w:val="FFFF3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284</Words>
  <Characters>1624</Characters>
  <Lines>13</Lines>
  <Paragraphs>3</Paragraphs>
  <TotalTime>31</TotalTime>
  <ScaleCrop>false</ScaleCrop>
  <LinksUpToDate>false</LinksUpToDate>
  <CharactersWithSpaces>1905</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2018-01-03T00:12:00Z</dcterms:created>
  <dc:creator>何吾志</dc:creator>
  <cp:lastModifiedBy>ysg</cp:lastModifiedBy>
  <cp:lastPrinted>2023-01-20T00:31:00Z</cp:lastPrinted>
  <dcterms:modified xsi:type="dcterms:W3CDTF">2025-10-13T16:24:21Z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F56DB8C8FF8146169602237482D3FF1D</vt:lpwstr>
  </property>
</Properties>
</file>