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202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3</w:t>
      </w:r>
      <w:r>
        <w:rPr>
          <w:rFonts w:hint="eastAsia" w:ascii="方正小标宋简体" w:eastAsia="方正小标宋简体"/>
          <w:sz w:val="40"/>
          <w:szCs w:val="40"/>
        </w:rPr>
        <w:t>年长汀县“三公”经费预算安排情况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根据国务院关于推进政府预算信息公开的决策部署和政府工作安排，经长汀县财政局汇总，本级202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年使用一般公共预算拨款安排的“三公”经费预算数为1179万元，比上年预算数减少62万元，其中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因公出国（境）经费25万元，与上年预算数相比下降39%；公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务接待费680万元，与上年预算数相比增加4.5%；公务用车购置经费20万元，与上年预算数相比下降91.9%；公务用车运行经费454万元，与上年预算数相比增加50.3%。“三公”经费预算下降的主要原因是公务用车购置费减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67E"/>
    <w:rsid w:val="004C5C4F"/>
    <w:rsid w:val="006C7E30"/>
    <w:rsid w:val="0077567E"/>
    <w:rsid w:val="00827501"/>
    <w:rsid w:val="008F66F3"/>
    <w:rsid w:val="00945DE1"/>
    <w:rsid w:val="00BF2568"/>
    <w:rsid w:val="00DB70E8"/>
    <w:rsid w:val="0D60526B"/>
    <w:rsid w:val="0F94079B"/>
    <w:rsid w:val="11B22C6C"/>
    <w:rsid w:val="2CEB3854"/>
    <w:rsid w:val="519C2EB4"/>
    <w:rsid w:val="55515C32"/>
    <w:rsid w:val="5A37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0</TotalTime>
  <ScaleCrop>false</ScaleCrop>
  <LinksUpToDate>false</LinksUpToDate>
  <CharactersWithSpaces>306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2020-01-16T09:11:00Z</dcterms:created>
  <dc:creator>lenovo</dc:creator>
  <cp:lastModifiedBy>曾碧娟</cp:lastModifiedBy>
  <dcterms:modified xsi:type="dcterms:W3CDTF">2023-01-16T08:54:06Z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