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6F5BA">
      <w:pPr>
        <w:pStyle w:val="4"/>
        <w:rPr>
          <w:rFonts w:ascii="仿宋_GB2312" w:eastAsia="仿宋_GB2312" w:cs="仿宋_GB2312"/>
          <w:sz w:val="32"/>
          <w:szCs w:val="32"/>
        </w:rPr>
      </w:pPr>
      <w:r>
        <w:rPr>
          <w:rFonts w:hint="eastAsia" w:ascii="仿宋_GB2312" w:eastAsia="仿宋_GB2312" w:cs="仿宋_GB2312"/>
          <w:sz w:val="32"/>
          <w:szCs w:val="32"/>
        </w:rPr>
        <w:t>附件1：</w:t>
      </w:r>
    </w:p>
    <w:p w14:paraId="5E2CEED4">
      <w:pPr>
        <w:pStyle w:val="4"/>
        <w:wordWrap w:val="0"/>
        <w:jc w:val="center"/>
        <w:rPr>
          <w:rStyle w:val="7"/>
          <w:rFonts w:ascii="方正小标宋简体" w:hAnsi="华文中宋" w:eastAsia="方正小标宋简体"/>
          <w:b w:val="0"/>
          <w:sz w:val="36"/>
          <w:szCs w:val="44"/>
        </w:rPr>
      </w:pPr>
      <w:r>
        <w:rPr>
          <w:rStyle w:val="7"/>
          <w:rFonts w:hint="eastAsia" w:ascii="方正小标宋简体" w:hAnsi="华文中宋" w:eastAsia="方正小标宋简体"/>
          <w:b w:val="0"/>
          <w:sz w:val="36"/>
          <w:szCs w:val="44"/>
        </w:rPr>
        <w:t>装饰装修工程施工许可证核发办事指南</w:t>
      </w:r>
    </w:p>
    <w:p w14:paraId="2125061B">
      <w:pPr>
        <w:spacing w:line="310" w:lineRule="exact"/>
        <w:ind w:firstLine="300" w:firstLineChars="200"/>
        <w:rPr>
          <w:rFonts w:ascii="华文中宋" w:hAnsi="华文中宋" w:eastAsia="华文中宋"/>
          <w:kern w:val="0"/>
          <w:sz w:val="15"/>
          <w:szCs w:val="17"/>
        </w:rPr>
      </w:pPr>
    </w:p>
    <w:p w14:paraId="7170B663">
      <w:pPr>
        <w:pStyle w:val="14"/>
        <w:numPr>
          <w:ilvl w:val="0"/>
          <w:numId w:val="0"/>
        </w:numPr>
        <w:spacing w:before="156" w:after="156" w:line="440" w:lineRule="exact"/>
        <w:rPr>
          <w:rFonts w:ascii="仿宋_GB2312" w:eastAsia="仿宋_GB2312" w:cs="Times New Roman"/>
          <w:b/>
          <w:bCs/>
          <w:sz w:val="32"/>
          <w:szCs w:val="32"/>
        </w:rPr>
      </w:pPr>
      <w:r>
        <w:rPr>
          <w:rFonts w:hint="eastAsia" w:ascii="仿宋_GB2312" w:eastAsia="仿宋_GB2312" w:cs="仿宋_GB2312"/>
          <w:sz w:val="32"/>
          <w:szCs w:val="32"/>
        </w:rPr>
        <w:t>1</w:t>
      </w:r>
      <w:r>
        <w:rPr>
          <w:rFonts w:hint="eastAsia" w:ascii="仿宋_GB2312" w:eastAsia="仿宋_GB2312" w:cs="仿宋_GB2312"/>
          <w:b/>
          <w:bCs/>
          <w:sz w:val="32"/>
          <w:szCs w:val="32"/>
        </w:rPr>
        <w:t>范围</w:t>
      </w:r>
    </w:p>
    <w:p w14:paraId="68CD9C34">
      <w:pPr>
        <w:pStyle w:val="13"/>
        <w:spacing w:line="440" w:lineRule="exact"/>
        <w:ind w:firstLine="640"/>
        <w:rPr>
          <w:rFonts w:ascii="仿宋_GB2312" w:eastAsia="仿宋_GB2312" w:cs="Times New Roman"/>
          <w:sz w:val="32"/>
          <w:szCs w:val="32"/>
        </w:rPr>
      </w:pPr>
      <w:r>
        <w:rPr>
          <w:rFonts w:hint="eastAsia" w:ascii="仿宋_GB2312" w:eastAsia="仿宋_GB2312" w:cs="仿宋_GB2312"/>
          <w:sz w:val="32"/>
          <w:szCs w:val="32"/>
        </w:rPr>
        <w:t>本指南规定了办理装饰装修工程施工许可证核发实施主体、办事服务类型、办件类型、设定依据、有无数量限制及分配数量、申请条件、办理方式、办理流程、申报材料、承诺时限、收费标准、办理结果和年检、变更、延续要求、结果送达、是否开通预约服务、注意事项、联系信息、诉求渠道。</w:t>
      </w:r>
    </w:p>
    <w:p w14:paraId="042B8E7E">
      <w:pPr>
        <w:pStyle w:val="13"/>
        <w:spacing w:line="440" w:lineRule="exact"/>
        <w:ind w:firstLine="640"/>
        <w:rPr>
          <w:rFonts w:ascii="仿宋_GB2312" w:eastAsia="仿宋_GB2312" w:cs="Times New Roman"/>
          <w:sz w:val="32"/>
          <w:szCs w:val="32"/>
        </w:rPr>
      </w:pPr>
      <w:r>
        <w:rPr>
          <w:rFonts w:hint="eastAsia" w:ascii="仿宋_GB2312" w:eastAsia="仿宋_GB2312" w:cs="仿宋_GB2312"/>
          <w:sz w:val="32"/>
          <w:szCs w:val="32"/>
        </w:rPr>
        <w:t>本指南适用于装饰装修工程施工许可证核发办理。</w:t>
      </w:r>
    </w:p>
    <w:p w14:paraId="65D63942">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2实施主体</w:t>
      </w:r>
    </w:p>
    <w:p w14:paraId="31338FAF">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lang w:eastAsia="zh-CN"/>
        </w:rPr>
        <w:t>长汀县</w:t>
      </w:r>
      <w:r>
        <w:rPr>
          <w:rFonts w:hint="eastAsia" w:ascii="仿宋_GB2312" w:eastAsia="仿宋_GB2312" w:cs="仿宋_GB2312"/>
          <w:kern w:val="0"/>
          <w:sz w:val="32"/>
          <w:szCs w:val="32"/>
        </w:rPr>
        <w:t>住房和城乡建设局</w:t>
      </w:r>
    </w:p>
    <w:p w14:paraId="00562F75">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3 办事服务类型</w:t>
      </w:r>
    </w:p>
    <w:p w14:paraId="3E4F117F">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行政许可</w:t>
      </w:r>
    </w:p>
    <w:p w14:paraId="3A710C7D">
      <w:pPr>
        <w:pStyle w:val="13"/>
        <w:spacing w:line="440" w:lineRule="exact"/>
        <w:ind w:firstLine="0" w:firstLineChars="0"/>
        <w:rPr>
          <w:rFonts w:ascii="仿宋_GB2312" w:eastAsia="仿宋_GB2312" w:cs="仿宋_GB2312"/>
          <w:b/>
          <w:bCs/>
          <w:sz w:val="32"/>
          <w:szCs w:val="32"/>
        </w:rPr>
      </w:pPr>
      <w:r>
        <w:rPr>
          <w:rFonts w:hint="eastAsia" w:ascii="仿宋_GB2312" w:eastAsia="仿宋_GB2312" w:cs="仿宋_GB2312"/>
          <w:b/>
          <w:bCs/>
          <w:sz w:val="32"/>
          <w:szCs w:val="32"/>
        </w:rPr>
        <w:t>4 办件类型</w:t>
      </w:r>
    </w:p>
    <w:p w14:paraId="1B323C8F">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承诺件</w:t>
      </w:r>
    </w:p>
    <w:p w14:paraId="12B01B25">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5设定依据</w:t>
      </w:r>
    </w:p>
    <w:p w14:paraId="74FF4CC9">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5.1《中华人民共和国建筑法》（主席令第46号，2011年修订）第七条</w:t>
      </w:r>
    </w:p>
    <w:p w14:paraId="0034879B">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5.2《建筑工程施工许可管理办法》（</w:t>
      </w:r>
      <w:r>
        <w:rPr>
          <w:rFonts w:hint="eastAsia" w:ascii="仿宋_GB2312" w:hAnsi="宋体" w:eastAsia="仿宋_GB2312" w:cs="宋体"/>
          <w:color w:val="000000"/>
          <w:kern w:val="0"/>
          <w:sz w:val="32"/>
          <w:szCs w:val="32"/>
        </w:rPr>
        <w:t>2014年6月25日住房和城乡建设部令第18号发布，根据2018年9月28日住房和城乡建设部令第42号修正</w:t>
      </w:r>
      <w:r>
        <w:rPr>
          <w:rFonts w:hint="eastAsia" w:ascii="仿宋_GB2312" w:eastAsia="仿宋_GB2312" w:cs="仿宋_GB2312"/>
          <w:kern w:val="0"/>
          <w:sz w:val="32"/>
          <w:szCs w:val="32"/>
        </w:rPr>
        <w:t>）第二条</w:t>
      </w:r>
    </w:p>
    <w:p w14:paraId="6C779287">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5.3《福建省工程建设项目审批制度改革领导小组办公室关于完善增加市级工程建设项目审批平台建筑工程施工许可和消防设计审查等审批服务功能的通知》（闽建审改【2019】4号）</w:t>
      </w:r>
    </w:p>
    <w:p w14:paraId="3CC85273">
      <w:pPr>
        <w:spacing w:line="440" w:lineRule="exact"/>
        <w:rPr>
          <w:rFonts w:ascii="仿宋_GB2312" w:eastAsia="仿宋_GB2312" w:cs="仿宋_GB2312"/>
          <w:kern w:val="0"/>
          <w:sz w:val="32"/>
          <w:szCs w:val="32"/>
        </w:rPr>
      </w:pPr>
      <w:r>
        <w:rPr>
          <w:rFonts w:hint="eastAsia" w:ascii="仿宋_GB2312" w:hAnsi="仿宋" w:eastAsia="仿宋_GB2312"/>
          <w:sz w:val="32"/>
          <w:szCs w:val="32"/>
        </w:rPr>
        <w:t>5.4</w:t>
      </w:r>
      <w:r>
        <w:rPr>
          <w:rFonts w:hint="eastAsia" w:hAnsi="仿宋_GB2312" w:eastAsia="仿宋_GB2312"/>
          <w:bCs/>
          <w:kern w:val="36"/>
          <w:sz w:val="32"/>
          <w:szCs w:val="32"/>
          <w:lang w:val="zh-TW"/>
        </w:rPr>
        <w:t>《福建省建筑装修管理暂行办法》（福建省人民政府令第97号）第二十二条。</w:t>
      </w:r>
    </w:p>
    <w:p w14:paraId="46F89B04">
      <w:pPr>
        <w:pStyle w:val="13"/>
        <w:spacing w:line="440" w:lineRule="exact"/>
        <w:ind w:firstLine="0" w:firstLineChars="0"/>
        <w:rPr>
          <w:rFonts w:ascii="仿宋_GB2312" w:eastAsia="仿宋_GB2312" w:cs="仿宋_GB2312"/>
          <w:b/>
          <w:bCs/>
          <w:sz w:val="32"/>
          <w:szCs w:val="32"/>
        </w:rPr>
      </w:pPr>
      <w:r>
        <w:rPr>
          <w:rFonts w:hint="eastAsia" w:ascii="仿宋_GB2312" w:eastAsia="仿宋_GB2312" w:cs="仿宋_GB2312"/>
          <w:b/>
          <w:bCs/>
          <w:sz w:val="32"/>
          <w:szCs w:val="32"/>
        </w:rPr>
        <w:t>6 有无数量限制及分配数量的办法</w:t>
      </w:r>
    </w:p>
    <w:p w14:paraId="6801F9E5">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无数量限制</w:t>
      </w:r>
    </w:p>
    <w:p w14:paraId="6B7CDA7D">
      <w:pPr>
        <w:pStyle w:val="13"/>
        <w:spacing w:line="440" w:lineRule="exact"/>
        <w:ind w:firstLine="0" w:firstLineChars="0"/>
        <w:rPr>
          <w:rFonts w:ascii="仿宋_GB2312" w:eastAsia="仿宋_GB2312" w:cs="仿宋_GB2312"/>
          <w:b/>
          <w:bCs/>
          <w:sz w:val="32"/>
          <w:szCs w:val="32"/>
        </w:rPr>
      </w:pPr>
      <w:r>
        <w:rPr>
          <w:rFonts w:hint="eastAsia" w:ascii="仿宋_GB2312" w:eastAsia="仿宋_GB2312" w:cs="仿宋_GB2312"/>
          <w:b/>
          <w:bCs/>
          <w:sz w:val="32"/>
          <w:szCs w:val="32"/>
        </w:rPr>
        <w:t>7 申请条件</w:t>
      </w:r>
    </w:p>
    <w:p w14:paraId="42E71A0E">
      <w:pPr>
        <w:spacing w:line="560" w:lineRule="exact"/>
        <w:outlineLvl w:val="1"/>
        <w:rPr>
          <w:rFonts w:ascii="仿宋_GB2312" w:hAnsi="仿宋" w:eastAsia="仿宋_GB2312"/>
          <w:sz w:val="32"/>
          <w:szCs w:val="32"/>
        </w:rPr>
      </w:pPr>
      <w:r>
        <w:rPr>
          <w:rFonts w:hint="eastAsia" w:ascii="仿宋_GB2312" w:hAnsi="仿宋" w:eastAsia="仿宋_GB2312"/>
          <w:sz w:val="32"/>
          <w:szCs w:val="32"/>
        </w:rPr>
        <w:t>7.1已竣工验收合格交付使用的建筑中，装饰装修工程内容不增加建筑面积、不改变外立面、建筑结构及房屋用途；</w:t>
      </w:r>
    </w:p>
    <w:p w14:paraId="1264523C">
      <w:pPr>
        <w:spacing w:line="560" w:lineRule="exact"/>
        <w:outlineLvl w:val="1"/>
        <w:rPr>
          <w:rFonts w:ascii="仿宋_GB2312" w:hAnsi="仿宋" w:eastAsia="仿宋_GB2312"/>
          <w:sz w:val="32"/>
          <w:szCs w:val="32"/>
        </w:rPr>
      </w:pPr>
      <w:r>
        <w:rPr>
          <w:rFonts w:hint="eastAsia" w:ascii="仿宋_GB2312" w:hAnsi="仿宋" w:eastAsia="仿宋_GB2312"/>
          <w:sz w:val="32"/>
          <w:szCs w:val="32"/>
        </w:rPr>
        <w:t>7.2已依法确定施工单位；</w:t>
      </w:r>
    </w:p>
    <w:p w14:paraId="15B7C077">
      <w:pPr>
        <w:spacing w:line="560" w:lineRule="exact"/>
        <w:outlineLvl w:val="1"/>
        <w:rPr>
          <w:rFonts w:ascii="仿宋_GB2312" w:hAnsi="仿宋" w:eastAsia="仿宋_GB2312"/>
          <w:sz w:val="32"/>
          <w:szCs w:val="32"/>
        </w:rPr>
      </w:pPr>
      <w:r>
        <w:rPr>
          <w:rFonts w:hint="eastAsia" w:ascii="仿宋_GB2312" w:hAnsi="仿宋" w:eastAsia="仿宋_GB2312"/>
          <w:sz w:val="32"/>
          <w:szCs w:val="32"/>
        </w:rPr>
        <w:t>7.3有满足施工需要的施工图设计文件及技术资料，施工图设计文件已按规定审查合格；</w:t>
      </w:r>
    </w:p>
    <w:p w14:paraId="599C3B4D">
      <w:pPr>
        <w:spacing w:line="560" w:lineRule="exact"/>
        <w:outlineLvl w:val="1"/>
        <w:rPr>
          <w:rFonts w:ascii="仿宋_GB2312" w:hAnsi="仿宋" w:eastAsia="仿宋_GB2312"/>
          <w:sz w:val="32"/>
          <w:szCs w:val="32"/>
        </w:rPr>
      </w:pPr>
      <w:r>
        <w:rPr>
          <w:rFonts w:hint="eastAsia" w:ascii="仿宋_GB2312" w:hAnsi="仿宋" w:eastAsia="仿宋_GB2312"/>
          <w:sz w:val="32"/>
          <w:szCs w:val="32"/>
        </w:rPr>
        <w:t>7.4有保证工程质量和安全的具体措施；</w:t>
      </w:r>
    </w:p>
    <w:p w14:paraId="5D4B96D8">
      <w:pPr>
        <w:spacing w:line="560" w:lineRule="exact"/>
        <w:outlineLvl w:val="1"/>
        <w:rPr>
          <w:rFonts w:ascii="仿宋_GB2312" w:hAnsi="仿宋" w:eastAsia="仿宋_GB2312"/>
          <w:sz w:val="32"/>
          <w:szCs w:val="32"/>
        </w:rPr>
      </w:pPr>
      <w:r>
        <w:rPr>
          <w:rFonts w:hint="eastAsia" w:ascii="仿宋_GB2312" w:hAnsi="仿宋" w:eastAsia="仿宋_GB2312"/>
          <w:sz w:val="32"/>
          <w:szCs w:val="32"/>
        </w:rPr>
        <w:t>7.5建设资金已经落实。</w:t>
      </w:r>
    </w:p>
    <w:p w14:paraId="19850FF2">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7.6</w:t>
      </w:r>
      <w:r>
        <w:rPr>
          <w:rFonts w:hint="eastAsia" w:ascii="仿宋_GB2312" w:eastAsia="仿宋_GB2312" w:cs="仿宋_GB2312"/>
          <w:b/>
          <w:kern w:val="0"/>
          <w:sz w:val="32"/>
          <w:szCs w:val="32"/>
        </w:rPr>
        <w:t>禁止性要求：</w:t>
      </w:r>
      <w:r>
        <w:rPr>
          <w:rFonts w:hint="eastAsia" w:ascii="仿宋_GB2312" w:eastAsia="仿宋_GB2312" w:cs="仿宋_GB2312"/>
          <w:kern w:val="0"/>
          <w:sz w:val="32"/>
          <w:szCs w:val="32"/>
        </w:rPr>
        <w:t>抢险救灾及其他临时性房屋建筑和农民自建低层住宅的建筑活动，不适用该事项办理。</w:t>
      </w:r>
    </w:p>
    <w:p w14:paraId="2776FFE2">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7.7</w:t>
      </w:r>
      <w:r>
        <w:rPr>
          <w:rFonts w:hint="eastAsia" w:ascii="仿宋_GB2312" w:eastAsia="仿宋_GB2312" w:cs="仿宋_GB2312"/>
          <w:b/>
          <w:kern w:val="0"/>
          <w:sz w:val="32"/>
          <w:szCs w:val="32"/>
        </w:rPr>
        <w:t>限制性要求：</w:t>
      </w:r>
      <w:r>
        <w:rPr>
          <w:rFonts w:hint="eastAsia" w:ascii="仿宋_GB2312" w:eastAsia="仿宋_GB2312" w:cs="仿宋_GB2312"/>
          <w:kern w:val="0"/>
          <w:sz w:val="32"/>
          <w:szCs w:val="32"/>
        </w:rPr>
        <w:t>军事房屋建筑工程施工许可的管理，按国务院、中央军事委员会制定的办法执行。</w:t>
      </w:r>
    </w:p>
    <w:p w14:paraId="0B8D3D20">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7.4该事项可以委托他人办理。</w:t>
      </w:r>
    </w:p>
    <w:p w14:paraId="042BE6CD">
      <w:pPr>
        <w:pStyle w:val="13"/>
        <w:spacing w:line="440" w:lineRule="exact"/>
        <w:ind w:firstLine="0" w:firstLineChars="0"/>
        <w:rPr>
          <w:rFonts w:ascii="仿宋_GB2312" w:eastAsia="仿宋_GB2312" w:cs="仿宋_GB2312"/>
          <w:b/>
          <w:bCs/>
          <w:sz w:val="32"/>
          <w:szCs w:val="32"/>
        </w:rPr>
      </w:pPr>
      <w:r>
        <w:rPr>
          <w:rFonts w:hint="eastAsia" w:ascii="仿宋_GB2312" w:eastAsia="仿宋_GB2312" w:cs="仿宋_GB2312"/>
          <w:b/>
          <w:bCs/>
          <w:sz w:val="32"/>
          <w:szCs w:val="32"/>
        </w:rPr>
        <w:t>8 申请方式</w:t>
      </w:r>
    </w:p>
    <w:p w14:paraId="0DA1582D">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8.1提供全流程网上办理（在线申请、网上预审、网上受理、网上办结）,只需办结后领取结果。</w:t>
      </w:r>
    </w:p>
    <w:p w14:paraId="174485D1">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9办理流程</w:t>
      </w:r>
    </w:p>
    <w:p w14:paraId="65A341E1">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受理——审查——决定</w:t>
      </w:r>
    </w:p>
    <w:p w14:paraId="5E875877">
      <w:pPr>
        <w:spacing w:line="440" w:lineRule="exact"/>
        <w:rPr>
          <w:rFonts w:ascii="仿宋_GB2312" w:eastAsia="仿宋_GB2312" w:cs="仿宋_GB2312"/>
          <w:b/>
          <w:bCs/>
          <w:sz w:val="32"/>
          <w:szCs w:val="32"/>
        </w:rPr>
      </w:pPr>
      <w:r>
        <w:rPr>
          <w:rFonts w:hint="eastAsia" w:ascii="仿宋_GB2312" w:hAnsi="宋体" w:eastAsia="仿宋_GB2312" w:cs="仿宋_GB2312"/>
          <w:b/>
          <w:bCs/>
          <w:sz w:val="32"/>
          <w:szCs w:val="32"/>
        </w:rPr>
        <w:t>10</w:t>
      </w:r>
      <w:r>
        <w:rPr>
          <w:rFonts w:hint="eastAsia" w:ascii="仿宋_GB2312" w:eastAsia="仿宋_GB2312" w:cs="仿宋_GB2312"/>
          <w:b/>
          <w:bCs/>
          <w:sz w:val="32"/>
          <w:szCs w:val="32"/>
        </w:rPr>
        <w:t xml:space="preserve"> 申报材料</w:t>
      </w:r>
    </w:p>
    <w:p w14:paraId="1633F13F">
      <w:pPr>
        <w:pStyle w:val="11"/>
        <w:numPr>
          <w:ilvl w:val="1"/>
          <w:numId w:val="0"/>
        </w:numPr>
        <w:spacing w:line="560" w:lineRule="exact"/>
        <w:rPr>
          <w:rFonts w:ascii="仿宋_GB2312" w:hAnsi="宋体" w:eastAsia="仿宋_GB2312" w:cs="宋体"/>
          <w:sz w:val="32"/>
          <w:szCs w:val="32"/>
        </w:rPr>
      </w:pPr>
      <w:r>
        <w:rPr>
          <w:rFonts w:hint="eastAsia" w:ascii="仿宋_GB2312" w:eastAsia="仿宋_GB2312" w:cs="宋体"/>
          <w:sz w:val="32"/>
          <w:szCs w:val="32"/>
        </w:rPr>
        <w:t>10.1</w:t>
      </w:r>
      <w:r>
        <w:rPr>
          <w:rFonts w:hint="eastAsia" w:ascii="仿宋_GB2312" w:hAnsi="宋体" w:eastAsia="仿宋_GB2312" w:cs="宋体"/>
          <w:sz w:val="32"/>
          <w:szCs w:val="32"/>
        </w:rPr>
        <w:t>建筑物权属凭证，原件1份；</w:t>
      </w:r>
    </w:p>
    <w:p w14:paraId="4FD17867">
      <w:pPr>
        <w:pStyle w:val="11"/>
        <w:numPr>
          <w:ilvl w:val="1"/>
          <w:numId w:val="0"/>
        </w:numPr>
        <w:spacing w:line="560" w:lineRule="exact"/>
        <w:ind w:firstLine="548" w:firstLineChars="195"/>
        <w:rPr>
          <w:rFonts w:ascii="仿宋_GB2312" w:hAnsi="仿宋" w:eastAsia="仿宋_GB2312" w:cs="仿宋_GB2312"/>
          <w:b/>
          <w:sz w:val="28"/>
          <w:szCs w:val="28"/>
        </w:rPr>
      </w:pPr>
      <w:r>
        <w:rPr>
          <w:rFonts w:hint="eastAsia" w:ascii="仿宋_GB2312" w:hAnsi="仿宋" w:eastAsia="仿宋_GB2312"/>
          <w:b/>
          <w:sz w:val="28"/>
          <w:szCs w:val="28"/>
        </w:rPr>
        <w:t>注：（1）</w:t>
      </w:r>
      <w:r>
        <w:rPr>
          <w:rFonts w:hint="eastAsia" w:ascii="Times New Roman" w:hAnsi="仿宋_GB2312" w:eastAsia="仿宋_GB2312"/>
          <w:b/>
          <w:bCs/>
          <w:kern w:val="36"/>
          <w:sz w:val="28"/>
          <w:szCs w:val="28"/>
          <w:lang w:val="zh-TW"/>
        </w:rPr>
        <w:t>已取得产权证的建筑物提供《不动产权证书》或《房产证》。</w:t>
      </w:r>
    </w:p>
    <w:p w14:paraId="1562DD3D">
      <w:pPr>
        <w:pStyle w:val="11"/>
        <w:numPr>
          <w:ilvl w:val="1"/>
          <w:numId w:val="0"/>
        </w:numPr>
        <w:spacing w:line="560" w:lineRule="exact"/>
        <w:rPr>
          <w:rFonts w:ascii="仿宋_GB2312" w:hAnsi="仿宋" w:eastAsia="仿宋_GB2312" w:cs="仿宋_GB2312"/>
          <w:b/>
          <w:sz w:val="28"/>
          <w:szCs w:val="28"/>
        </w:rPr>
      </w:pPr>
      <w:r>
        <w:rPr>
          <w:rFonts w:hint="eastAsia" w:ascii="仿宋_GB2312" w:hAnsi="仿宋" w:eastAsia="仿宋_GB2312" w:cs="仿宋_GB2312"/>
          <w:b/>
          <w:sz w:val="28"/>
          <w:szCs w:val="28"/>
        </w:rPr>
        <w:t>（2）</w:t>
      </w:r>
      <w:r>
        <w:rPr>
          <w:rFonts w:hint="eastAsia" w:ascii="Times New Roman" w:hAnsi="仿宋_GB2312" w:eastAsia="仿宋_GB2312"/>
          <w:b/>
          <w:bCs/>
          <w:kern w:val="36"/>
          <w:sz w:val="28"/>
          <w:szCs w:val="28"/>
          <w:lang w:val="zh-TW"/>
        </w:rPr>
        <w:t>申请人为租赁人的，还应提供与权属人签订的租赁合同</w:t>
      </w:r>
      <w:r>
        <w:rPr>
          <w:rFonts w:hint="eastAsia" w:ascii="仿宋_GB2312" w:hAnsi="仿宋" w:eastAsia="仿宋_GB2312" w:cs="仿宋_GB2312"/>
          <w:b/>
          <w:sz w:val="28"/>
          <w:szCs w:val="28"/>
        </w:rPr>
        <w:t>。</w:t>
      </w:r>
      <w:r>
        <w:rPr>
          <w:rFonts w:hint="eastAsia" w:ascii="仿宋_GB2312" w:eastAsia="仿宋_GB2312"/>
          <w:sz w:val="32"/>
          <w:szCs w:val="32"/>
        </w:rPr>
        <w:br w:type="textWrapping"/>
      </w:r>
      <w:r>
        <w:rPr>
          <w:rFonts w:hint="eastAsia" w:ascii="仿宋_GB2312" w:eastAsia="仿宋_GB2312"/>
          <w:sz w:val="32"/>
          <w:szCs w:val="32"/>
        </w:rPr>
        <w:t>10.2 依法必须招标的工程项目提交中标通知书和施工合同，直接发包的工程项目提交施工合同，原件1份；</w:t>
      </w:r>
    </w:p>
    <w:p w14:paraId="5DF7C728">
      <w:pPr>
        <w:pStyle w:val="13"/>
        <w:spacing w:line="520" w:lineRule="exact"/>
        <w:ind w:firstLine="0" w:firstLineChars="0"/>
        <w:rPr>
          <w:rFonts w:ascii="仿宋_GB2312" w:eastAsia="仿宋_GB2312"/>
          <w:sz w:val="32"/>
          <w:szCs w:val="32"/>
        </w:rPr>
      </w:pPr>
      <w:r>
        <w:rPr>
          <w:rFonts w:hint="eastAsia" w:ascii="仿宋_GB2312" w:eastAsia="仿宋_GB2312"/>
          <w:sz w:val="32"/>
          <w:szCs w:val="32"/>
        </w:rPr>
        <w:t>10.3 施工图审查合格书，原件1份；</w:t>
      </w:r>
    </w:p>
    <w:p w14:paraId="0E6F2B7F">
      <w:pPr>
        <w:pStyle w:val="13"/>
        <w:spacing w:line="520" w:lineRule="exact"/>
        <w:ind w:firstLine="0" w:firstLineChars="0"/>
        <w:rPr>
          <w:rFonts w:ascii="仿宋_GB2312" w:eastAsia="仿宋_GB2312"/>
          <w:sz w:val="32"/>
          <w:szCs w:val="32"/>
        </w:rPr>
      </w:pPr>
      <w:r>
        <w:rPr>
          <w:rFonts w:hint="eastAsia" w:ascii="仿宋_GB2312" w:eastAsia="仿宋_GB2312"/>
          <w:sz w:val="32"/>
          <w:szCs w:val="32"/>
        </w:rPr>
        <w:t xml:space="preserve">10.4 建筑施工企业安全生产许可证，原件1份； </w:t>
      </w:r>
    </w:p>
    <w:p w14:paraId="1D613B33">
      <w:pPr>
        <w:pStyle w:val="13"/>
        <w:spacing w:line="520" w:lineRule="exact"/>
        <w:ind w:firstLine="0" w:firstLineChars="0"/>
        <w:rPr>
          <w:rFonts w:ascii="仿宋_GB2312" w:eastAsia="仿宋_GB2312"/>
          <w:sz w:val="32"/>
          <w:szCs w:val="32"/>
        </w:rPr>
      </w:pPr>
      <w:r>
        <w:rPr>
          <w:rFonts w:hint="eastAsia" w:ascii="仿宋_GB2312" w:eastAsia="仿宋_GB2312"/>
          <w:sz w:val="32"/>
          <w:szCs w:val="32"/>
        </w:rPr>
        <w:t xml:space="preserve">10.5 </w:t>
      </w:r>
      <w:r>
        <w:rPr>
          <w:rFonts w:hint="eastAsia" w:ascii="仿宋_GB2312" w:hAnsi="宋体" w:eastAsia="仿宋_GB2312"/>
          <w:sz w:val="32"/>
          <w:szCs w:val="32"/>
        </w:rPr>
        <w:t>装饰装修工程</w:t>
      </w:r>
      <w:r>
        <w:rPr>
          <w:rFonts w:hint="eastAsia" w:ascii="仿宋_GB2312" w:eastAsia="仿宋_GB2312"/>
          <w:sz w:val="32"/>
          <w:szCs w:val="32"/>
        </w:rPr>
        <w:t>质量安全技术措施审核表，原件1份；</w:t>
      </w:r>
    </w:p>
    <w:p w14:paraId="2C65A545">
      <w:pPr>
        <w:pStyle w:val="11"/>
        <w:numPr>
          <w:ilvl w:val="1"/>
          <w:numId w:val="0"/>
        </w:numPr>
        <w:spacing w:line="560" w:lineRule="exact"/>
        <w:rPr>
          <w:rFonts w:ascii="仿宋_GB2312" w:hAnsi="仿宋" w:eastAsia="仿宋_GB2312"/>
          <w:sz w:val="32"/>
          <w:szCs w:val="32"/>
        </w:rPr>
      </w:pPr>
      <w:r>
        <w:rPr>
          <w:rFonts w:hint="eastAsia" w:ascii="仿宋_GB2312" w:eastAsia="仿宋_GB2312"/>
          <w:sz w:val="32"/>
          <w:szCs w:val="32"/>
        </w:rPr>
        <w:t>10.6</w:t>
      </w:r>
      <w:r>
        <w:rPr>
          <w:rFonts w:hint="eastAsia" w:ascii="仿宋_GB2312" w:eastAsia="仿宋_GB2312"/>
          <w:sz w:val="32"/>
          <w:szCs w:val="32"/>
          <w:lang w:val="en-US" w:eastAsia="zh-CN"/>
        </w:rPr>
        <w:t xml:space="preserve"> </w:t>
      </w:r>
      <w:r>
        <w:rPr>
          <w:rFonts w:hint="eastAsia" w:ascii="仿宋_GB2312" w:hAnsi="宋体" w:eastAsia="仿宋_GB2312" w:cs="宋体"/>
          <w:sz w:val="32"/>
          <w:szCs w:val="32"/>
        </w:rPr>
        <w:t>建设单位、设计单位、施工单位、监理单位等主体的法定代表人授权书和项目负责人工程质量终身责任承诺书</w:t>
      </w:r>
      <w:r>
        <w:rPr>
          <w:rFonts w:hint="eastAsia" w:ascii="仿宋_GB2312" w:hAnsi="仿宋" w:eastAsia="仿宋_GB2312"/>
          <w:sz w:val="32"/>
          <w:szCs w:val="32"/>
        </w:rPr>
        <w:t>；</w:t>
      </w:r>
    </w:p>
    <w:p w14:paraId="1B750EFA">
      <w:pPr>
        <w:pStyle w:val="11"/>
        <w:numPr>
          <w:ilvl w:val="1"/>
          <w:numId w:val="0"/>
        </w:numPr>
        <w:spacing w:line="560" w:lineRule="exact"/>
        <w:ind w:firstLine="703" w:firstLineChars="250"/>
        <w:rPr>
          <w:rFonts w:ascii="仿宋_GB2312" w:hAnsi="仿宋" w:eastAsia="仿宋_GB2312" w:cs="仿宋_GB2312"/>
          <w:b/>
          <w:sz w:val="28"/>
          <w:szCs w:val="28"/>
        </w:rPr>
      </w:pPr>
      <w:r>
        <w:rPr>
          <w:rFonts w:hint="eastAsia" w:ascii="仿宋_GB2312" w:hAnsi="仿宋" w:eastAsia="仿宋_GB2312"/>
          <w:b/>
          <w:sz w:val="28"/>
          <w:szCs w:val="28"/>
        </w:rPr>
        <w:t>注：（1）</w:t>
      </w:r>
      <w:r>
        <w:rPr>
          <w:rFonts w:hint="eastAsia" w:ascii="Times New Roman" w:hAnsi="仿宋_GB2312" w:eastAsia="仿宋_GB2312"/>
          <w:b/>
          <w:bCs/>
          <w:kern w:val="36"/>
          <w:sz w:val="28"/>
          <w:szCs w:val="28"/>
          <w:lang w:val="zh-TW"/>
        </w:rPr>
        <w:t>项目</w:t>
      </w:r>
      <w:r>
        <w:rPr>
          <w:rFonts w:hint="eastAsia" w:ascii="仿宋_GB2312" w:hAnsi="仿宋" w:eastAsia="仿宋_GB2312" w:cs="仿宋_GB2312"/>
          <w:b/>
          <w:sz w:val="28"/>
          <w:szCs w:val="28"/>
        </w:rPr>
        <w:t>投资额在3000万以下的装饰装修项目原则上不强制要求进行工程监理，</w:t>
      </w:r>
      <w:r>
        <w:rPr>
          <w:rFonts w:hint="eastAsia" w:ascii="Times New Roman" w:hAnsi="仿宋_GB2312" w:eastAsia="仿宋_GB2312"/>
          <w:b/>
          <w:bCs/>
          <w:kern w:val="36"/>
          <w:sz w:val="28"/>
          <w:szCs w:val="28"/>
          <w:lang w:val="zh-TW"/>
        </w:rPr>
        <w:t>无需提交监理单位的法定代表人授权书和项目负责人工程质量终身责任承诺书；</w:t>
      </w:r>
      <w:r>
        <w:rPr>
          <w:rFonts w:hint="eastAsia" w:ascii="仿宋_GB2312" w:hAnsi="仿宋" w:eastAsia="仿宋_GB2312" w:cs="仿宋_GB2312"/>
          <w:b/>
          <w:sz w:val="28"/>
          <w:szCs w:val="28"/>
        </w:rPr>
        <w:t>未委托工程监理的项目，建设单位应选派具备同类项目管理经验的技术人员，承担工程监理的法定责任和义务，确保工程质量安全责任得到落实。</w:t>
      </w:r>
    </w:p>
    <w:p w14:paraId="1DD6DD5A">
      <w:pPr>
        <w:pStyle w:val="13"/>
        <w:spacing w:line="520" w:lineRule="exact"/>
        <w:ind w:firstLine="0" w:firstLineChars="0"/>
        <w:rPr>
          <w:rFonts w:ascii="仿宋_GB2312" w:eastAsia="仿宋_GB2312"/>
          <w:sz w:val="32"/>
          <w:szCs w:val="32"/>
        </w:rPr>
      </w:pPr>
      <w:r>
        <w:rPr>
          <w:rFonts w:hint="eastAsia" w:ascii="仿宋_GB2312" w:eastAsia="仿宋_GB2312"/>
          <w:sz w:val="32"/>
          <w:szCs w:val="32"/>
        </w:rPr>
        <w:t>10.7 建设资金已经落实承诺书，原件1份。</w:t>
      </w:r>
    </w:p>
    <w:p w14:paraId="50614072">
      <w:pPr>
        <w:spacing w:line="440" w:lineRule="exact"/>
        <w:rPr>
          <w:rFonts w:ascii="仿宋_GB2312" w:eastAsia="仿宋_GB2312" w:cs="仿宋_GB2312"/>
          <w:b/>
          <w:bCs/>
          <w:sz w:val="32"/>
          <w:szCs w:val="32"/>
        </w:rPr>
      </w:pPr>
      <w:r>
        <w:rPr>
          <w:rFonts w:hint="eastAsia" w:ascii="仿宋_GB2312" w:hAnsi="宋体" w:eastAsia="仿宋_GB2312" w:cs="仿宋_GB2312"/>
          <w:b/>
          <w:bCs/>
          <w:sz w:val="32"/>
          <w:szCs w:val="32"/>
        </w:rPr>
        <w:t>11</w:t>
      </w:r>
      <w:r>
        <w:rPr>
          <w:rFonts w:hint="eastAsia" w:ascii="仿宋_GB2312" w:eastAsia="仿宋_GB2312" w:cs="仿宋_GB2312"/>
          <w:b/>
          <w:bCs/>
          <w:sz w:val="32"/>
          <w:szCs w:val="32"/>
        </w:rPr>
        <w:t>承诺时限</w:t>
      </w:r>
    </w:p>
    <w:p w14:paraId="21EB0427">
      <w:pPr>
        <w:pStyle w:val="13"/>
        <w:spacing w:line="480" w:lineRule="exact"/>
        <w:ind w:firstLine="0" w:firstLineChars="0"/>
        <w:rPr>
          <w:rFonts w:ascii="仿宋_GB2312" w:eastAsia="仿宋_GB2312" w:cs="仿宋_GB2312"/>
          <w:sz w:val="32"/>
          <w:szCs w:val="32"/>
        </w:rPr>
      </w:pPr>
      <w:r>
        <w:rPr>
          <w:rFonts w:hint="eastAsia" w:ascii="仿宋_GB2312" w:eastAsia="仿宋_GB2312" w:cs="仿宋_GB2312"/>
          <w:sz w:val="32"/>
          <w:szCs w:val="32"/>
        </w:rPr>
        <w:t>11.1承诺时限：3个工作日</w:t>
      </w:r>
    </w:p>
    <w:p w14:paraId="0E3B4B84">
      <w:pPr>
        <w:pStyle w:val="13"/>
        <w:spacing w:line="480" w:lineRule="exact"/>
        <w:ind w:firstLine="0" w:firstLineChars="0"/>
        <w:rPr>
          <w:rFonts w:ascii="仿宋_GB2312" w:eastAsia="仿宋_GB2312" w:cs="仿宋_GB2312"/>
          <w:sz w:val="32"/>
          <w:szCs w:val="32"/>
        </w:rPr>
      </w:pPr>
      <w:r>
        <w:rPr>
          <w:rFonts w:hint="eastAsia" w:ascii="仿宋_GB2312" w:eastAsia="仿宋_GB2312" w:cs="仿宋_GB2312"/>
          <w:sz w:val="32"/>
          <w:szCs w:val="32"/>
        </w:rPr>
        <w:t>11.2法定时限：7个工作日</w:t>
      </w:r>
    </w:p>
    <w:p w14:paraId="1F767940">
      <w:pPr>
        <w:spacing w:line="440" w:lineRule="exact"/>
        <w:rPr>
          <w:rFonts w:ascii="仿宋_GB2312" w:eastAsia="仿宋_GB2312" w:cs="仿宋_GB2312"/>
          <w:b/>
          <w:bCs/>
          <w:sz w:val="32"/>
          <w:szCs w:val="32"/>
        </w:rPr>
      </w:pPr>
      <w:r>
        <w:rPr>
          <w:rFonts w:hint="eastAsia" w:ascii="仿宋_GB2312" w:hAnsi="宋体" w:eastAsia="仿宋_GB2312" w:cs="仿宋_GB2312"/>
          <w:b/>
          <w:bCs/>
          <w:sz w:val="32"/>
          <w:szCs w:val="32"/>
        </w:rPr>
        <w:t>12</w:t>
      </w:r>
      <w:r>
        <w:rPr>
          <w:rFonts w:hint="eastAsia" w:ascii="仿宋_GB2312" w:eastAsia="仿宋_GB2312" w:cs="仿宋_GB2312"/>
          <w:b/>
          <w:bCs/>
          <w:sz w:val="32"/>
          <w:szCs w:val="32"/>
        </w:rPr>
        <w:t>收费标准</w:t>
      </w:r>
    </w:p>
    <w:p w14:paraId="2B239866">
      <w:pPr>
        <w:pStyle w:val="13"/>
        <w:spacing w:line="480" w:lineRule="exact"/>
        <w:ind w:firstLine="0" w:firstLineChars="0"/>
        <w:rPr>
          <w:rFonts w:ascii="仿宋_GB2312" w:eastAsia="仿宋_GB2312" w:cs="仿宋_GB2312"/>
          <w:sz w:val="32"/>
          <w:szCs w:val="32"/>
        </w:rPr>
      </w:pPr>
      <w:r>
        <w:rPr>
          <w:rFonts w:hint="eastAsia" w:ascii="仿宋_GB2312" w:hAnsi="仿宋" w:eastAsia="仿宋_GB2312" w:cs="仿宋_GB2312"/>
          <w:sz w:val="32"/>
          <w:szCs w:val="32"/>
        </w:rPr>
        <w:t xml:space="preserve"> </w:t>
      </w:r>
      <w:r>
        <w:rPr>
          <w:rFonts w:hint="eastAsia" w:ascii="仿宋_GB2312" w:eastAsia="仿宋_GB2312" w:cs="仿宋_GB2312"/>
          <w:sz w:val="32"/>
          <w:szCs w:val="32"/>
        </w:rPr>
        <w:t>不收费（税）</w:t>
      </w:r>
    </w:p>
    <w:p w14:paraId="5B3F051C">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13 办理结果和年检、变更、延续要求</w:t>
      </w:r>
    </w:p>
    <w:p w14:paraId="341F24B7">
      <w:pPr>
        <w:pStyle w:val="13"/>
        <w:spacing w:line="480" w:lineRule="exact"/>
        <w:ind w:firstLine="0" w:firstLineChars="0"/>
        <w:rPr>
          <w:rFonts w:ascii="仿宋_GB2312" w:eastAsia="仿宋_GB2312" w:cs="仿宋_GB2312"/>
          <w:sz w:val="32"/>
          <w:szCs w:val="32"/>
        </w:rPr>
      </w:pPr>
      <w:r>
        <w:rPr>
          <w:rFonts w:hint="eastAsia" w:ascii="仿宋_GB2312" w:eastAsia="仿宋_GB2312" w:cs="仿宋_GB2312"/>
          <w:sz w:val="32"/>
          <w:szCs w:val="32"/>
        </w:rPr>
        <w:t>13.1办理结果类型、名称：证照、《建筑工程施工许可证》</w:t>
      </w:r>
    </w:p>
    <w:p w14:paraId="74096AA5">
      <w:pPr>
        <w:pStyle w:val="13"/>
        <w:spacing w:line="480" w:lineRule="exact"/>
        <w:ind w:firstLine="0" w:firstLineChars="0"/>
        <w:rPr>
          <w:rFonts w:ascii="仿宋_GB2312" w:eastAsia="仿宋_GB2312" w:cs="仿宋_GB2312"/>
          <w:sz w:val="32"/>
          <w:szCs w:val="32"/>
        </w:rPr>
      </w:pPr>
      <w:r>
        <w:rPr>
          <w:rFonts w:hint="eastAsia" w:ascii="仿宋_GB2312" w:eastAsia="仿宋_GB2312" w:cs="仿宋_GB2312"/>
          <w:sz w:val="32"/>
          <w:szCs w:val="32"/>
        </w:rPr>
        <w:t>13.2建设单位应当自领取施工许可证之日起三个月内开工。因故不能按期开工的，应当在期满前向发证机关申请延期，并说明理由;延期以两次为限，每次不超过三个月。既不开工又不申请延期或者超过延期次数、时限的，施工许可证自行废止。建筑工程在施工过程中，建设单位或者施工单位发生变更的，应当重新申请领取施工许可证。</w:t>
      </w:r>
    </w:p>
    <w:p w14:paraId="657E0C04">
      <w:pPr>
        <w:spacing w:line="440" w:lineRule="exact"/>
        <w:rPr>
          <w:rFonts w:hint="eastAsia" w:ascii="仿宋_GB2312" w:eastAsia="仿宋_GB2312" w:cs="仿宋_GB2312"/>
          <w:b/>
          <w:bCs/>
          <w:sz w:val="32"/>
          <w:szCs w:val="32"/>
          <w:lang w:eastAsia="zh-CN"/>
        </w:rPr>
      </w:pPr>
      <w:r>
        <w:rPr>
          <w:rFonts w:hint="eastAsia" w:ascii="仿宋_GB2312" w:eastAsia="仿宋_GB2312" w:cs="仿宋_GB2312"/>
          <w:b/>
          <w:bCs/>
          <w:sz w:val="32"/>
          <w:szCs w:val="32"/>
        </w:rPr>
        <w:t>14 结果</w:t>
      </w:r>
      <w:r>
        <w:rPr>
          <w:rFonts w:hint="eastAsia" w:ascii="仿宋_GB2312" w:eastAsia="仿宋_GB2312" w:cs="仿宋_GB2312"/>
          <w:b/>
          <w:bCs/>
          <w:sz w:val="32"/>
          <w:szCs w:val="32"/>
          <w:lang w:eastAsia="zh-CN"/>
        </w:rPr>
        <w:t>获取方式</w:t>
      </w:r>
    </w:p>
    <w:p w14:paraId="372BABBC">
      <w:pPr>
        <w:pStyle w:val="21"/>
        <w:keepNext w:val="0"/>
        <w:keepLines w:val="0"/>
        <w:pageBreakBefore w:val="0"/>
        <w:widowControl/>
        <w:kinsoku/>
        <w:wordWrap/>
        <w:overflowPunct/>
        <w:topLinePunct w:val="0"/>
        <w:autoSpaceDE/>
        <w:autoSpaceDN w:val="0"/>
        <w:bidi w:val="0"/>
        <w:adjustRightInd/>
        <w:snapToGrid/>
        <w:spacing w:line="480" w:lineRule="exact"/>
        <w:ind w:left="0" w:leftChars="0" w:firstLine="0" w:firstLineChars="0"/>
        <w:textAlignment w:val="auto"/>
        <w:rPr>
          <w:rFonts w:hint="eastAsia" w:ascii="仿宋" w:hAnsi="仿宋" w:eastAsia="仿宋" w:cs="黑体"/>
          <w:sz w:val="32"/>
          <w:szCs w:val="32"/>
        </w:rPr>
      </w:pPr>
      <w:r>
        <w:rPr>
          <w:rFonts w:hint="eastAsia" w:ascii="仿宋" w:hAnsi="仿宋" w:eastAsia="仿宋" w:cs="黑体"/>
          <w:sz w:val="32"/>
          <w:szCs w:val="32"/>
        </w:rPr>
        <w:t>14.1、申请对象窗口领取</w:t>
      </w:r>
    </w:p>
    <w:p w14:paraId="59204B43">
      <w:pPr>
        <w:pStyle w:val="21"/>
        <w:keepNext w:val="0"/>
        <w:keepLines w:val="0"/>
        <w:pageBreakBefore w:val="0"/>
        <w:widowControl/>
        <w:kinsoku/>
        <w:wordWrap/>
        <w:overflowPunct/>
        <w:topLinePunct w:val="0"/>
        <w:autoSpaceDE/>
        <w:autoSpaceDN w:val="0"/>
        <w:bidi w:val="0"/>
        <w:adjustRightInd/>
        <w:snapToGrid/>
        <w:spacing w:line="480" w:lineRule="exact"/>
        <w:ind w:left="0" w:leftChars="0" w:firstLine="0" w:firstLineChars="0"/>
        <w:textAlignment w:val="auto"/>
        <w:rPr>
          <w:rFonts w:hint="eastAsia" w:ascii="仿宋" w:hAnsi="仿宋" w:eastAsia="仿宋" w:cs="黑体"/>
          <w:sz w:val="32"/>
          <w:szCs w:val="32"/>
        </w:rPr>
      </w:pPr>
      <w:r>
        <w:rPr>
          <w:rFonts w:hint="eastAsia" w:ascii="仿宋" w:hAnsi="仿宋" w:eastAsia="仿宋" w:cs="黑体"/>
          <w:sz w:val="32"/>
          <w:szCs w:val="32"/>
        </w:rPr>
        <w:t>14.2、邮递办理结果</w:t>
      </w:r>
    </w:p>
    <w:p w14:paraId="7FE6D854">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15 是否开通预约服务</w:t>
      </w:r>
    </w:p>
    <w:p w14:paraId="22E7E377">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否</w:t>
      </w:r>
    </w:p>
    <w:p w14:paraId="02B6AD2C">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16 注意事项（包含常见错误示例、常见问题解答）</w:t>
      </w:r>
    </w:p>
    <w:p w14:paraId="58D217FB">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无</w:t>
      </w:r>
    </w:p>
    <w:p w14:paraId="331C28CE">
      <w:pPr>
        <w:spacing w:line="440" w:lineRule="exact"/>
        <w:rPr>
          <w:rFonts w:ascii="仿宋_GB2312" w:eastAsia="仿宋_GB2312" w:cs="仿宋_GB2312"/>
          <w:b/>
          <w:bCs/>
          <w:sz w:val="32"/>
          <w:szCs w:val="32"/>
        </w:rPr>
      </w:pPr>
      <w:r>
        <w:rPr>
          <w:rFonts w:hint="eastAsia" w:ascii="仿宋_GB2312" w:eastAsia="仿宋_GB2312" w:cs="仿宋_GB2312"/>
          <w:b/>
          <w:bCs/>
          <w:sz w:val="32"/>
          <w:szCs w:val="32"/>
        </w:rPr>
        <w:t>17 联系信息</w:t>
      </w:r>
    </w:p>
    <w:p w14:paraId="54E2E3FB">
      <w:pPr>
        <w:pStyle w:val="20"/>
        <w:autoSpaceDN w:val="0"/>
        <w:spacing w:line="280" w:lineRule="atLeas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17.1 业务咨询电话： 0597—</w:t>
      </w:r>
      <w:r>
        <w:rPr>
          <w:rFonts w:hint="eastAsia" w:ascii="仿宋_GB2312" w:eastAsia="仿宋_GB2312" w:cs="仿宋_GB2312"/>
          <w:kern w:val="0"/>
          <w:sz w:val="32"/>
          <w:szCs w:val="32"/>
          <w:lang w:val="en-US" w:eastAsia="zh-CN" w:bidi="ar-SA"/>
        </w:rPr>
        <w:t>6810206</w:t>
      </w:r>
      <w:r>
        <w:rPr>
          <w:rFonts w:hint="eastAsia" w:ascii="仿宋_GB2312" w:hAnsi="Times New Roman" w:eastAsia="仿宋_GB2312" w:cs="仿宋_GB2312"/>
          <w:kern w:val="0"/>
          <w:sz w:val="32"/>
          <w:szCs w:val="32"/>
          <w:lang w:val="en-US" w:eastAsia="zh-CN" w:bidi="ar-SA"/>
        </w:rPr>
        <w:t>。</w:t>
      </w:r>
    </w:p>
    <w:p w14:paraId="1730E54C">
      <w:pPr>
        <w:pStyle w:val="20"/>
        <w:autoSpaceDN w:val="0"/>
        <w:spacing w:line="280" w:lineRule="atLeas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17.2 督查股投诉电话：0597—</w:t>
      </w:r>
      <w:r>
        <w:rPr>
          <w:rFonts w:hint="eastAsia" w:ascii="仿宋_GB2312" w:eastAsia="仿宋_GB2312" w:cs="仿宋_GB2312"/>
          <w:kern w:val="0"/>
          <w:sz w:val="32"/>
          <w:szCs w:val="32"/>
          <w:lang w:val="en-US" w:eastAsia="zh-CN" w:bidi="ar-SA"/>
        </w:rPr>
        <w:t>6820111</w:t>
      </w:r>
      <w:r>
        <w:rPr>
          <w:rFonts w:hint="eastAsia" w:ascii="仿宋_GB2312" w:hAnsi="Times New Roman" w:eastAsia="仿宋_GB2312" w:cs="仿宋_GB2312"/>
          <w:kern w:val="0"/>
          <w:sz w:val="32"/>
          <w:szCs w:val="32"/>
          <w:lang w:val="en-US" w:eastAsia="zh-CN" w:bidi="ar-SA"/>
        </w:rPr>
        <w:t xml:space="preserve">  县效能办投诉电话：0597—</w:t>
      </w:r>
      <w:r>
        <w:rPr>
          <w:rFonts w:hint="eastAsia" w:ascii="仿宋" w:hAnsi="仿宋" w:eastAsia="仿宋"/>
          <w:color w:val="auto"/>
          <w:sz w:val="32"/>
          <w:szCs w:val="32"/>
          <w:lang w:val="en-US" w:eastAsia="zh-CN"/>
        </w:rPr>
        <w:t>12345</w:t>
      </w:r>
      <w:r>
        <w:rPr>
          <w:rFonts w:hint="eastAsia" w:ascii="仿宋_GB2312" w:hAnsi="Times New Roman" w:eastAsia="仿宋_GB2312" w:cs="仿宋_GB2312"/>
          <w:kern w:val="0"/>
          <w:sz w:val="32"/>
          <w:szCs w:val="32"/>
          <w:lang w:val="en-US" w:eastAsia="zh-CN" w:bidi="ar-SA"/>
        </w:rPr>
        <w:t>。</w:t>
      </w:r>
    </w:p>
    <w:p w14:paraId="6A09F61C">
      <w:pPr>
        <w:pStyle w:val="20"/>
        <w:autoSpaceDN w:val="0"/>
        <w:spacing w:line="280" w:lineRule="atLeas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17.3  e龙岩网址：http://www.longyan.cn</w:t>
      </w:r>
    </w:p>
    <w:p w14:paraId="535D6FCB">
      <w:pPr>
        <w:spacing w:line="440" w:lineRule="exac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17.4 行政服务中心地址：</w:t>
      </w:r>
      <w:r>
        <w:rPr>
          <w:rFonts w:hint="eastAsia" w:ascii="仿宋" w:hAnsi="仿宋" w:eastAsia="仿宋"/>
          <w:color w:val="auto"/>
          <w:sz w:val="32"/>
          <w:szCs w:val="32"/>
        </w:rPr>
        <w:t>长汀县环城北路120-3</w:t>
      </w:r>
      <w:r>
        <w:rPr>
          <w:rFonts w:hint="eastAsia" w:ascii="仿宋" w:hAnsi="仿宋" w:eastAsia="仿宋"/>
          <w:color w:val="auto"/>
          <w:sz w:val="32"/>
          <w:szCs w:val="32"/>
          <w:lang w:eastAsia="zh-CN"/>
        </w:rPr>
        <w:t>号</w:t>
      </w:r>
      <w:r>
        <w:rPr>
          <w:rFonts w:hint="eastAsia" w:ascii="仿宋" w:hAnsi="仿宋" w:eastAsia="仿宋"/>
          <w:color w:val="auto"/>
          <w:sz w:val="32"/>
          <w:szCs w:val="32"/>
        </w:rPr>
        <w:t>长汀县</w:t>
      </w:r>
      <w:r>
        <w:rPr>
          <w:rFonts w:hint="eastAsia" w:ascii="仿宋_GB2312" w:eastAsia="仿宋_GB2312" w:cs="仿宋_GB2312"/>
          <w:kern w:val="0"/>
          <w:sz w:val="32"/>
          <w:szCs w:val="32"/>
          <w:lang w:val="en-US" w:eastAsia="zh-CN" w:bidi="ar-SA"/>
        </w:rPr>
        <w:t>住建局</w:t>
      </w:r>
      <w:r>
        <w:rPr>
          <w:rFonts w:hint="eastAsia" w:ascii="仿宋_GB2312" w:hAnsi="Times New Roman" w:eastAsia="仿宋_GB2312" w:cs="仿宋_GB2312"/>
          <w:kern w:val="0"/>
          <w:sz w:val="32"/>
          <w:szCs w:val="32"/>
          <w:lang w:val="en-US" w:eastAsia="zh-CN" w:bidi="ar-SA"/>
        </w:rPr>
        <w:t>窗口</w:t>
      </w:r>
    </w:p>
    <w:p w14:paraId="02B4452C">
      <w:pPr>
        <w:spacing w:line="440" w:lineRule="exac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17.5办公时间：周一至周五:上午8:00-</w:t>
      </w:r>
      <w:r>
        <w:rPr>
          <w:rFonts w:hint="eastAsia" w:ascii="仿宋_GB2312" w:eastAsia="仿宋_GB2312" w:cs="仿宋_GB2312"/>
          <w:kern w:val="0"/>
          <w:sz w:val="32"/>
          <w:szCs w:val="32"/>
          <w:lang w:val="en-US" w:eastAsia="zh-CN" w:bidi="ar-SA"/>
        </w:rPr>
        <w:t>12</w:t>
      </w:r>
      <w:r>
        <w:rPr>
          <w:rFonts w:hint="eastAsia" w:ascii="仿宋_GB2312" w:hAnsi="Times New Roman" w:eastAsia="仿宋_GB2312" w:cs="仿宋_GB2312"/>
          <w:kern w:val="0"/>
          <w:sz w:val="32"/>
          <w:szCs w:val="32"/>
          <w:lang w:val="en-US" w:eastAsia="zh-CN" w:bidi="ar-SA"/>
        </w:rPr>
        <w:t>:</w:t>
      </w:r>
      <w:r>
        <w:rPr>
          <w:rFonts w:hint="eastAsia" w:ascii="仿宋_GB2312" w:eastAsia="仿宋_GB2312" w:cs="仿宋_GB2312"/>
          <w:kern w:val="0"/>
          <w:sz w:val="32"/>
          <w:szCs w:val="32"/>
          <w:lang w:val="en-US" w:eastAsia="zh-CN" w:bidi="ar-SA"/>
        </w:rPr>
        <w:t>0</w:t>
      </w:r>
      <w:r>
        <w:rPr>
          <w:rFonts w:hint="eastAsia" w:ascii="仿宋_GB2312" w:hAnsi="Times New Roman" w:eastAsia="仿宋_GB2312" w:cs="仿宋_GB2312"/>
          <w:kern w:val="0"/>
          <w:sz w:val="32"/>
          <w:szCs w:val="32"/>
          <w:lang w:val="en-US" w:eastAsia="zh-CN" w:bidi="ar-SA"/>
        </w:rPr>
        <w:t>0  下午:14:</w:t>
      </w:r>
      <w:r>
        <w:rPr>
          <w:rFonts w:hint="eastAsia" w:ascii="仿宋_GB2312" w:eastAsia="仿宋_GB2312" w:cs="仿宋_GB2312"/>
          <w:kern w:val="0"/>
          <w:sz w:val="32"/>
          <w:szCs w:val="32"/>
          <w:lang w:val="en-US" w:eastAsia="zh-CN" w:bidi="ar-SA"/>
        </w:rPr>
        <w:t>3</w:t>
      </w:r>
      <w:r>
        <w:rPr>
          <w:rFonts w:hint="eastAsia" w:ascii="仿宋_GB2312" w:hAnsi="Times New Roman" w:eastAsia="仿宋_GB2312" w:cs="仿宋_GB2312"/>
          <w:kern w:val="0"/>
          <w:sz w:val="32"/>
          <w:szCs w:val="32"/>
          <w:lang w:val="en-US" w:eastAsia="zh-CN" w:bidi="ar-SA"/>
        </w:rPr>
        <w:t>0-17:30。</w:t>
      </w:r>
    </w:p>
    <w:p w14:paraId="514DD47B">
      <w:pPr>
        <w:pStyle w:val="13"/>
        <w:spacing w:line="440" w:lineRule="exact"/>
        <w:ind w:firstLine="0" w:firstLineChars="0"/>
        <w:rPr>
          <w:rFonts w:ascii="仿宋_GB2312" w:eastAsia="仿宋_GB2312" w:cs="Times New Roman"/>
          <w:b/>
          <w:bCs/>
          <w:sz w:val="32"/>
          <w:szCs w:val="32"/>
        </w:rPr>
      </w:pPr>
      <w:r>
        <w:rPr>
          <w:rFonts w:hint="eastAsia" w:ascii="仿宋_GB2312" w:eastAsia="仿宋_GB2312" w:cs="仿宋_GB2312"/>
          <w:b/>
          <w:bCs/>
          <w:sz w:val="32"/>
          <w:szCs w:val="32"/>
        </w:rPr>
        <w:t>18 诉求渠道</w:t>
      </w:r>
    </w:p>
    <w:p w14:paraId="7C800A1D">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18.1申请人在申请行政审批事项的过程中，依法享有陈述权、申辩权。</w:t>
      </w:r>
    </w:p>
    <w:p w14:paraId="6ADEB932">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18.2申请人的行政审批事项申请被驳回的，有权要求说明理由。</w:t>
      </w:r>
    </w:p>
    <w:p w14:paraId="2F3D5A38">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18.3申请人不服行政审批事项决定的，有权依法申请行政复议或者提起行政诉讼。</w:t>
      </w:r>
    </w:p>
    <w:p w14:paraId="7FE85F47">
      <w:pPr>
        <w:spacing w:line="440" w:lineRule="exact"/>
        <w:rPr>
          <w:rFonts w:ascii="仿宋_GB2312" w:eastAsia="仿宋_GB2312" w:cs="仿宋_GB2312"/>
          <w:kern w:val="0"/>
          <w:sz w:val="32"/>
          <w:szCs w:val="32"/>
        </w:rPr>
      </w:pPr>
      <w:r>
        <w:rPr>
          <w:rFonts w:hint="eastAsia" w:ascii="仿宋_GB2312" w:eastAsia="仿宋_GB2312" w:cs="仿宋_GB2312"/>
          <w:kern w:val="0"/>
          <w:sz w:val="32"/>
          <w:szCs w:val="32"/>
        </w:rPr>
        <w:t>18.4申请人的</w:t>
      </w:r>
      <w:r>
        <w:rPr>
          <w:rFonts w:hint="eastAsia" w:ascii="仿宋_GB2312" w:eastAsia="仿宋_GB2312" w:cs="仿宋_GB2312"/>
          <w:kern w:val="0"/>
          <w:sz w:val="32"/>
          <w:szCs w:val="32"/>
          <w:lang w:val="en-US" w:eastAsia="zh-CN"/>
        </w:rPr>
        <w:t>合法</w:t>
      </w:r>
      <w:bookmarkStart w:id="0" w:name="_GoBack"/>
      <w:bookmarkEnd w:id="0"/>
      <w:r>
        <w:rPr>
          <w:rFonts w:hint="eastAsia" w:ascii="仿宋_GB2312" w:eastAsia="仿宋_GB2312" w:cs="仿宋_GB2312"/>
          <w:kern w:val="0"/>
          <w:sz w:val="32"/>
          <w:szCs w:val="32"/>
        </w:rPr>
        <w:t>权益因行政机关违法实施行政审批事项收到损害的，有权依法要求赔偿。</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01DE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CDD2D">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02D9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7710">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D973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06AA0">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pStyle w:val="12"/>
      <w:suff w:val="nothing"/>
      <w:lvlText w:val="%1"/>
      <w:lvlJc w:val="left"/>
      <w:rPr>
        <w:rFonts w:hint="default" w:ascii="Times New Roman" w:hAnsi="Times New Roman" w:cs="Times New Roman"/>
        <w:b/>
        <w:bCs/>
        <w:i w:val="0"/>
        <w:iCs w:val="0"/>
        <w:sz w:val="21"/>
        <w:szCs w:val="21"/>
      </w:rPr>
    </w:lvl>
    <w:lvl w:ilvl="1" w:tentative="0">
      <w:start w:val="1"/>
      <w:numFmt w:val="decimal"/>
      <w:pStyle w:val="14"/>
      <w:suff w:val="nothing"/>
      <w:lvlText w:val="%1%2　"/>
      <w:lvlJc w:val="left"/>
      <w:rPr>
        <w:rFonts w:hint="eastAsia" w:ascii="黑体" w:hAnsi="Times New Roman" w:eastAsia="黑体" w:cs="Times New Roman"/>
        <w:b w:val="0"/>
        <w:bCs w:val="0"/>
        <w:i w:val="0"/>
        <w:iCs w:val="0"/>
        <w:sz w:val="21"/>
        <w:szCs w:val="21"/>
      </w:rPr>
    </w:lvl>
    <w:lvl w:ilvl="2" w:tentative="0">
      <w:start w:val="1"/>
      <w:numFmt w:val="decimal"/>
      <w:pStyle w:val="15"/>
      <w:suff w:val="nothing"/>
      <w:lvlText w:val="%1%2.%3　"/>
      <w:lvlJc w:val="left"/>
      <w:rPr>
        <w:rFonts w:hint="eastAsia" w:ascii="黑体" w:hAnsi="Times New Roman" w:eastAsia="黑体" w:cs="Times New Roman"/>
        <w:b w:val="0"/>
        <w:bCs w:val="0"/>
        <w:i w:val="0"/>
        <w:iCs w:val="0"/>
        <w:sz w:val="21"/>
        <w:szCs w:val="21"/>
      </w:rPr>
    </w:lvl>
    <w:lvl w:ilvl="3" w:tentative="0">
      <w:start w:val="1"/>
      <w:numFmt w:val="decimal"/>
      <w:pStyle w:val="16"/>
      <w:suff w:val="nothing"/>
      <w:lvlText w:val="%1%2.%3.%4　"/>
      <w:lvlJc w:val="left"/>
      <w:rPr>
        <w:rFonts w:hint="eastAsia" w:ascii="黑体" w:hAnsi="Times New Roman" w:eastAsia="黑体" w:cs="Times New Roman"/>
        <w:b w:val="0"/>
        <w:bCs w:val="0"/>
        <w:i w:val="0"/>
        <w:iCs w:val="0"/>
        <w:sz w:val="21"/>
        <w:szCs w:val="21"/>
      </w:rPr>
    </w:lvl>
    <w:lvl w:ilvl="4" w:tentative="0">
      <w:start w:val="1"/>
      <w:numFmt w:val="decimal"/>
      <w:pStyle w:val="17"/>
      <w:suff w:val="nothing"/>
      <w:lvlText w:val="%1%2.%3.%4.%5　"/>
      <w:lvlJc w:val="left"/>
      <w:rPr>
        <w:rFonts w:hint="eastAsia" w:ascii="黑体" w:hAnsi="Times New Roman" w:eastAsia="黑体" w:cs="Times New Roman"/>
        <w:b w:val="0"/>
        <w:bCs w:val="0"/>
        <w:i w:val="0"/>
        <w:iCs w:val="0"/>
        <w:sz w:val="21"/>
        <w:szCs w:val="21"/>
      </w:rPr>
    </w:lvl>
    <w:lvl w:ilvl="5" w:tentative="0">
      <w:start w:val="1"/>
      <w:numFmt w:val="decimal"/>
      <w:pStyle w:val="18"/>
      <w:suff w:val="nothing"/>
      <w:lvlText w:val="%1%2.%3.%4.%5.%6　"/>
      <w:lvlJc w:val="left"/>
      <w:rPr>
        <w:rFonts w:hint="eastAsia" w:ascii="黑体" w:hAnsi="Times New Roman" w:eastAsia="黑体" w:cs="Times New Roman"/>
        <w:b w:val="0"/>
        <w:bCs w:val="0"/>
        <w:i w:val="0"/>
        <w:iCs w:val="0"/>
        <w:sz w:val="21"/>
        <w:szCs w:val="21"/>
      </w:rPr>
    </w:lvl>
    <w:lvl w:ilvl="6" w:tentative="0">
      <w:start w:val="1"/>
      <w:numFmt w:val="decimal"/>
      <w:pStyle w:val="19"/>
      <w:suff w:val="nothing"/>
      <w:lvlText w:val="%1%2.%3.%4.%5.%6.%7　"/>
      <w:lvlJc w:val="left"/>
      <w:rPr>
        <w:rFonts w:hint="eastAsia" w:ascii="黑体" w:hAnsi="Times New Roman" w:eastAsia="黑体" w:cs="Times New Roman"/>
        <w:b w:val="0"/>
        <w:bCs w:val="0"/>
        <w:i w:val="0"/>
        <w:iCs w:val="0"/>
        <w:sz w:val="21"/>
        <w:szCs w:val="21"/>
      </w:rPr>
    </w:lvl>
    <w:lvl w:ilvl="7" w:tentative="0">
      <w:start w:val="1"/>
      <w:numFmt w:val="decimal"/>
      <w:lvlText w:val="%1.%2.%3.%4.%5.%6.%7.%8"/>
      <w:lvlJc w:val="left"/>
      <w:pPr>
        <w:tabs>
          <w:tab w:val="left" w:pos="4351"/>
        </w:tabs>
        <w:ind w:left="3969" w:hanging="1418"/>
      </w:pPr>
      <w:rPr>
        <w:rFonts w:cs="Times New Roman"/>
      </w:rPr>
    </w:lvl>
    <w:lvl w:ilvl="8" w:tentative="0">
      <w:start w:val="1"/>
      <w:numFmt w:val="decimal"/>
      <w:lvlText w:val="%1.%2.%3.%4.%5.%6.%7.%8.%9"/>
      <w:lvlJc w:val="left"/>
      <w:pPr>
        <w:tabs>
          <w:tab w:val="left" w:pos="4777"/>
        </w:tabs>
        <w:ind w:left="4677" w:hanging="17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1367"/>
    <w:rsid w:val="0006515B"/>
    <w:rsid w:val="0008627B"/>
    <w:rsid w:val="00092962"/>
    <w:rsid w:val="001B2EDF"/>
    <w:rsid w:val="001E247A"/>
    <w:rsid w:val="00201DD9"/>
    <w:rsid w:val="00224B96"/>
    <w:rsid w:val="00273C71"/>
    <w:rsid w:val="00297832"/>
    <w:rsid w:val="002A1367"/>
    <w:rsid w:val="002A1F67"/>
    <w:rsid w:val="00371263"/>
    <w:rsid w:val="003F5A33"/>
    <w:rsid w:val="004169F8"/>
    <w:rsid w:val="00441E88"/>
    <w:rsid w:val="004E4872"/>
    <w:rsid w:val="00516C9A"/>
    <w:rsid w:val="00525BB7"/>
    <w:rsid w:val="00654CDC"/>
    <w:rsid w:val="00701C30"/>
    <w:rsid w:val="007915B5"/>
    <w:rsid w:val="007F5FE7"/>
    <w:rsid w:val="00B21045"/>
    <w:rsid w:val="00B57364"/>
    <w:rsid w:val="00C0681D"/>
    <w:rsid w:val="00C32AE2"/>
    <w:rsid w:val="00D3506B"/>
    <w:rsid w:val="00DC3C30"/>
    <w:rsid w:val="00DC7B15"/>
    <w:rsid w:val="00DF66BD"/>
    <w:rsid w:val="00E17F92"/>
    <w:rsid w:val="00E5444F"/>
    <w:rsid w:val="00E55FE0"/>
    <w:rsid w:val="00ED36F7"/>
    <w:rsid w:val="00F15A0A"/>
    <w:rsid w:val="00F2529C"/>
    <w:rsid w:val="00F63161"/>
    <w:rsid w:val="09B41A68"/>
    <w:rsid w:val="15425EA2"/>
    <w:rsid w:val="172C4E8D"/>
    <w:rsid w:val="209B5D39"/>
    <w:rsid w:val="28AD3D34"/>
    <w:rsid w:val="32D34F16"/>
    <w:rsid w:val="3C285597"/>
    <w:rsid w:val="412C1C1A"/>
    <w:rsid w:val="425D5702"/>
    <w:rsid w:val="4B6874C2"/>
    <w:rsid w:val="50396A7D"/>
    <w:rsid w:val="75717398"/>
    <w:rsid w:val="7DAE0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jc w:val="left"/>
    </w:pPr>
    <w:rPr>
      <w:rFonts w:ascii="宋体" w:cs="宋体"/>
      <w:kern w:val="0"/>
      <w:sz w:val="24"/>
    </w:rPr>
  </w:style>
  <w:style w:type="character" w:styleId="7">
    <w:name w:val="Strong"/>
    <w:qFormat/>
    <w:uiPriority w:val="0"/>
    <w:rPr>
      <w:b/>
    </w:rPr>
  </w:style>
  <w:style w:type="character" w:styleId="8">
    <w:name w:val="Hyperlink"/>
    <w:qFormat/>
    <w:uiPriority w:val="99"/>
    <w:rPr>
      <w:rFonts w:cs="Times New Roman"/>
      <w:color w:val="0000FF"/>
      <w:u w:val="single"/>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 w:type="paragraph" w:customStyle="1" w:styleId="11">
    <w:name w:val="一级无"/>
    <w:basedOn w:val="1"/>
    <w:qFormat/>
    <w:uiPriority w:val="0"/>
    <w:pPr>
      <w:widowControl/>
      <w:tabs>
        <w:tab w:val="left" w:pos="1260"/>
        <w:tab w:val="left" w:pos="1440"/>
      </w:tabs>
      <w:ind w:left="1440" w:hanging="720"/>
      <w:jc w:val="left"/>
      <w:outlineLvl w:val="2"/>
    </w:pPr>
    <w:rPr>
      <w:rFonts w:ascii="宋体"/>
      <w:kern w:val="0"/>
      <w:szCs w:val="21"/>
    </w:rPr>
  </w:style>
  <w:style w:type="paragraph" w:customStyle="1" w:styleId="12">
    <w:name w:val="前言、引言标题"/>
    <w:next w:val="1"/>
    <w:qFormat/>
    <w:uiPriority w:val="0"/>
    <w:pPr>
      <w:numPr>
        <w:ilvl w:val="0"/>
        <w:numId w:val="1"/>
      </w:numPr>
      <w:shd w:val="clear" w:color="auto" w:fill="FFFFFF"/>
      <w:spacing w:before="640" w:after="560"/>
      <w:jc w:val="center"/>
      <w:outlineLvl w:val="0"/>
    </w:pPr>
    <w:rPr>
      <w:rFonts w:ascii="黑体" w:hAnsi="Times New Roman" w:eastAsia="黑体" w:cs="黑体"/>
      <w:kern w:val="0"/>
      <w:sz w:val="32"/>
      <w:szCs w:val="32"/>
      <w:lang w:val="en-US" w:eastAsia="zh-CN" w:bidi="ar-SA"/>
    </w:rPr>
  </w:style>
  <w:style w:type="paragraph" w:customStyle="1" w:styleId="13">
    <w:name w:val="段"/>
    <w:qFormat/>
    <w:uiPriority w:val="0"/>
    <w:pPr>
      <w:autoSpaceDE w:val="0"/>
      <w:autoSpaceDN w:val="0"/>
      <w:ind w:firstLine="200" w:firstLineChars="200"/>
      <w:jc w:val="both"/>
    </w:pPr>
    <w:rPr>
      <w:rFonts w:ascii="宋体" w:hAnsi="Times New Roman" w:eastAsia="宋体" w:cs="宋体"/>
      <w:kern w:val="0"/>
      <w:sz w:val="21"/>
      <w:szCs w:val="21"/>
      <w:lang w:val="en-US" w:eastAsia="zh-CN" w:bidi="ar-SA"/>
    </w:rPr>
  </w:style>
  <w:style w:type="paragraph" w:customStyle="1" w:styleId="14">
    <w:name w:val="章标题"/>
    <w:next w:val="13"/>
    <w:qFormat/>
    <w:uiPriority w:val="0"/>
    <w:pPr>
      <w:numPr>
        <w:ilvl w:val="1"/>
        <w:numId w:val="1"/>
      </w:numPr>
      <w:spacing w:beforeLines="50" w:afterLines="50"/>
      <w:jc w:val="both"/>
      <w:outlineLvl w:val="1"/>
    </w:pPr>
    <w:rPr>
      <w:rFonts w:ascii="黑体" w:hAnsi="Times New Roman" w:eastAsia="黑体" w:cs="黑体"/>
      <w:kern w:val="0"/>
      <w:sz w:val="21"/>
      <w:szCs w:val="21"/>
      <w:lang w:val="en-US" w:eastAsia="zh-CN" w:bidi="ar-SA"/>
    </w:rPr>
  </w:style>
  <w:style w:type="paragraph" w:customStyle="1" w:styleId="15">
    <w:name w:val="一级条标题"/>
    <w:next w:val="13"/>
    <w:qFormat/>
    <w:uiPriority w:val="0"/>
    <w:pPr>
      <w:numPr>
        <w:ilvl w:val="2"/>
        <w:numId w:val="1"/>
      </w:numPr>
      <w:outlineLvl w:val="2"/>
    </w:pPr>
    <w:rPr>
      <w:rFonts w:ascii="Times New Roman" w:hAnsi="Times New Roman" w:eastAsia="黑体" w:cs="Times New Roman"/>
      <w:kern w:val="0"/>
      <w:sz w:val="21"/>
      <w:szCs w:val="21"/>
      <w:lang w:val="en-US" w:eastAsia="zh-CN" w:bidi="ar-SA"/>
    </w:rPr>
  </w:style>
  <w:style w:type="paragraph" w:customStyle="1" w:styleId="16">
    <w:name w:val="二级条标题"/>
    <w:basedOn w:val="15"/>
    <w:next w:val="13"/>
    <w:qFormat/>
    <w:uiPriority w:val="0"/>
    <w:pPr>
      <w:numPr>
        <w:ilvl w:val="3"/>
      </w:numPr>
      <w:outlineLvl w:val="3"/>
    </w:pPr>
  </w:style>
  <w:style w:type="paragraph" w:customStyle="1" w:styleId="17">
    <w:name w:val="三级条标题"/>
    <w:basedOn w:val="16"/>
    <w:next w:val="13"/>
    <w:qFormat/>
    <w:uiPriority w:val="0"/>
    <w:pPr>
      <w:numPr>
        <w:ilvl w:val="4"/>
      </w:numPr>
      <w:outlineLvl w:val="4"/>
    </w:pPr>
  </w:style>
  <w:style w:type="paragraph" w:customStyle="1" w:styleId="18">
    <w:name w:val="四级条标题"/>
    <w:basedOn w:val="17"/>
    <w:next w:val="13"/>
    <w:qFormat/>
    <w:uiPriority w:val="0"/>
    <w:pPr>
      <w:numPr>
        <w:ilvl w:val="5"/>
      </w:numPr>
      <w:outlineLvl w:val="5"/>
    </w:pPr>
  </w:style>
  <w:style w:type="paragraph" w:customStyle="1" w:styleId="19">
    <w:name w:val="五级条标题"/>
    <w:basedOn w:val="18"/>
    <w:next w:val="13"/>
    <w:qFormat/>
    <w:uiPriority w:val="0"/>
    <w:pPr>
      <w:numPr>
        <w:ilvl w:val="6"/>
      </w:numPr>
      <w:outlineLvl w:val="6"/>
    </w:pPr>
  </w:style>
  <w:style w:type="paragraph" w:customStyle="1" w:styleId="20">
    <w:name w:val="p17"/>
    <w:basedOn w:val="1"/>
    <w:qFormat/>
    <w:uiPriority w:val="0"/>
    <w:pPr>
      <w:widowControl/>
      <w:jc w:val="left"/>
    </w:pPr>
    <w:rPr>
      <w:kern w:val="0"/>
      <w:sz w:val="20"/>
      <w:szCs w:val="20"/>
    </w:rPr>
  </w:style>
  <w:style w:type="paragraph" w:customStyle="1" w:styleId="21">
    <w:name w:val="p19"/>
    <w:basedOn w:val="1"/>
    <w:qFormat/>
    <w:uiPriority w:val="99"/>
    <w:pPr>
      <w:widowControl/>
      <w:ind w:firstLine="42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3D3E51D-D601-4509-9578-B0362873058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1641</Words>
  <Characters>1832</Characters>
  <Lines>13</Lines>
  <Paragraphs>3</Paragraphs>
  <TotalTime>2</TotalTime>
  <ScaleCrop>false</ScaleCrop>
  <LinksUpToDate>false</LinksUpToDate>
  <CharactersWithSpaces>1862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2019-09-27T02:03:00Z</dcterms:created>
  <dc:creator>User</dc:creator>
  <cp:lastModifiedBy>天外飞仙</cp:lastModifiedBy>
  <dcterms:modified xsi:type="dcterms:W3CDTF">2025-12-31T01:32:26Z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eyJoZGlkIjoiODUwNzA0OThmMWIzNmNkZGIwMWU1OWI4MmFhZDgxZGEiLCJ1c2VySWQiOiI1ODQyMDk2OTkifQ==</vt:lpwstr>
  </property>
  <property fmtid="{D5CDD505-2E9C-101B-9397-08002B2CF9AE}" pid="4" name="ICV">
    <vt:lpwstr>60AFD8F675084B9E9A6B52CF7507CB48_12</vt:lpwstr>
  </property>
</Properties>
</file>