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6CD86"/>
    <w:p w14:paraId="5B976DD0">
      <w:pPr>
        <w:pStyle w:val="14"/>
        <w:ind w:firstLine="480"/>
        <w:rPr>
          <w:rFonts w:cs="Times New Roman"/>
        </w:rPr>
      </w:pPr>
    </w:p>
    <w:p w14:paraId="5B5CA020">
      <w:pPr>
        <w:pStyle w:val="12"/>
        <w:ind w:firstLine="480"/>
        <w:rPr>
          <w:rFonts w:ascii="宋体" w:hAnsi="宋体"/>
        </w:rPr>
      </w:pPr>
    </w:p>
    <w:p w14:paraId="0B77C41E">
      <w:pPr>
        <w:pStyle w:val="67"/>
        <w:rPr>
          <w:rFonts w:ascii="宋体" w:hAnsi="宋体"/>
        </w:rPr>
      </w:pPr>
      <w:r>
        <w:rPr>
          <w:rFonts w:hint="eastAsia" w:ascii="宋体" w:hAnsi="宋体"/>
        </w:rPr>
        <w:t>长汀县“十五五”水安全保障规划</w:t>
      </w:r>
    </w:p>
    <w:p w14:paraId="0CAB7A3C">
      <w:pPr>
        <w:pStyle w:val="67"/>
        <w:rPr>
          <w:rFonts w:ascii="宋体" w:hAnsi="宋体"/>
        </w:rPr>
      </w:pPr>
      <w:r>
        <w:rPr>
          <w:rFonts w:hint="eastAsia" w:ascii="宋体" w:hAnsi="宋体"/>
        </w:rPr>
        <w:t>（征求意见稿）</w:t>
      </w:r>
    </w:p>
    <w:p w14:paraId="297D0047">
      <w:pPr>
        <w:pStyle w:val="68"/>
        <w:rPr>
          <w:rFonts w:ascii="宋体" w:hAnsi="宋体"/>
        </w:rPr>
      </w:pPr>
    </w:p>
    <w:p w14:paraId="3B806B46">
      <w:pPr>
        <w:jc w:val="center"/>
        <w:rPr>
          <w:rFonts w:ascii="宋体" w:hAnsi="宋体"/>
          <w:sz w:val="42"/>
          <w:szCs w:val="42"/>
        </w:rPr>
      </w:pPr>
    </w:p>
    <w:p w14:paraId="48A04135">
      <w:pPr>
        <w:jc w:val="center"/>
        <w:rPr>
          <w:rFonts w:ascii="宋体" w:hAnsi="宋体"/>
          <w:sz w:val="42"/>
          <w:szCs w:val="42"/>
        </w:rPr>
      </w:pPr>
    </w:p>
    <w:p w14:paraId="46F273DB">
      <w:pPr>
        <w:jc w:val="center"/>
        <w:rPr>
          <w:rFonts w:ascii="宋体" w:hAnsi="宋体"/>
          <w:sz w:val="42"/>
          <w:szCs w:val="42"/>
        </w:rPr>
      </w:pPr>
    </w:p>
    <w:p w14:paraId="0BE9D3AC">
      <w:pPr>
        <w:jc w:val="center"/>
        <w:rPr>
          <w:rFonts w:ascii="宋体" w:hAnsi="宋体"/>
          <w:sz w:val="42"/>
          <w:szCs w:val="42"/>
        </w:rPr>
      </w:pPr>
    </w:p>
    <w:p w14:paraId="246A1F3D">
      <w:pPr>
        <w:jc w:val="center"/>
        <w:rPr>
          <w:rFonts w:ascii="宋体" w:hAnsi="宋体"/>
          <w:sz w:val="42"/>
          <w:szCs w:val="42"/>
        </w:rPr>
      </w:pPr>
    </w:p>
    <w:p w14:paraId="163D3204">
      <w:pPr>
        <w:jc w:val="center"/>
        <w:rPr>
          <w:rFonts w:ascii="宋体" w:hAnsi="宋体"/>
          <w:sz w:val="42"/>
          <w:szCs w:val="42"/>
        </w:rPr>
      </w:pPr>
    </w:p>
    <w:p w14:paraId="44B48889">
      <w:pPr>
        <w:jc w:val="center"/>
        <w:rPr>
          <w:rFonts w:ascii="宋体" w:hAnsi="宋体"/>
          <w:sz w:val="42"/>
          <w:szCs w:val="42"/>
        </w:rPr>
      </w:pPr>
    </w:p>
    <w:p w14:paraId="5CE6DBBD">
      <w:pPr>
        <w:jc w:val="center"/>
        <w:rPr>
          <w:rFonts w:ascii="宋体" w:hAnsi="宋体"/>
          <w:sz w:val="42"/>
          <w:szCs w:val="42"/>
        </w:rPr>
      </w:pPr>
    </w:p>
    <w:p w14:paraId="1F88D80D">
      <w:pPr>
        <w:pStyle w:val="69"/>
        <w:rPr>
          <w:rFonts w:ascii="宋体" w:hAnsi="宋体"/>
        </w:rPr>
      </w:pPr>
    </w:p>
    <w:p w14:paraId="5FD51DE6">
      <w:pPr>
        <w:pStyle w:val="69"/>
        <w:rPr>
          <w:rFonts w:ascii="宋体" w:hAnsi="宋体"/>
        </w:rPr>
      </w:pPr>
      <w:r>
        <w:rPr>
          <w:rFonts w:hint="eastAsia" w:ascii="宋体" w:hAnsi="宋体"/>
        </w:rPr>
        <w:t>长汀县水利局</w:t>
      </w:r>
    </w:p>
    <w:p w14:paraId="0DE8DCB8">
      <w:pPr>
        <w:pStyle w:val="69"/>
        <w:rPr>
          <w:rFonts w:ascii="宋体" w:hAnsi="宋体"/>
        </w:rPr>
      </w:pPr>
      <w:r>
        <w:rPr>
          <w:rFonts w:hint="eastAsia" w:ascii="宋体" w:hAnsi="宋体"/>
        </w:rPr>
        <w:t>2</w:t>
      </w:r>
      <w:r>
        <w:rPr>
          <w:rFonts w:ascii="宋体" w:hAnsi="宋体"/>
        </w:rPr>
        <w:t>025</w:t>
      </w:r>
      <w:r>
        <w:rPr>
          <w:rFonts w:hint="eastAsia" w:ascii="宋体" w:hAnsi="宋体"/>
        </w:rPr>
        <w:t>年1</w:t>
      </w:r>
      <w:r>
        <w:rPr>
          <w:rFonts w:ascii="宋体" w:hAnsi="宋体"/>
        </w:rPr>
        <w:t>2</w:t>
      </w:r>
      <w:r>
        <w:rPr>
          <w:rFonts w:hint="eastAsia" w:ascii="宋体" w:hAnsi="宋体"/>
        </w:rPr>
        <w:t>月</w:t>
      </w:r>
    </w:p>
    <w:p w14:paraId="3968425B">
      <w:pPr>
        <w:pStyle w:val="69"/>
        <w:rPr>
          <w:rFonts w:ascii="宋体" w:hAnsi="宋体"/>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850" w:footer="850" w:gutter="0"/>
          <w:pgNumType w:start="1"/>
          <w:cols w:space="720" w:num="1"/>
          <w:docGrid w:linePitch="312" w:charSpace="0"/>
        </w:sectPr>
      </w:pPr>
    </w:p>
    <w:p w14:paraId="2B97A1EB">
      <w:pPr>
        <w:jc w:val="center"/>
        <w:rPr>
          <w:rFonts w:ascii="宋体" w:hAnsi="宋体"/>
          <w:b/>
          <w:bCs/>
          <w:sz w:val="32"/>
          <w:szCs w:val="32"/>
        </w:rPr>
      </w:pPr>
      <w:r>
        <w:rPr>
          <w:rFonts w:hint="eastAsia" w:ascii="宋体" w:hAnsi="宋体"/>
          <w:b/>
          <w:bCs/>
          <w:sz w:val="32"/>
          <w:szCs w:val="32"/>
        </w:rPr>
        <w:t>目    录</w:t>
      </w:r>
    </w:p>
    <w:p w14:paraId="01A58959">
      <w:pPr>
        <w:jc w:val="center"/>
        <w:rPr>
          <w:rFonts w:ascii="宋体" w:hAnsi="宋体"/>
          <w:b/>
          <w:bCs/>
          <w:sz w:val="32"/>
          <w:szCs w:val="32"/>
        </w:rPr>
      </w:pPr>
    </w:p>
    <w:p w14:paraId="01E67D17">
      <w:pPr>
        <w:ind w:firstLine="964" w:firstLineChars="300"/>
        <w:rPr>
          <w:rFonts w:ascii="宋体" w:hAnsi="宋体"/>
          <w:b/>
          <w:bCs/>
          <w:sz w:val="32"/>
          <w:szCs w:val="32"/>
        </w:rPr>
      </w:pPr>
      <w:r>
        <w:rPr>
          <w:rFonts w:hint="eastAsia" w:ascii="宋体" w:hAnsi="宋体"/>
          <w:b/>
          <w:bCs/>
          <w:sz w:val="32"/>
          <w:szCs w:val="32"/>
        </w:rPr>
        <w:t>前  言</w:t>
      </w:r>
    </w:p>
    <w:p w14:paraId="616DABB0">
      <w:pPr>
        <w:pStyle w:val="22"/>
        <w:tabs>
          <w:tab w:val="left" w:pos="840"/>
          <w:tab w:val="right" w:leader="dot" w:pos="8296"/>
        </w:tabs>
        <w:rPr>
          <w:rFonts w:eastAsiaTheme="minorEastAsia"/>
          <w:b w:val="0"/>
          <w:sz w:val="21"/>
        </w:rPr>
      </w:pPr>
      <w:r>
        <w:rPr>
          <w:rFonts w:hint="eastAsia" w:ascii="宋体" w:hAnsi="宋体"/>
          <w:b w:val="0"/>
        </w:rPr>
        <w:fldChar w:fldCharType="begin"/>
      </w:r>
      <w:r>
        <w:rPr>
          <w:rFonts w:hint="eastAsia" w:ascii="宋体" w:hAnsi="宋体"/>
          <w:b w:val="0"/>
        </w:rPr>
        <w:instrText xml:space="preserve"> TOC \o "1-2" \h \z \u </w:instrText>
      </w:r>
      <w:r>
        <w:rPr>
          <w:rFonts w:hint="eastAsia" w:ascii="宋体" w:hAnsi="宋体"/>
          <w:b w:val="0"/>
        </w:rPr>
        <w:fldChar w:fldCharType="separate"/>
      </w:r>
      <w:r>
        <w:fldChar w:fldCharType="begin"/>
      </w:r>
      <w:r>
        <w:instrText xml:space="preserve"> HYPERLINK \l "_Toc216791679" </w:instrText>
      </w:r>
      <w:r>
        <w:fldChar w:fldCharType="separate"/>
      </w:r>
      <w:r>
        <w:rPr>
          <w:rStyle w:val="33"/>
          <w:rFonts w:ascii="宋体" w:hAnsi="宋体"/>
          <w:bCs/>
        </w:rPr>
        <w:t>1</w:t>
      </w:r>
      <w:r>
        <w:rPr>
          <w:rFonts w:eastAsiaTheme="minorEastAsia"/>
          <w:b w:val="0"/>
          <w:sz w:val="21"/>
        </w:rPr>
        <w:tab/>
      </w:r>
      <w:r>
        <w:rPr>
          <w:rStyle w:val="33"/>
          <w:rFonts w:ascii="宋体" w:hAnsi="宋体"/>
          <w:bCs/>
        </w:rPr>
        <w:t>基本情况</w:t>
      </w:r>
      <w:r>
        <w:tab/>
      </w:r>
      <w:r>
        <w:fldChar w:fldCharType="begin"/>
      </w:r>
      <w:r>
        <w:instrText xml:space="preserve"> PAGEREF _Toc216791679 \h </w:instrText>
      </w:r>
      <w:r>
        <w:fldChar w:fldCharType="separate"/>
      </w:r>
      <w:r>
        <w:t>1</w:t>
      </w:r>
      <w:r>
        <w:fldChar w:fldCharType="end"/>
      </w:r>
      <w:r>
        <w:fldChar w:fldCharType="end"/>
      </w:r>
    </w:p>
    <w:p w14:paraId="476076F9">
      <w:pPr>
        <w:pStyle w:val="26"/>
        <w:tabs>
          <w:tab w:val="left" w:pos="1260"/>
          <w:tab w:val="right" w:leader="dot" w:pos="8296"/>
        </w:tabs>
        <w:ind w:left="560"/>
        <w:rPr>
          <w:rFonts w:eastAsiaTheme="minorEastAsia"/>
          <w:sz w:val="21"/>
        </w:rPr>
      </w:pPr>
      <w:r>
        <w:fldChar w:fldCharType="begin"/>
      </w:r>
      <w:r>
        <w:instrText xml:space="preserve"> HYPERLINK \l "_Toc216791680" </w:instrText>
      </w:r>
      <w:r>
        <w:fldChar w:fldCharType="separate"/>
      </w:r>
      <w:r>
        <w:rPr>
          <w:rStyle w:val="33"/>
          <w:rFonts w:ascii="宋体" w:hAnsi="宋体"/>
        </w:rPr>
        <w:t>1.1</w:t>
      </w:r>
      <w:r>
        <w:rPr>
          <w:rFonts w:eastAsiaTheme="minorEastAsia"/>
          <w:sz w:val="21"/>
        </w:rPr>
        <w:tab/>
      </w:r>
      <w:r>
        <w:rPr>
          <w:rStyle w:val="33"/>
          <w:rFonts w:ascii="宋体" w:hAnsi="宋体"/>
        </w:rPr>
        <w:t>自然地理概况</w:t>
      </w:r>
      <w:r>
        <w:tab/>
      </w:r>
      <w:r>
        <w:fldChar w:fldCharType="begin"/>
      </w:r>
      <w:r>
        <w:instrText xml:space="preserve"> PAGEREF _Toc216791680 \h </w:instrText>
      </w:r>
      <w:r>
        <w:fldChar w:fldCharType="separate"/>
      </w:r>
      <w:r>
        <w:t>1</w:t>
      </w:r>
      <w:r>
        <w:fldChar w:fldCharType="end"/>
      </w:r>
      <w:r>
        <w:fldChar w:fldCharType="end"/>
      </w:r>
    </w:p>
    <w:p w14:paraId="5AC107D8">
      <w:pPr>
        <w:pStyle w:val="26"/>
        <w:tabs>
          <w:tab w:val="left" w:pos="1260"/>
          <w:tab w:val="right" w:leader="dot" w:pos="8296"/>
        </w:tabs>
        <w:ind w:left="560"/>
        <w:rPr>
          <w:rFonts w:eastAsiaTheme="minorEastAsia"/>
          <w:sz w:val="21"/>
        </w:rPr>
      </w:pPr>
      <w:r>
        <w:fldChar w:fldCharType="begin"/>
      </w:r>
      <w:r>
        <w:instrText xml:space="preserve"> HYPERLINK \l "_Toc216791681" </w:instrText>
      </w:r>
      <w:r>
        <w:fldChar w:fldCharType="separate"/>
      </w:r>
      <w:r>
        <w:rPr>
          <w:rStyle w:val="33"/>
          <w:rFonts w:ascii="宋体" w:hAnsi="宋体"/>
        </w:rPr>
        <w:t>1.2</w:t>
      </w:r>
      <w:r>
        <w:rPr>
          <w:rFonts w:eastAsiaTheme="minorEastAsia"/>
          <w:sz w:val="21"/>
        </w:rPr>
        <w:tab/>
      </w:r>
      <w:r>
        <w:rPr>
          <w:rStyle w:val="33"/>
          <w:rFonts w:ascii="宋体" w:hAnsi="宋体"/>
        </w:rPr>
        <w:t>社会经济概况</w:t>
      </w:r>
      <w:r>
        <w:tab/>
      </w:r>
      <w:r>
        <w:fldChar w:fldCharType="begin"/>
      </w:r>
      <w:r>
        <w:instrText xml:space="preserve"> PAGEREF _Toc216791681 \h </w:instrText>
      </w:r>
      <w:r>
        <w:fldChar w:fldCharType="separate"/>
      </w:r>
      <w:r>
        <w:t>7</w:t>
      </w:r>
      <w:r>
        <w:fldChar w:fldCharType="end"/>
      </w:r>
      <w:r>
        <w:fldChar w:fldCharType="end"/>
      </w:r>
    </w:p>
    <w:p w14:paraId="3A56DE0F">
      <w:pPr>
        <w:pStyle w:val="22"/>
        <w:tabs>
          <w:tab w:val="left" w:pos="840"/>
          <w:tab w:val="right" w:leader="dot" w:pos="8296"/>
        </w:tabs>
        <w:rPr>
          <w:rFonts w:eastAsiaTheme="minorEastAsia"/>
          <w:b w:val="0"/>
          <w:sz w:val="21"/>
        </w:rPr>
      </w:pPr>
      <w:r>
        <w:fldChar w:fldCharType="begin"/>
      </w:r>
      <w:r>
        <w:instrText xml:space="preserve"> HYPERLINK \l "_Toc216791682" </w:instrText>
      </w:r>
      <w:r>
        <w:fldChar w:fldCharType="separate"/>
      </w:r>
      <w:r>
        <w:rPr>
          <w:rStyle w:val="33"/>
          <w:rFonts w:ascii="宋体" w:hAnsi="宋体"/>
          <w:bCs/>
        </w:rPr>
        <w:t>2</w:t>
      </w:r>
      <w:r>
        <w:rPr>
          <w:rFonts w:eastAsiaTheme="minorEastAsia"/>
          <w:b w:val="0"/>
          <w:sz w:val="21"/>
        </w:rPr>
        <w:tab/>
      </w:r>
      <w:r>
        <w:rPr>
          <w:rStyle w:val="33"/>
          <w:rFonts w:ascii="宋体" w:hAnsi="宋体"/>
          <w:bCs/>
        </w:rPr>
        <w:t>发展现状</w:t>
      </w:r>
      <w:r>
        <w:tab/>
      </w:r>
      <w:r>
        <w:fldChar w:fldCharType="begin"/>
      </w:r>
      <w:r>
        <w:instrText xml:space="preserve"> PAGEREF _Toc216791682 \h </w:instrText>
      </w:r>
      <w:r>
        <w:fldChar w:fldCharType="separate"/>
      </w:r>
      <w:r>
        <w:t>9</w:t>
      </w:r>
      <w:r>
        <w:fldChar w:fldCharType="end"/>
      </w:r>
      <w:r>
        <w:fldChar w:fldCharType="end"/>
      </w:r>
    </w:p>
    <w:p w14:paraId="3191B134">
      <w:pPr>
        <w:pStyle w:val="26"/>
        <w:tabs>
          <w:tab w:val="left" w:pos="1260"/>
          <w:tab w:val="right" w:leader="dot" w:pos="8296"/>
        </w:tabs>
        <w:ind w:left="560"/>
        <w:rPr>
          <w:rFonts w:eastAsiaTheme="minorEastAsia"/>
          <w:sz w:val="21"/>
        </w:rPr>
      </w:pPr>
      <w:r>
        <w:fldChar w:fldCharType="begin"/>
      </w:r>
      <w:r>
        <w:instrText xml:space="preserve"> HYPERLINK \l "_Toc216791683" </w:instrText>
      </w:r>
      <w:r>
        <w:fldChar w:fldCharType="separate"/>
      </w:r>
      <w:r>
        <w:rPr>
          <w:rStyle w:val="33"/>
          <w:rFonts w:ascii="宋体" w:hAnsi="宋体"/>
        </w:rPr>
        <w:t>2.1</w:t>
      </w:r>
      <w:r>
        <w:rPr>
          <w:rFonts w:eastAsiaTheme="minorEastAsia"/>
          <w:sz w:val="21"/>
        </w:rPr>
        <w:tab/>
      </w:r>
      <w:r>
        <w:rPr>
          <w:rStyle w:val="33"/>
          <w:rFonts w:ascii="宋体" w:hAnsi="宋体"/>
        </w:rPr>
        <w:t>“十四五”水利发展成效</w:t>
      </w:r>
      <w:r>
        <w:tab/>
      </w:r>
      <w:r>
        <w:fldChar w:fldCharType="begin"/>
      </w:r>
      <w:r>
        <w:instrText xml:space="preserve"> PAGEREF _Toc216791683 \h </w:instrText>
      </w:r>
      <w:r>
        <w:fldChar w:fldCharType="separate"/>
      </w:r>
      <w:r>
        <w:t>9</w:t>
      </w:r>
      <w:r>
        <w:fldChar w:fldCharType="end"/>
      </w:r>
      <w:r>
        <w:fldChar w:fldCharType="end"/>
      </w:r>
    </w:p>
    <w:p w14:paraId="3D47E3DE">
      <w:pPr>
        <w:pStyle w:val="26"/>
        <w:tabs>
          <w:tab w:val="left" w:pos="1260"/>
          <w:tab w:val="right" w:leader="dot" w:pos="8296"/>
        </w:tabs>
        <w:ind w:left="560"/>
        <w:rPr>
          <w:rFonts w:eastAsiaTheme="minorEastAsia"/>
          <w:sz w:val="21"/>
        </w:rPr>
      </w:pPr>
      <w:r>
        <w:fldChar w:fldCharType="begin"/>
      </w:r>
      <w:r>
        <w:instrText xml:space="preserve"> HYPERLINK \l "_Toc216791684" </w:instrText>
      </w:r>
      <w:r>
        <w:fldChar w:fldCharType="separate"/>
      </w:r>
      <w:r>
        <w:rPr>
          <w:rStyle w:val="33"/>
          <w:rFonts w:ascii="宋体" w:hAnsi="宋体"/>
        </w:rPr>
        <w:t>2.2</w:t>
      </w:r>
      <w:r>
        <w:rPr>
          <w:rFonts w:eastAsiaTheme="minorEastAsia"/>
          <w:sz w:val="21"/>
        </w:rPr>
        <w:tab/>
      </w:r>
      <w:r>
        <w:rPr>
          <w:rStyle w:val="33"/>
          <w:rFonts w:ascii="宋体" w:hAnsi="宋体"/>
        </w:rPr>
        <w:t>“十四五”规划指标完成情况</w:t>
      </w:r>
      <w:r>
        <w:tab/>
      </w:r>
      <w:r>
        <w:fldChar w:fldCharType="begin"/>
      </w:r>
      <w:r>
        <w:instrText xml:space="preserve"> PAGEREF _Toc216791684 \h </w:instrText>
      </w:r>
      <w:r>
        <w:fldChar w:fldCharType="separate"/>
      </w:r>
      <w:r>
        <w:t>17</w:t>
      </w:r>
      <w:r>
        <w:fldChar w:fldCharType="end"/>
      </w:r>
      <w:r>
        <w:fldChar w:fldCharType="end"/>
      </w:r>
    </w:p>
    <w:p w14:paraId="09FD9C89">
      <w:pPr>
        <w:pStyle w:val="26"/>
        <w:tabs>
          <w:tab w:val="left" w:pos="1260"/>
          <w:tab w:val="right" w:leader="dot" w:pos="8296"/>
        </w:tabs>
        <w:ind w:left="560"/>
        <w:rPr>
          <w:rFonts w:eastAsiaTheme="minorEastAsia"/>
          <w:sz w:val="21"/>
        </w:rPr>
      </w:pPr>
      <w:r>
        <w:fldChar w:fldCharType="begin"/>
      </w:r>
      <w:r>
        <w:instrText xml:space="preserve"> HYPERLINK \l "_Toc216791685" </w:instrText>
      </w:r>
      <w:r>
        <w:fldChar w:fldCharType="separate"/>
      </w:r>
      <w:r>
        <w:rPr>
          <w:rStyle w:val="33"/>
          <w:rFonts w:ascii="宋体" w:hAnsi="宋体"/>
        </w:rPr>
        <w:t>2.3</w:t>
      </w:r>
      <w:r>
        <w:rPr>
          <w:rFonts w:eastAsiaTheme="minorEastAsia"/>
          <w:sz w:val="21"/>
        </w:rPr>
        <w:tab/>
      </w:r>
      <w:r>
        <w:rPr>
          <w:rStyle w:val="33"/>
          <w:rFonts w:ascii="宋体" w:hAnsi="宋体"/>
        </w:rPr>
        <w:t>存在问题</w:t>
      </w:r>
      <w:r>
        <w:tab/>
      </w:r>
      <w:r>
        <w:fldChar w:fldCharType="begin"/>
      </w:r>
      <w:r>
        <w:instrText xml:space="preserve"> PAGEREF _Toc216791685 \h </w:instrText>
      </w:r>
      <w:r>
        <w:fldChar w:fldCharType="separate"/>
      </w:r>
      <w:r>
        <w:t>19</w:t>
      </w:r>
      <w:r>
        <w:fldChar w:fldCharType="end"/>
      </w:r>
      <w:r>
        <w:fldChar w:fldCharType="end"/>
      </w:r>
    </w:p>
    <w:p w14:paraId="616AE1EC">
      <w:pPr>
        <w:pStyle w:val="22"/>
        <w:tabs>
          <w:tab w:val="left" w:pos="840"/>
          <w:tab w:val="right" w:leader="dot" w:pos="8296"/>
        </w:tabs>
        <w:rPr>
          <w:rFonts w:eastAsiaTheme="minorEastAsia"/>
          <w:b w:val="0"/>
          <w:sz w:val="21"/>
        </w:rPr>
      </w:pPr>
      <w:r>
        <w:fldChar w:fldCharType="begin"/>
      </w:r>
      <w:r>
        <w:instrText xml:space="preserve"> HYPERLINK \l "_Toc216791686" </w:instrText>
      </w:r>
      <w:r>
        <w:fldChar w:fldCharType="separate"/>
      </w:r>
      <w:r>
        <w:rPr>
          <w:rStyle w:val="33"/>
          <w:rFonts w:ascii="宋体" w:hAnsi="宋体"/>
          <w:bCs/>
        </w:rPr>
        <w:t>3</w:t>
      </w:r>
      <w:r>
        <w:rPr>
          <w:rFonts w:eastAsiaTheme="minorEastAsia"/>
          <w:b w:val="0"/>
          <w:sz w:val="21"/>
        </w:rPr>
        <w:tab/>
      </w:r>
      <w:r>
        <w:rPr>
          <w:rStyle w:val="33"/>
          <w:rFonts w:ascii="宋体" w:hAnsi="宋体"/>
          <w:bCs/>
        </w:rPr>
        <w:t>形势与挑战</w:t>
      </w:r>
      <w:r>
        <w:tab/>
      </w:r>
      <w:r>
        <w:fldChar w:fldCharType="begin"/>
      </w:r>
      <w:r>
        <w:instrText xml:space="preserve"> PAGEREF _Toc216791686 \h </w:instrText>
      </w:r>
      <w:r>
        <w:fldChar w:fldCharType="separate"/>
      </w:r>
      <w:r>
        <w:t>27</w:t>
      </w:r>
      <w:r>
        <w:fldChar w:fldCharType="end"/>
      </w:r>
      <w:r>
        <w:fldChar w:fldCharType="end"/>
      </w:r>
    </w:p>
    <w:p w14:paraId="5C6A16BD">
      <w:pPr>
        <w:pStyle w:val="26"/>
        <w:tabs>
          <w:tab w:val="left" w:pos="1260"/>
          <w:tab w:val="right" w:leader="dot" w:pos="8296"/>
        </w:tabs>
        <w:ind w:left="560"/>
        <w:rPr>
          <w:rFonts w:eastAsiaTheme="minorEastAsia"/>
          <w:sz w:val="21"/>
        </w:rPr>
      </w:pPr>
      <w:r>
        <w:fldChar w:fldCharType="begin"/>
      </w:r>
      <w:r>
        <w:instrText xml:space="preserve"> HYPERLINK \l "_Toc216791687" </w:instrText>
      </w:r>
      <w:r>
        <w:fldChar w:fldCharType="separate"/>
      </w:r>
      <w:r>
        <w:rPr>
          <w:rStyle w:val="33"/>
          <w:rFonts w:ascii="宋体" w:hAnsi="宋体"/>
        </w:rPr>
        <w:t>3.1</w:t>
      </w:r>
      <w:r>
        <w:rPr>
          <w:rFonts w:eastAsiaTheme="minorEastAsia"/>
          <w:sz w:val="21"/>
        </w:rPr>
        <w:tab/>
      </w:r>
      <w:r>
        <w:rPr>
          <w:rStyle w:val="33"/>
          <w:rFonts w:ascii="宋体" w:hAnsi="宋体"/>
        </w:rPr>
        <w:t>形势与挑战</w:t>
      </w:r>
      <w:r>
        <w:tab/>
      </w:r>
      <w:r>
        <w:fldChar w:fldCharType="begin"/>
      </w:r>
      <w:r>
        <w:instrText xml:space="preserve"> PAGEREF _Toc216791687 \h </w:instrText>
      </w:r>
      <w:r>
        <w:fldChar w:fldCharType="separate"/>
      </w:r>
      <w:r>
        <w:t>27</w:t>
      </w:r>
      <w:r>
        <w:fldChar w:fldCharType="end"/>
      </w:r>
      <w:r>
        <w:fldChar w:fldCharType="end"/>
      </w:r>
    </w:p>
    <w:p w14:paraId="6CF74219">
      <w:pPr>
        <w:pStyle w:val="22"/>
        <w:tabs>
          <w:tab w:val="left" w:pos="840"/>
          <w:tab w:val="right" w:leader="dot" w:pos="8296"/>
        </w:tabs>
        <w:rPr>
          <w:rFonts w:eastAsiaTheme="minorEastAsia"/>
          <w:b w:val="0"/>
          <w:sz w:val="21"/>
        </w:rPr>
      </w:pPr>
      <w:r>
        <w:fldChar w:fldCharType="begin"/>
      </w:r>
      <w:r>
        <w:instrText xml:space="preserve"> HYPERLINK \l "_Toc216791688" </w:instrText>
      </w:r>
      <w:r>
        <w:fldChar w:fldCharType="separate"/>
      </w:r>
      <w:r>
        <w:rPr>
          <w:rStyle w:val="33"/>
          <w:rFonts w:ascii="宋体" w:hAnsi="宋体"/>
          <w:bCs/>
        </w:rPr>
        <w:t>4</w:t>
      </w:r>
      <w:r>
        <w:rPr>
          <w:rFonts w:eastAsiaTheme="minorEastAsia"/>
          <w:b w:val="0"/>
          <w:sz w:val="21"/>
        </w:rPr>
        <w:tab/>
      </w:r>
      <w:r>
        <w:rPr>
          <w:rStyle w:val="33"/>
          <w:rFonts w:ascii="宋体" w:hAnsi="宋体"/>
          <w:bCs/>
        </w:rPr>
        <w:t>总体要求</w:t>
      </w:r>
      <w:r>
        <w:tab/>
      </w:r>
      <w:r>
        <w:fldChar w:fldCharType="begin"/>
      </w:r>
      <w:r>
        <w:instrText xml:space="preserve"> PAGEREF _Toc216791688 \h </w:instrText>
      </w:r>
      <w:r>
        <w:fldChar w:fldCharType="separate"/>
      </w:r>
      <w:r>
        <w:t>30</w:t>
      </w:r>
      <w:r>
        <w:fldChar w:fldCharType="end"/>
      </w:r>
      <w:r>
        <w:fldChar w:fldCharType="end"/>
      </w:r>
    </w:p>
    <w:p w14:paraId="64AFB96F">
      <w:pPr>
        <w:pStyle w:val="26"/>
        <w:tabs>
          <w:tab w:val="left" w:pos="1260"/>
          <w:tab w:val="right" w:leader="dot" w:pos="8296"/>
        </w:tabs>
        <w:ind w:left="560"/>
        <w:rPr>
          <w:rFonts w:eastAsiaTheme="minorEastAsia"/>
          <w:sz w:val="21"/>
        </w:rPr>
      </w:pPr>
      <w:r>
        <w:fldChar w:fldCharType="begin"/>
      </w:r>
      <w:r>
        <w:instrText xml:space="preserve"> HYPERLINK \l "_Toc216791689" </w:instrText>
      </w:r>
      <w:r>
        <w:fldChar w:fldCharType="separate"/>
      </w:r>
      <w:r>
        <w:rPr>
          <w:rStyle w:val="33"/>
          <w:rFonts w:ascii="宋体" w:hAnsi="宋体"/>
        </w:rPr>
        <w:t>4.1</w:t>
      </w:r>
      <w:r>
        <w:rPr>
          <w:rFonts w:eastAsiaTheme="minorEastAsia"/>
          <w:sz w:val="21"/>
        </w:rPr>
        <w:tab/>
      </w:r>
      <w:r>
        <w:rPr>
          <w:rStyle w:val="33"/>
          <w:rFonts w:ascii="宋体" w:hAnsi="宋体"/>
        </w:rPr>
        <w:t>指导思想</w:t>
      </w:r>
      <w:r>
        <w:tab/>
      </w:r>
      <w:r>
        <w:fldChar w:fldCharType="begin"/>
      </w:r>
      <w:r>
        <w:instrText xml:space="preserve"> PAGEREF _Toc216791689 \h </w:instrText>
      </w:r>
      <w:r>
        <w:fldChar w:fldCharType="separate"/>
      </w:r>
      <w:r>
        <w:t>30</w:t>
      </w:r>
      <w:r>
        <w:fldChar w:fldCharType="end"/>
      </w:r>
      <w:r>
        <w:fldChar w:fldCharType="end"/>
      </w:r>
    </w:p>
    <w:p w14:paraId="4469B702">
      <w:pPr>
        <w:pStyle w:val="26"/>
        <w:tabs>
          <w:tab w:val="left" w:pos="1260"/>
          <w:tab w:val="right" w:leader="dot" w:pos="8296"/>
        </w:tabs>
        <w:ind w:left="560"/>
        <w:rPr>
          <w:rFonts w:eastAsiaTheme="minorEastAsia"/>
          <w:sz w:val="21"/>
        </w:rPr>
      </w:pPr>
      <w:r>
        <w:fldChar w:fldCharType="begin"/>
      </w:r>
      <w:r>
        <w:instrText xml:space="preserve"> HYPERLINK \l "_Toc216791690" </w:instrText>
      </w:r>
      <w:r>
        <w:fldChar w:fldCharType="separate"/>
      </w:r>
      <w:r>
        <w:rPr>
          <w:rStyle w:val="33"/>
          <w:rFonts w:ascii="宋体" w:hAnsi="宋体"/>
        </w:rPr>
        <w:t>4.2</w:t>
      </w:r>
      <w:r>
        <w:rPr>
          <w:rFonts w:eastAsiaTheme="minorEastAsia"/>
          <w:sz w:val="21"/>
        </w:rPr>
        <w:tab/>
      </w:r>
      <w:r>
        <w:rPr>
          <w:rStyle w:val="33"/>
          <w:rFonts w:ascii="宋体" w:hAnsi="宋体"/>
        </w:rPr>
        <w:t>规划编制依据</w:t>
      </w:r>
      <w:r>
        <w:tab/>
      </w:r>
      <w:r>
        <w:fldChar w:fldCharType="begin"/>
      </w:r>
      <w:r>
        <w:instrText xml:space="preserve"> PAGEREF _Toc216791690 \h </w:instrText>
      </w:r>
      <w:r>
        <w:fldChar w:fldCharType="separate"/>
      </w:r>
      <w:r>
        <w:t>30</w:t>
      </w:r>
      <w:r>
        <w:fldChar w:fldCharType="end"/>
      </w:r>
      <w:r>
        <w:fldChar w:fldCharType="end"/>
      </w:r>
    </w:p>
    <w:p w14:paraId="269E9FD8">
      <w:pPr>
        <w:pStyle w:val="26"/>
        <w:tabs>
          <w:tab w:val="left" w:pos="1260"/>
          <w:tab w:val="right" w:leader="dot" w:pos="8296"/>
        </w:tabs>
        <w:ind w:left="560"/>
        <w:rPr>
          <w:rFonts w:eastAsiaTheme="minorEastAsia"/>
          <w:sz w:val="21"/>
        </w:rPr>
      </w:pPr>
      <w:r>
        <w:fldChar w:fldCharType="begin"/>
      </w:r>
      <w:r>
        <w:instrText xml:space="preserve"> HYPERLINK \l "_Toc216791691" </w:instrText>
      </w:r>
      <w:r>
        <w:fldChar w:fldCharType="separate"/>
      </w:r>
      <w:r>
        <w:rPr>
          <w:rStyle w:val="33"/>
          <w:rFonts w:ascii="宋体" w:hAnsi="宋体"/>
        </w:rPr>
        <w:t>4.3</w:t>
      </w:r>
      <w:r>
        <w:rPr>
          <w:rFonts w:eastAsiaTheme="minorEastAsia"/>
          <w:sz w:val="21"/>
        </w:rPr>
        <w:tab/>
      </w:r>
      <w:r>
        <w:rPr>
          <w:rStyle w:val="33"/>
          <w:rFonts w:ascii="宋体" w:hAnsi="宋体"/>
        </w:rPr>
        <w:t>基本原则</w:t>
      </w:r>
      <w:r>
        <w:tab/>
      </w:r>
      <w:r>
        <w:fldChar w:fldCharType="begin"/>
      </w:r>
      <w:r>
        <w:instrText xml:space="preserve"> PAGEREF _Toc216791691 \h </w:instrText>
      </w:r>
      <w:r>
        <w:fldChar w:fldCharType="separate"/>
      </w:r>
      <w:r>
        <w:t>32</w:t>
      </w:r>
      <w:r>
        <w:fldChar w:fldCharType="end"/>
      </w:r>
      <w:r>
        <w:fldChar w:fldCharType="end"/>
      </w:r>
    </w:p>
    <w:p w14:paraId="2E66EC53">
      <w:pPr>
        <w:pStyle w:val="26"/>
        <w:tabs>
          <w:tab w:val="left" w:pos="1260"/>
          <w:tab w:val="right" w:leader="dot" w:pos="8296"/>
        </w:tabs>
        <w:ind w:left="560"/>
        <w:rPr>
          <w:rFonts w:eastAsiaTheme="minorEastAsia"/>
          <w:sz w:val="21"/>
        </w:rPr>
      </w:pPr>
      <w:r>
        <w:fldChar w:fldCharType="begin"/>
      </w:r>
      <w:r>
        <w:instrText xml:space="preserve"> HYPERLINK \l "_Toc216791692" </w:instrText>
      </w:r>
      <w:r>
        <w:fldChar w:fldCharType="separate"/>
      </w:r>
      <w:r>
        <w:rPr>
          <w:rStyle w:val="33"/>
          <w:rFonts w:ascii="宋体" w:hAnsi="宋体"/>
        </w:rPr>
        <w:t>4.4</w:t>
      </w:r>
      <w:r>
        <w:rPr>
          <w:rFonts w:eastAsiaTheme="minorEastAsia"/>
          <w:sz w:val="21"/>
        </w:rPr>
        <w:tab/>
      </w:r>
      <w:r>
        <w:rPr>
          <w:rStyle w:val="33"/>
          <w:rFonts w:ascii="宋体" w:hAnsi="宋体"/>
        </w:rPr>
        <w:t>规划范围</w:t>
      </w:r>
      <w:r>
        <w:tab/>
      </w:r>
      <w:r>
        <w:fldChar w:fldCharType="begin"/>
      </w:r>
      <w:r>
        <w:instrText xml:space="preserve"> PAGEREF _Toc216791692 \h </w:instrText>
      </w:r>
      <w:r>
        <w:fldChar w:fldCharType="separate"/>
      </w:r>
      <w:r>
        <w:t>33</w:t>
      </w:r>
      <w:r>
        <w:fldChar w:fldCharType="end"/>
      </w:r>
      <w:r>
        <w:fldChar w:fldCharType="end"/>
      </w:r>
    </w:p>
    <w:p w14:paraId="3D84F13D">
      <w:pPr>
        <w:pStyle w:val="26"/>
        <w:tabs>
          <w:tab w:val="left" w:pos="1260"/>
          <w:tab w:val="right" w:leader="dot" w:pos="8296"/>
        </w:tabs>
        <w:ind w:left="560"/>
        <w:rPr>
          <w:rFonts w:eastAsiaTheme="minorEastAsia"/>
          <w:sz w:val="21"/>
        </w:rPr>
      </w:pPr>
      <w:r>
        <w:fldChar w:fldCharType="begin"/>
      </w:r>
      <w:r>
        <w:instrText xml:space="preserve"> HYPERLINK \l "_Toc216791693" </w:instrText>
      </w:r>
      <w:r>
        <w:fldChar w:fldCharType="separate"/>
      </w:r>
      <w:r>
        <w:rPr>
          <w:rStyle w:val="33"/>
          <w:rFonts w:ascii="宋体" w:hAnsi="宋体"/>
        </w:rPr>
        <w:t>4.5</w:t>
      </w:r>
      <w:r>
        <w:rPr>
          <w:rFonts w:eastAsiaTheme="minorEastAsia"/>
          <w:sz w:val="21"/>
        </w:rPr>
        <w:tab/>
      </w:r>
      <w:r>
        <w:rPr>
          <w:rStyle w:val="33"/>
          <w:rFonts w:ascii="宋体" w:hAnsi="宋体"/>
        </w:rPr>
        <w:t>规划水平年</w:t>
      </w:r>
      <w:r>
        <w:tab/>
      </w:r>
      <w:r>
        <w:fldChar w:fldCharType="begin"/>
      </w:r>
      <w:r>
        <w:instrText xml:space="preserve"> PAGEREF _Toc216791693 \h </w:instrText>
      </w:r>
      <w:r>
        <w:fldChar w:fldCharType="separate"/>
      </w:r>
      <w:r>
        <w:t>33</w:t>
      </w:r>
      <w:r>
        <w:fldChar w:fldCharType="end"/>
      </w:r>
      <w:r>
        <w:fldChar w:fldCharType="end"/>
      </w:r>
    </w:p>
    <w:p w14:paraId="302776C5">
      <w:pPr>
        <w:pStyle w:val="26"/>
        <w:tabs>
          <w:tab w:val="left" w:pos="1260"/>
          <w:tab w:val="right" w:leader="dot" w:pos="8296"/>
        </w:tabs>
        <w:ind w:left="560"/>
        <w:rPr>
          <w:rFonts w:eastAsiaTheme="minorEastAsia"/>
          <w:sz w:val="21"/>
        </w:rPr>
      </w:pPr>
      <w:r>
        <w:fldChar w:fldCharType="begin"/>
      </w:r>
      <w:r>
        <w:instrText xml:space="preserve"> HYPERLINK \l "_Toc216791694" </w:instrText>
      </w:r>
      <w:r>
        <w:fldChar w:fldCharType="separate"/>
      </w:r>
      <w:r>
        <w:rPr>
          <w:rStyle w:val="33"/>
          <w:rFonts w:ascii="宋体" w:hAnsi="宋体"/>
        </w:rPr>
        <w:t>4.6</w:t>
      </w:r>
      <w:r>
        <w:rPr>
          <w:rFonts w:eastAsiaTheme="minorEastAsia"/>
          <w:sz w:val="21"/>
        </w:rPr>
        <w:tab/>
      </w:r>
      <w:r>
        <w:rPr>
          <w:rStyle w:val="33"/>
          <w:rFonts w:ascii="宋体" w:hAnsi="宋体"/>
        </w:rPr>
        <w:t>规划目标</w:t>
      </w:r>
      <w:r>
        <w:tab/>
      </w:r>
      <w:r>
        <w:fldChar w:fldCharType="begin"/>
      </w:r>
      <w:r>
        <w:instrText xml:space="preserve"> PAGEREF _Toc216791694 \h </w:instrText>
      </w:r>
      <w:r>
        <w:fldChar w:fldCharType="separate"/>
      </w:r>
      <w:r>
        <w:t>34</w:t>
      </w:r>
      <w:r>
        <w:fldChar w:fldCharType="end"/>
      </w:r>
      <w:r>
        <w:fldChar w:fldCharType="end"/>
      </w:r>
    </w:p>
    <w:p w14:paraId="75043396">
      <w:pPr>
        <w:pStyle w:val="26"/>
        <w:tabs>
          <w:tab w:val="left" w:pos="1260"/>
          <w:tab w:val="right" w:leader="dot" w:pos="8296"/>
        </w:tabs>
        <w:ind w:left="560"/>
        <w:rPr>
          <w:rFonts w:eastAsiaTheme="minorEastAsia"/>
          <w:sz w:val="21"/>
        </w:rPr>
      </w:pPr>
      <w:r>
        <w:fldChar w:fldCharType="begin"/>
      </w:r>
      <w:r>
        <w:instrText xml:space="preserve"> HYPERLINK \l "_Toc216791695" </w:instrText>
      </w:r>
      <w:r>
        <w:fldChar w:fldCharType="separate"/>
      </w:r>
      <w:r>
        <w:rPr>
          <w:rStyle w:val="33"/>
          <w:rFonts w:ascii="宋体" w:hAnsi="宋体"/>
        </w:rPr>
        <w:t>4.7</w:t>
      </w:r>
      <w:r>
        <w:rPr>
          <w:rFonts w:eastAsiaTheme="minorEastAsia"/>
          <w:sz w:val="21"/>
        </w:rPr>
        <w:tab/>
      </w:r>
      <w:r>
        <w:rPr>
          <w:rStyle w:val="33"/>
          <w:rFonts w:ascii="宋体" w:hAnsi="宋体"/>
        </w:rPr>
        <w:t>规划指标</w:t>
      </w:r>
      <w:r>
        <w:tab/>
      </w:r>
      <w:r>
        <w:fldChar w:fldCharType="begin"/>
      </w:r>
      <w:r>
        <w:instrText xml:space="preserve"> PAGEREF _Toc216791695 \h </w:instrText>
      </w:r>
      <w:r>
        <w:fldChar w:fldCharType="separate"/>
      </w:r>
      <w:r>
        <w:t>36</w:t>
      </w:r>
      <w:r>
        <w:fldChar w:fldCharType="end"/>
      </w:r>
      <w:r>
        <w:fldChar w:fldCharType="end"/>
      </w:r>
    </w:p>
    <w:p w14:paraId="3D3C0165">
      <w:pPr>
        <w:pStyle w:val="26"/>
        <w:tabs>
          <w:tab w:val="left" w:pos="1260"/>
          <w:tab w:val="right" w:leader="dot" w:pos="8296"/>
        </w:tabs>
        <w:ind w:left="560"/>
        <w:rPr>
          <w:rFonts w:eastAsiaTheme="minorEastAsia"/>
          <w:sz w:val="21"/>
        </w:rPr>
      </w:pPr>
      <w:r>
        <w:fldChar w:fldCharType="begin"/>
      </w:r>
      <w:r>
        <w:instrText xml:space="preserve"> HYPERLINK \l "_Toc216791696" </w:instrText>
      </w:r>
      <w:r>
        <w:fldChar w:fldCharType="separate"/>
      </w:r>
      <w:r>
        <w:rPr>
          <w:rStyle w:val="33"/>
          <w:rFonts w:ascii="宋体" w:hAnsi="宋体"/>
        </w:rPr>
        <w:t>4.8</w:t>
      </w:r>
      <w:r>
        <w:rPr>
          <w:rFonts w:eastAsiaTheme="minorEastAsia"/>
          <w:sz w:val="21"/>
        </w:rPr>
        <w:tab/>
      </w:r>
      <w:r>
        <w:rPr>
          <w:rStyle w:val="33"/>
          <w:rFonts w:ascii="宋体" w:hAnsi="宋体"/>
        </w:rPr>
        <w:t>规划布局</w:t>
      </w:r>
      <w:r>
        <w:tab/>
      </w:r>
      <w:r>
        <w:fldChar w:fldCharType="begin"/>
      </w:r>
      <w:r>
        <w:instrText xml:space="preserve"> PAGEREF _Toc216791696 \h </w:instrText>
      </w:r>
      <w:r>
        <w:fldChar w:fldCharType="separate"/>
      </w:r>
      <w:r>
        <w:t>36</w:t>
      </w:r>
      <w:r>
        <w:fldChar w:fldCharType="end"/>
      </w:r>
      <w:r>
        <w:fldChar w:fldCharType="end"/>
      </w:r>
    </w:p>
    <w:p w14:paraId="420E5BEE">
      <w:pPr>
        <w:pStyle w:val="22"/>
        <w:tabs>
          <w:tab w:val="left" w:pos="840"/>
          <w:tab w:val="right" w:leader="dot" w:pos="8296"/>
        </w:tabs>
        <w:rPr>
          <w:rFonts w:eastAsiaTheme="minorEastAsia"/>
          <w:b w:val="0"/>
          <w:sz w:val="21"/>
        </w:rPr>
      </w:pPr>
      <w:r>
        <w:fldChar w:fldCharType="begin"/>
      </w:r>
      <w:r>
        <w:instrText xml:space="preserve"> HYPERLINK \l "_Toc216791697" </w:instrText>
      </w:r>
      <w:r>
        <w:fldChar w:fldCharType="separate"/>
      </w:r>
      <w:r>
        <w:rPr>
          <w:rStyle w:val="33"/>
          <w:rFonts w:ascii="宋体" w:hAnsi="宋体"/>
          <w:bCs/>
        </w:rPr>
        <w:t>5</w:t>
      </w:r>
      <w:r>
        <w:rPr>
          <w:rFonts w:eastAsiaTheme="minorEastAsia"/>
          <w:b w:val="0"/>
          <w:sz w:val="21"/>
        </w:rPr>
        <w:tab/>
      </w:r>
      <w:r>
        <w:rPr>
          <w:rStyle w:val="33"/>
          <w:rFonts w:ascii="宋体" w:hAnsi="宋体"/>
          <w:bCs/>
        </w:rPr>
        <w:t>锚定“六条路径”，靶向策划主要任务</w:t>
      </w:r>
      <w:r>
        <w:tab/>
      </w:r>
      <w:r>
        <w:fldChar w:fldCharType="begin"/>
      </w:r>
      <w:r>
        <w:instrText xml:space="preserve"> PAGEREF _Toc216791697 \h </w:instrText>
      </w:r>
      <w:r>
        <w:fldChar w:fldCharType="separate"/>
      </w:r>
      <w:r>
        <w:t>40</w:t>
      </w:r>
      <w:r>
        <w:fldChar w:fldCharType="end"/>
      </w:r>
      <w:r>
        <w:fldChar w:fldCharType="end"/>
      </w:r>
    </w:p>
    <w:p w14:paraId="3BE983F1">
      <w:pPr>
        <w:pStyle w:val="26"/>
        <w:tabs>
          <w:tab w:val="left" w:pos="1260"/>
          <w:tab w:val="right" w:leader="dot" w:pos="8296"/>
        </w:tabs>
        <w:ind w:left="560"/>
        <w:rPr>
          <w:rFonts w:eastAsiaTheme="minorEastAsia"/>
          <w:sz w:val="21"/>
        </w:rPr>
      </w:pPr>
      <w:r>
        <w:fldChar w:fldCharType="begin"/>
      </w:r>
      <w:r>
        <w:instrText xml:space="preserve"> HYPERLINK \l "_Toc216791698" </w:instrText>
      </w:r>
      <w:r>
        <w:fldChar w:fldCharType="separate"/>
      </w:r>
      <w:r>
        <w:rPr>
          <w:rStyle w:val="33"/>
          <w:rFonts w:ascii="宋体" w:hAnsi="宋体"/>
        </w:rPr>
        <w:t>5.1</w:t>
      </w:r>
      <w:r>
        <w:rPr>
          <w:rFonts w:eastAsiaTheme="minorEastAsia"/>
          <w:sz w:val="21"/>
        </w:rPr>
        <w:tab/>
      </w:r>
      <w:r>
        <w:rPr>
          <w:rStyle w:val="33"/>
          <w:rFonts w:ascii="宋体" w:hAnsi="宋体"/>
        </w:rPr>
        <w:t>系统治理，完善防洪排涝水安全体系</w:t>
      </w:r>
      <w:r>
        <w:tab/>
      </w:r>
      <w:r>
        <w:fldChar w:fldCharType="begin"/>
      </w:r>
      <w:r>
        <w:instrText xml:space="preserve"> PAGEREF _Toc216791698 \h </w:instrText>
      </w:r>
      <w:r>
        <w:fldChar w:fldCharType="separate"/>
      </w:r>
      <w:r>
        <w:t>40</w:t>
      </w:r>
      <w:r>
        <w:fldChar w:fldCharType="end"/>
      </w:r>
      <w:r>
        <w:fldChar w:fldCharType="end"/>
      </w:r>
    </w:p>
    <w:p w14:paraId="08777D29">
      <w:pPr>
        <w:pStyle w:val="26"/>
        <w:tabs>
          <w:tab w:val="left" w:pos="1260"/>
          <w:tab w:val="right" w:leader="dot" w:pos="8296"/>
        </w:tabs>
        <w:ind w:left="560"/>
        <w:rPr>
          <w:rFonts w:eastAsiaTheme="minorEastAsia"/>
          <w:sz w:val="21"/>
        </w:rPr>
      </w:pPr>
      <w:r>
        <w:fldChar w:fldCharType="begin"/>
      </w:r>
      <w:r>
        <w:instrText xml:space="preserve"> HYPERLINK \l "_Toc216791699" </w:instrText>
      </w:r>
      <w:r>
        <w:fldChar w:fldCharType="separate"/>
      </w:r>
      <w:r>
        <w:rPr>
          <w:rStyle w:val="33"/>
          <w:rFonts w:ascii="宋体" w:hAnsi="宋体"/>
        </w:rPr>
        <w:t>5.2</w:t>
      </w:r>
      <w:r>
        <w:rPr>
          <w:rFonts w:eastAsiaTheme="minorEastAsia"/>
          <w:sz w:val="21"/>
        </w:rPr>
        <w:tab/>
      </w:r>
      <w:r>
        <w:rPr>
          <w:rStyle w:val="33"/>
          <w:rFonts w:ascii="宋体" w:hAnsi="宋体"/>
        </w:rPr>
        <w:t>节水优先，筑牢水资源高效利用根基</w:t>
      </w:r>
      <w:r>
        <w:tab/>
      </w:r>
      <w:r>
        <w:fldChar w:fldCharType="begin"/>
      </w:r>
      <w:r>
        <w:instrText xml:space="preserve"> PAGEREF _Toc216791699 \h </w:instrText>
      </w:r>
      <w:r>
        <w:fldChar w:fldCharType="separate"/>
      </w:r>
      <w:r>
        <w:t>43</w:t>
      </w:r>
      <w:r>
        <w:fldChar w:fldCharType="end"/>
      </w:r>
      <w:r>
        <w:fldChar w:fldCharType="end"/>
      </w:r>
    </w:p>
    <w:p w14:paraId="6B0941BE">
      <w:pPr>
        <w:pStyle w:val="26"/>
        <w:tabs>
          <w:tab w:val="left" w:pos="1260"/>
          <w:tab w:val="right" w:leader="dot" w:pos="8296"/>
        </w:tabs>
        <w:ind w:left="560"/>
        <w:rPr>
          <w:rFonts w:eastAsiaTheme="minorEastAsia"/>
          <w:sz w:val="21"/>
        </w:rPr>
      </w:pPr>
      <w:r>
        <w:fldChar w:fldCharType="begin"/>
      </w:r>
      <w:r>
        <w:instrText xml:space="preserve"> HYPERLINK \l "_Toc216791700" </w:instrText>
      </w:r>
      <w:r>
        <w:fldChar w:fldCharType="separate"/>
      </w:r>
      <w:r>
        <w:rPr>
          <w:rStyle w:val="33"/>
          <w:rFonts w:ascii="宋体" w:hAnsi="宋体"/>
        </w:rPr>
        <w:t>5.3</w:t>
      </w:r>
      <w:r>
        <w:rPr>
          <w:rFonts w:eastAsiaTheme="minorEastAsia"/>
          <w:sz w:val="21"/>
        </w:rPr>
        <w:tab/>
      </w:r>
      <w:r>
        <w:rPr>
          <w:rStyle w:val="33"/>
          <w:rFonts w:ascii="宋体" w:hAnsi="宋体"/>
        </w:rPr>
        <w:t>空间均衡，织密多源的水资源配置网</w:t>
      </w:r>
      <w:r>
        <w:tab/>
      </w:r>
      <w:r>
        <w:fldChar w:fldCharType="begin"/>
      </w:r>
      <w:r>
        <w:instrText xml:space="preserve"> PAGEREF _Toc216791700 \h </w:instrText>
      </w:r>
      <w:r>
        <w:fldChar w:fldCharType="separate"/>
      </w:r>
      <w:r>
        <w:t>45</w:t>
      </w:r>
      <w:r>
        <w:fldChar w:fldCharType="end"/>
      </w:r>
      <w:r>
        <w:fldChar w:fldCharType="end"/>
      </w:r>
    </w:p>
    <w:p w14:paraId="5D2C0A89">
      <w:pPr>
        <w:pStyle w:val="26"/>
        <w:tabs>
          <w:tab w:val="left" w:pos="1260"/>
          <w:tab w:val="right" w:leader="dot" w:pos="8296"/>
        </w:tabs>
        <w:ind w:left="560"/>
        <w:rPr>
          <w:rFonts w:eastAsiaTheme="minorEastAsia"/>
          <w:sz w:val="21"/>
        </w:rPr>
      </w:pPr>
      <w:r>
        <w:fldChar w:fldCharType="begin"/>
      </w:r>
      <w:r>
        <w:instrText xml:space="preserve"> HYPERLINK \l "_Toc216791701" </w:instrText>
      </w:r>
      <w:r>
        <w:fldChar w:fldCharType="separate"/>
      </w:r>
      <w:r>
        <w:rPr>
          <w:rStyle w:val="33"/>
          <w:rFonts w:ascii="宋体" w:hAnsi="宋体"/>
        </w:rPr>
        <w:t>5.4</w:t>
      </w:r>
      <w:r>
        <w:rPr>
          <w:rFonts w:eastAsiaTheme="minorEastAsia"/>
          <w:sz w:val="21"/>
        </w:rPr>
        <w:tab/>
      </w:r>
      <w:r>
        <w:rPr>
          <w:rStyle w:val="33"/>
          <w:rFonts w:ascii="宋体" w:hAnsi="宋体"/>
        </w:rPr>
        <w:t>久久为功，筑牢流域水生态保护屏障</w:t>
      </w:r>
      <w:r>
        <w:tab/>
      </w:r>
      <w:r>
        <w:fldChar w:fldCharType="begin"/>
      </w:r>
      <w:r>
        <w:instrText xml:space="preserve"> PAGEREF _Toc216791701 \h </w:instrText>
      </w:r>
      <w:r>
        <w:fldChar w:fldCharType="separate"/>
      </w:r>
      <w:r>
        <w:t>48</w:t>
      </w:r>
      <w:r>
        <w:fldChar w:fldCharType="end"/>
      </w:r>
      <w:r>
        <w:fldChar w:fldCharType="end"/>
      </w:r>
    </w:p>
    <w:p w14:paraId="7D9D14FD">
      <w:pPr>
        <w:pStyle w:val="26"/>
        <w:tabs>
          <w:tab w:val="left" w:pos="1260"/>
          <w:tab w:val="right" w:leader="dot" w:pos="8296"/>
        </w:tabs>
        <w:ind w:left="560"/>
        <w:rPr>
          <w:rFonts w:eastAsiaTheme="minorEastAsia"/>
          <w:sz w:val="21"/>
        </w:rPr>
      </w:pPr>
      <w:r>
        <w:fldChar w:fldCharType="begin"/>
      </w:r>
      <w:r>
        <w:instrText xml:space="preserve"> HYPERLINK \l "_Toc216791702" </w:instrText>
      </w:r>
      <w:r>
        <w:fldChar w:fldCharType="separate"/>
      </w:r>
      <w:r>
        <w:rPr>
          <w:rStyle w:val="33"/>
          <w:rFonts w:ascii="宋体" w:hAnsi="宋体"/>
        </w:rPr>
        <w:t>5.5</w:t>
      </w:r>
      <w:r>
        <w:rPr>
          <w:rFonts w:eastAsiaTheme="minorEastAsia"/>
          <w:sz w:val="21"/>
        </w:rPr>
        <w:tab/>
      </w:r>
      <w:r>
        <w:rPr>
          <w:rStyle w:val="33"/>
          <w:rFonts w:ascii="宋体" w:hAnsi="宋体"/>
        </w:rPr>
        <w:t>文旅共生，绘就长汀革命苏区幸福画卷</w:t>
      </w:r>
      <w:r>
        <w:tab/>
      </w:r>
      <w:r>
        <w:fldChar w:fldCharType="begin"/>
      </w:r>
      <w:r>
        <w:instrText xml:space="preserve"> PAGEREF _Toc216791702 \h </w:instrText>
      </w:r>
      <w:r>
        <w:fldChar w:fldCharType="separate"/>
      </w:r>
      <w:r>
        <w:t>51</w:t>
      </w:r>
      <w:r>
        <w:fldChar w:fldCharType="end"/>
      </w:r>
      <w:r>
        <w:fldChar w:fldCharType="end"/>
      </w:r>
    </w:p>
    <w:p w14:paraId="0E3B2B58">
      <w:pPr>
        <w:pStyle w:val="26"/>
        <w:tabs>
          <w:tab w:val="left" w:pos="1260"/>
          <w:tab w:val="right" w:leader="dot" w:pos="8296"/>
        </w:tabs>
        <w:ind w:left="560"/>
        <w:rPr>
          <w:rFonts w:eastAsiaTheme="minorEastAsia"/>
          <w:sz w:val="21"/>
        </w:rPr>
      </w:pPr>
      <w:r>
        <w:fldChar w:fldCharType="begin"/>
      </w:r>
      <w:r>
        <w:instrText xml:space="preserve"> HYPERLINK \l "_Toc216791703" </w:instrText>
      </w:r>
      <w:r>
        <w:fldChar w:fldCharType="separate"/>
      </w:r>
      <w:r>
        <w:rPr>
          <w:rStyle w:val="33"/>
          <w:rFonts w:ascii="宋体" w:hAnsi="宋体"/>
        </w:rPr>
        <w:t>5.6</w:t>
      </w:r>
      <w:r>
        <w:rPr>
          <w:rFonts w:eastAsiaTheme="minorEastAsia"/>
          <w:sz w:val="21"/>
        </w:rPr>
        <w:tab/>
      </w:r>
      <w:r>
        <w:rPr>
          <w:rStyle w:val="33"/>
          <w:rFonts w:ascii="宋体" w:hAnsi="宋体"/>
        </w:rPr>
        <w:t>智慧赋能，构建数字孪生智慧新体系</w:t>
      </w:r>
      <w:r>
        <w:tab/>
      </w:r>
      <w:r>
        <w:fldChar w:fldCharType="begin"/>
      </w:r>
      <w:r>
        <w:instrText xml:space="preserve"> PAGEREF _Toc216791703 \h </w:instrText>
      </w:r>
      <w:r>
        <w:fldChar w:fldCharType="separate"/>
      </w:r>
      <w:r>
        <w:t>57</w:t>
      </w:r>
      <w:r>
        <w:fldChar w:fldCharType="end"/>
      </w:r>
      <w:r>
        <w:fldChar w:fldCharType="end"/>
      </w:r>
    </w:p>
    <w:p w14:paraId="0EFA8525">
      <w:pPr>
        <w:pStyle w:val="26"/>
        <w:tabs>
          <w:tab w:val="left" w:pos="1260"/>
          <w:tab w:val="right" w:leader="dot" w:pos="8296"/>
        </w:tabs>
        <w:ind w:left="560"/>
        <w:rPr>
          <w:rFonts w:eastAsiaTheme="minorEastAsia"/>
          <w:sz w:val="21"/>
        </w:rPr>
      </w:pPr>
      <w:r>
        <w:fldChar w:fldCharType="begin"/>
      </w:r>
      <w:r>
        <w:instrText xml:space="preserve"> HYPERLINK \l "_Toc216791704" </w:instrText>
      </w:r>
      <w:r>
        <w:fldChar w:fldCharType="separate"/>
      </w:r>
      <w:r>
        <w:rPr>
          <w:rStyle w:val="33"/>
          <w:rFonts w:ascii="宋体" w:hAnsi="宋体"/>
        </w:rPr>
        <w:t>5.7</w:t>
      </w:r>
      <w:r>
        <w:rPr>
          <w:rFonts w:eastAsiaTheme="minorEastAsia"/>
          <w:sz w:val="21"/>
        </w:rPr>
        <w:tab/>
      </w:r>
      <w:r>
        <w:rPr>
          <w:rStyle w:val="33"/>
          <w:rFonts w:ascii="宋体" w:hAnsi="宋体"/>
        </w:rPr>
        <w:t>聚焦“五个方向”，推进重点工程建设</w:t>
      </w:r>
      <w:r>
        <w:tab/>
      </w:r>
      <w:r>
        <w:fldChar w:fldCharType="begin"/>
      </w:r>
      <w:r>
        <w:instrText xml:space="preserve"> PAGEREF _Toc216791704 \h </w:instrText>
      </w:r>
      <w:r>
        <w:fldChar w:fldCharType="separate"/>
      </w:r>
      <w:r>
        <w:t>63</w:t>
      </w:r>
      <w:r>
        <w:fldChar w:fldCharType="end"/>
      </w:r>
      <w:r>
        <w:fldChar w:fldCharType="end"/>
      </w:r>
    </w:p>
    <w:p w14:paraId="3BD29C6E">
      <w:pPr>
        <w:pStyle w:val="22"/>
        <w:tabs>
          <w:tab w:val="left" w:pos="840"/>
          <w:tab w:val="right" w:leader="dot" w:pos="8296"/>
        </w:tabs>
        <w:rPr>
          <w:rFonts w:eastAsiaTheme="minorEastAsia"/>
          <w:b w:val="0"/>
          <w:sz w:val="21"/>
        </w:rPr>
      </w:pPr>
      <w:r>
        <w:fldChar w:fldCharType="begin"/>
      </w:r>
      <w:r>
        <w:instrText xml:space="preserve"> HYPERLINK \l "_Toc216791705" </w:instrText>
      </w:r>
      <w:r>
        <w:fldChar w:fldCharType="separate"/>
      </w:r>
      <w:r>
        <w:rPr>
          <w:rStyle w:val="33"/>
          <w:rFonts w:ascii="宋体" w:hAnsi="宋体"/>
          <w:bCs/>
        </w:rPr>
        <w:t>6</w:t>
      </w:r>
      <w:r>
        <w:rPr>
          <w:rFonts w:eastAsiaTheme="minorEastAsia"/>
          <w:b w:val="0"/>
          <w:sz w:val="21"/>
        </w:rPr>
        <w:tab/>
      </w:r>
      <w:r>
        <w:rPr>
          <w:rStyle w:val="33"/>
          <w:rFonts w:ascii="宋体" w:hAnsi="宋体"/>
          <w:bCs/>
        </w:rPr>
        <w:t>提升“六项能力”，升级水利治理水平</w:t>
      </w:r>
      <w:r>
        <w:tab/>
      </w:r>
      <w:r>
        <w:fldChar w:fldCharType="begin"/>
      </w:r>
      <w:r>
        <w:instrText xml:space="preserve"> PAGEREF _Toc216791705 \h </w:instrText>
      </w:r>
      <w:r>
        <w:fldChar w:fldCharType="separate"/>
      </w:r>
      <w:r>
        <w:t>69</w:t>
      </w:r>
      <w:r>
        <w:fldChar w:fldCharType="end"/>
      </w:r>
      <w:r>
        <w:fldChar w:fldCharType="end"/>
      </w:r>
    </w:p>
    <w:p w14:paraId="19C80673">
      <w:pPr>
        <w:pStyle w:val="26"/>
        <w:tabs>
          <w:tab w:val="left" w:pos="1260"/>
          <w:tab w:val="right" w:leader="dot" w:pos="8296"/>
        </w:tabs>
        <w:ind w:left="560"/>
        <w:rPr>
          <w:rFonts w:eastAsiaTheme="minorEastAsia"/>
          <w:sz w:val="21"/>
        </w:rPr>
      </w:pPr>
      <w:r>
        <w:fldChar w:fldCharType="begin"/>
      </w:r>
      <w:r>
        <w:instrText xml:space="preserve"> HYPERLINK \l "_Toc216791706" </w:instrText>
      </w:r>
      <w:r>
        <w:fldChar w:fldCharType="separate"/>
      </w:r>
      <w:r>
        <w:rPr>
          <w:rStyle w:val="33"/>
          <w:rFonts w:ascii="宋体" w:hAnsi="宋体"/>
        </w:rPr>
        <w:t>6.1</w:t>
      </w:r>
      <w:r>
        <w:rPr>
          <w:rFonts w:eastAsiaTheme="minorEastAsia"/>
          <w:sz w:val="21"/>
        </w:rPr>
        <w:tab/>
      </w:r>
      <w:r>
        <w:rPr>
          <w:rStyle w:val="33"/>
          <w:rFonts w:ascii="宋体" w:hAnsi="宋体"/>
        </w:rPr>
        <w:t>提升流域管理及河湖长制能力</w:t>
      </w:r>
      <w:r>
        <w:tab/>
      </w:r>
      <w:r>
        <w:fldChar w:fldCharType="begin"/>
      </w:r>
      <w:r>
        <w:instrText xml:space="preserve"> PAGEREF _Toc216791706 \h </w:instrText>
      </w:r>
      <w:r>
        <w:fldChar w:fldCharType="separate"/>
      </w:r>
      <w:r>
        <w:t>69</w:t>
      </w:r>
      <w:r>
        <w:fldChar w:fldCharType="end"/>
      </w:r>
      <w:r>
        <w:fldChar w:fldCharType="end"/>
      </w:r>
    </w:p>
    <w:p w14:paraId="29AC1F21">
      <w:pPr>
        <w:pStyle w:val="26"/>
        <w:tabs>
          <w:tab w:val="left" w:pos="1260"/>
          <w:tab w:val="right" w:leader="dot" w:pos="8296"/>
        </w:tabs>
        <w:ind w:left="560"/>
        <w:rPr>
          <w:rFonts w:eastAsiaTheme="minorEastAsia"/>
          <w:sz w:val="21"/>
        </w:rPr>
      </w:pPr>
      <w:r>
        <w:fldChar w:fldCharType="begin"/>
      </w:r>
      <w:r>
        <w:instrText xml:space="preserve"> HYPERLINK \l "_Toc216791707" </w:instrText>
      </w:r>
      <w:r>
        <w:fldChar w:fldCharType="separate"/>
      </w:r>
      <w:r>
        <w:rPr>
          <w:rStyle w:val="33"/>
          <w:rFonts w:ascii="宋体" w:hAnsi="宋体"/>
        </w:rPr>
        <w:t>6.2</w:t>
      </w:r>
      <w:r>
        <w:rPr>
          <w:rFonts w:eastAsiaTheme="minorEastAsia"/>
          <w:sz w:val="21"/>
        </w:rPr>
        <w:tab/>
      </w:r>
      <w:r>
        <w:rPr>
          <w:rStyle w:val="33"/>
          <w:rFonts w:ascii="宋体" w:hAnsi="宋体"/>
        </w:rPr>
        <w:t>提升水利工程管理和涉水监管能力</w:t>
      </w:r>
      <w:r>
        <w:tab/>
      </w:r>
      <w:r>
        <w:fldChar w:fldCharType="begin"/>
      </w:r>
      <w:r>
        <w:instrText xml:space="preserve"> PAGEREF _Toc216791707 \h </w:instrText>
      </w:r>
      <w:r>
        <w:fldChar w:fldCharType="separate"/>
      </w:r>
      <w:r>
        <w:t>69</w:t>
      </w:r>
      <w:r>
        <w:fldChar w:fldCharType="end"/>
      </w:r>
      <w:r>
        <w:fldChar w:fldCharType="end"/>
      </w:r>
    </w:p>
    <w:p w14:paraId="4B32F50D">
      <w:pPr>
        <w:pStyle w:val="26"/>
        <w:tabs>
          <w:tab w:val="left" w:pos="1260"/>
          <w:tab w:val="right" w:leader="dot" w:pos="8296"/>
        </w:tabs>
        <w:ind w:left="560"/>
        <w:rPr>
          <w:rFonts w:eastAsiaTheme="minorEastAsia"/>
          <w:sz w:val="21"/>
        </w:rPr>
      </w:pPr>
      <w:r>
        <w:fldChar w:fldCharType="begin"/>
      </w:r>
      <w:r>
        <w:instrText xml:space="preserve"> HYPERLINK \l "_Toc216791708" </w:instrText>
      </w:r>
      <w:r>
        <w:fldChar w:fldCharType="separate"/>
      </w:r>
      <w:r>
        <w:rPr>
          <w:rStyle w:val="33"/>
          <w:rFonts w:ascii="宋体" w:hAnsi="宋体"/>
        </w:rPr>
        <w:t>6.3</w:t>
      </w:r>
      <w:r>
        <w:rPr>
          <w:rFonts w:eastAsiaTheme="minorEastAsia"/>
          <w:sz w:val="21"/>
        </w:rPr>
        <w:tab/>
      </w:r>
      <w:r>
        <w:rPr>
          <w:rStyle w:val="33"/>
          <w:rFonts w:ascii="宋体" w:hAnsi="宋体"/>
        </w:rPr>
        <w:t>提升依法治水管水能力</w:t>
      </w:r>
      <w:r>
        <w:tab/>
      </w:r>
      <w:r>
        <w:fldChar w:fldCharType="begin"/>
      </w:r>
      <w:r>
        <w:instrText xml:space="preserve"> PAGEREF _Toc216791708 \h </w:instrText>
      </w:r>
      <w:r>
        <w:fldChar w:fldCharType="separate"/>
      </w:r>
      <w:r>
        <w:t>70</w:t>
      </w:r>
      <w:r>
        <w:fldChar w:fldCharType="end"/>
      </w:r>
      <w:r>
        <w:fldChar w:fldCharType="end"/>
      </w:r>
    </w:p>
    <w:p w14:paraId="7CEFD92C">
      <w:pPr>
        <w:pStyle w:val="26"/>
        <w:tabs>
          <w:tab w:val="left" w:pos="1260"/>
          <w:tab w:val="right" w:leader="dot" w:pos="8296"/>
        </w:tabs>
        <w:ind w:left="560"/>
        <w:rPr>
          <w:rFonts w:eastAsiaTheme="minorEastAsia"/>
          <w:sz w:val="21"/>
        </w:rPr>
      </w:pPr>
      <w:r>
        <w:fldChar w:fldCharType="begin"/>
      </w:r>
      <w:r>
        <w:instrText xml:space="preserve"> HYPERLINK \l "_Toc216791709" </w:instrText>
      </w:r>
      <w:r>
        <w:fldChar w:fldCharType="separate"/>
      </w:r>
      <w:r>
        <w:rPr>
          <w:rStyle w:val="33"/>
          <w:rFonts w:ascii="宋体" w:hAnsi="宋体"/>
        </w:rPr>
        <w:t>6.4</w:t>
      </w:r>
      <w:r>
        <w:rPr>
          <w:rFonts w:eastAsiaTheme="minorEastAsia"/>
          <w:sz w:val="21"/>
        </w:rPr>
        <w:tab/>
      </w:r>
      <w:r>
        <w:rPr>
          <w:rStyle w:val="33"/>
          <w:rFonts w:ascii="宋体" w:hAnsi="宋体"/>
        </w:rPr>
        <w:t>提升科技赋能治水能力</w:t>
      </w:r>
      <w:r>
        <w:tab/>
      </w:r>
      <w:r>
        <w:fldChar w:fldCharType="begin"/>
      </w:r>
      <w:r>
        <w:instrText xml:space="preserve"> PAGEREF _Toc216791709 \h </w:instrText>
      </w:r>
      <w:r>
        <w:fldChar w:fldCharType="separate"/>
      </w:r>
      <w:r>
        <w:t>70</w:t>
      </w:r>
      <w:r>
        <w:fldChar w:fldCharType="end"/>
      </w:r>
      <w:r>
        <w:fldChar w:fldCharType="end"/>
      </w:r>
    </w:p>
    <w:p w14:paraId="186B6AF1">
      <w:pPr>
        <w:pStyle w:val="26"/>
        <w:tabs>
          <w:tab w:val="left" w:pos="1260"/>
          <w:tab w:val="right" w:leader="dot" w:pos="8296"/>
        </w:tabs>
        <w:ind w:left="560"/>
        <w:rPr>
          <w:rFonts w:eastAsiaTheme="minorEastAsia"/>
          <w:sz w:val="21"/>
        </w:rPr>
      </w:pPr>
      <w:r>
        <w:fldChar w:fldCharType="begin"/>
      </w:r>
      <w:r>
        <w:instrText xml:space="preserve"> HYPERLINK \l "_Toc216791710" </w:instrText>
      </w:r>
      <w:r>
        <w:fldChar w:fldCharType="separate"/>
      </w:r>
      <w:r>
        <w:rPr>
          <w:rStyle w:val="33"/>
          <w:rFonts w:ascii="宋体" w:hAnsi="宋体"/>
        </w:rPr>
        <w:t>6.5</w:t>
      </w:r>
      <w:r>
        <w:rPr>
          <w:rFonts w:eastAsiaTheme="minorEastAsia"/>
          <w:sz w:val="21"/>
        </w:rPr>
        <w:tab/>
      </w:r>
      <w:r>
        <w:rPr>
          <w:rStyle w:val="33"/>
          <w:rFonts w:ascii="宋体" w:hAnsi="宋体"/>
        </w:rPr>
        <w:t>提升水利建设运营管理能力</w:t>
      </w:r>
      <w:r>
        <w:tab/>
      </w:r>
      <w:r>
        <w:fldChar w:fldCharType="begin"/>
      </w:r>
      <w:r>
        <w:instrText xml:space="preserve"> PAGEREF _Toc216791710 \h </w:instrText>
      </w:r>
      <w:r>
        <w:fldChar w:fldCharType="separate"/>
      </w:r>
      <w:r>
        <w:t>71</w:t>
      </w:r>
      <w:r>
        <w:fldChar w:fldCharType="end"/>
      </w:r>
      <w:r>
        <w:fldChar w:fldCharType="end"/>
      </w:r>
    </w:p>
    <w:p w14:paraId="6BF26010">
      <w:pPr>
        <w:pStyle w:val="26"/>
        <w:tabs>
          <w:tab w:val="left" w:pos="1260"/>
          <w:tab w:val="right" w:leader="dot" w:pos="8296"/>
        </w:tabs>
        <w:ind w:left="560"/>
        <w:rPr>
          <w:rFonts w:eastAsiaTheme="minorEastAsia"/>
          <w:sz w:val="21"/>
        </w:rPr>
      </w:pPr>
      <w:r>
        <w:fldChar w:fldCharType="begin"/>
      </w:r>
      <w:r>
        <w:instrText xml:space="preserve"> HYPERLINK \l "_Toc216791711" </w:instrText>
      </w:r>
      <w:r>
        <w:fldChar w:fldCharType="separate"/>
      </w:r>
      <w:r>
        <w:rPr>
          <w:rStyle w:val="33"/>
          <w:rFonts w:ascii="宋体" w:hAnsi="宋体"/>
        </w:rPr>
        <w:t>6.6</w:t>
      </w:r>
      <w:r>
        <w:rPr>
          <w:rFonts w:eastAsiaTheme="minorEastAsia"/>
          <w:sz w:val="21"/>
        </w:rPr>
        <w:tab/>
      </w:r>
      <w:r>
        <w:rPr>
          <w:rStyle w:val="33"/>
          <w:rFonts w:ascii="宋体" w:hAnsi="宋体"/>
        </w:rPr>
        <w:t>提升重大风险防控能力</w:t>
      </w:r>
      <w:r>
        <w:tab/>
      </w:r>
      <w:r>
        <w:fldChar w:fldCharType="begin"/>
      </w:r>
      <w:r>
        <w:instrText xml:space="preserve"> PAGEREF _Toc216791711 \h </w:instrText>
      </w:r>
      <w:r>
        <w:fldChar w:fldCharType="separate"/>
      </w:r>
      <w:r>
        <w:t>72</w:t>
      </w:r>
      <w:r>
        <w:fldChar w:fldCharType="end"/>
      </w:r>
      <w:r>
        <w:fldChar w:fldCharType="end"/>
      </w:r>
    </w:p>
    <w:p w14:paraId="4C5C2EB6">
      <w:pPr>
        <w:pStyle w:val="22"/>
        <w:tabs>
          <w:tab w:val="left" w:pos="840"/>
          <w:tab w:val="right" w:leader="dot" w:pos="8296"/>
        </w:tabs>
        <w:rPr>
          <w:rFonts w:eastAsiaTheme="minorEastAsia"/>
          <w:b w:val="0"/>
          <w:sz w:val="21"/>
        </w:rPr>
      </w:pPr>
      <w:r>
        <w:fldChar w:fldCharType="begin"/>
      </w:r>
      <w:r>
        <w:instrText xml:space="preserve"> HYPERLINK \l "_Toc216791712" </w:instrText>
      </w:r>
      <w:r>
        <w:fldChar w:fldCharType="separate"/>
      </w:r>
      <w:r>
        <w:rPr>
          <w:rStyle w:val="33"/>
          <w:rFonts w:ascii="宋体" w:hAnsi="宋体"/>
          <w:bCs/>
        </w:rPr>
        <w:t>7</w:t>
      </w:r>
      <w:r>
        <w:rPr>
          <w:rFonts w:eastAsiaTheme="minorEastAsia"/>
          <w:b w:val="0"/>
          <w:sz w:val="21"/>
        </w:rPr>
        <w:tab/>
      </w:r>
      <w:r>
        <w:rPr>
          <w:rStyle w:val="33"/>
          <w:rFonts w:ascii="宋体" w:hAnsi="宋体"/>
          <w:bCs/>
        </w:rPr>
        <w:t>环境影响评价</w:t>
      </w:r>
      <w:r>
        <w:tab/>
      </w:r>
      <w:r>
        <w:fldChar w:fldCharType="begin"/>
      </w:r>
      <w:r>
        <w:instrText xml:space="preserve"> PAGEREF _Toc216791712 \h </w:instrText>
      </w:r>
      <w:r>
        <w:fldChar w:fldCharType="separate"/>
      </w:r>
      <w:r>
        <w:t>73</w:t>
      </w:r>
      <w:r>
        <w:fldChar w:fldCharType="end"/>
      </w:r>
      <w:r>
        <w:fldChar w:fldCharType="end"/>
      </w:r>
    </w:p>
    <w:p w14:paraId="0778E159">
      <w:pPr>
        <w:pStyle w:val="26"/>
        <w:tabs>
          <w:tab w:val="left" w:pos="1260"/>
          <w:tab w:val="right" w:leader="dot" w:pos="8296"/>
        </w:tabs>
        <w:ind w:left="560"/>
        <w:rPr>
          <w:rFonts w:eastAsiaTheme="minorEastAsia"/>
          <w:sz w:val="21"/>
        </w:rPr>
      </w:pPr>
      <w:r>
        <w:fldChar w:fldCharType="begin"/>
      </w:r>
      <w:r>
        <w:instrText xml:space="preserve"> HYPERLINK \l "_Toc216791713" </w:instrText>
      </w:r>
      <w:r>
        <w:fldChar w:fldCharType="separate"/>
      </w:r>
      <w:r>
        <w:rPr>
          <w:rStyle w:val="33"/>
          <w:rFonts w:ascii="宋体" w:hAnsi="宋体"/>
        </w:rPr>
        <w:t>7.1</w:t>
      </w:r>
      <w:r>
        <w:rPr>
          <w:rFonts w:eastAsiaTheme="minorEastAsia"/>
          <w:sz w:val="21"/>
        </w:rPr>
        <w:tab/>
      </w:r>
      <w:r>
        <w:rPr>
          <w:rStyle w:val="33"/>
          <w:rFonts w:ascii="宋体" w:hAnsi="宋体"/>
        </w:rPr>
        <w:t>环境保护要求</w:t>
      </w:r>
      <w:r>
        <w:tab/>
      </w:r>
      <w:r>
        <w:fldChar w:fldCharType="begin"/>
      </w:r>
      <w:r>
        <w:instrText xml:space="preserve"> PAGEREF _Toc216791713 \h </w:instrText>
      </w:r>
      <w:r>
        <w:fldChar w:fldCharType="separate"/>
      </w:r>
      <w:r>
        <w:t>73</w:t>
      </w:r>
      <w:r>
        <w:fldChar w:fldCharType="end"/>
      </w:r>
      <w:r>
        <w:fldChar w:fldCharType="end"/>
      </w:r>
    </w:p>
    <w:p w14:paraId="4369D605">
      <w:pPr>
        <w:pStyle w:val="26"/>
        <w:tabs>
          <w:tab w:val="left" w:pos="1260"/>
          <w:tab w:val="right" w:leader="dot" w:pos="8296"/>
        </w:tabs>
        <w:ind w:left="560"/>
        <w:rPr>
          <w:rFonts w:eastAsiaTheme="minorEastAsia"/>
          <w:sz w:val="21"/>
        </w:rPr>
      </w:pPr>
      <w:r>
        <w:fldChar w:fldCharType="begin"/>
      </w:r>
      <w:r>
        <w:instrText xml:space="preserve"> HYPERLINK \l "_Toc216791714" </w:instrText>
      </w:r>
      <w:r>
        <w:fldChar w:fldCharType="separate"/>
      </w:r>
      <w:r>
        <w:rPr>
          <w:rStyle w:val="33"/>
          <w:rFonts w:ascii="宋体" w:hAnsi="宋体"/>
        </w:rPr>
        <w:t>7.2</w:t>
      </w:r>
      <w:r>
        <w:rPr>
          <w:rFonts w:eastAsiaTheme="minorEastAsia"/>
          <w:sz w:val="21"/>
        </w:rPr>
        <w:tab/>
      </w:r>
      <w:r>
        <w:rPr>
          <w:rStyle w:val="33"/>
          <w:rFonts w:ascii="宋体" w:hAnsi="宋体"/>
        </w:rPr>
        <w:t>规划符合性分析</w:t>
      </w:r>
      <w:r>
        <w:tab/>
      </w:r>
      <w:r>
        <w:fldChar w:fldCharType="begin"/>
      </w:r>
      <w:r>
        <w:instrText xml:space="preserve"> PAGEREF _Toc216791714 \h </w:instrText>
      </w:r>
      <w:r>
        <w:fldChar w:fldCharType="separate"/>
      </w:r>
      <w:r>
        <w:t>74</w:t>
      </w:r>
      <w:r>
        <w:fldChar w:fldCharType="end"/>
      </w:r>
      <w:r>
        <w:fldChar w:fldCharType="end"/>
      </w:r>
    </w:p>
    <w:p w14:paraId="4E444A9E">
      <w:pPr>
        <w:pStyle w:val="26"/>
        <w:tabs>
          <w:tab w:val="left" w:pos="1260"/>
          <w:tab w:val="right" w:leader="dot" w:pos="8296"/>
        </w:tabs>
        <w:ind w:left="560"/>
        <w:rPr>
          <w:rFonts w:eastAsiaTheme="minorEastAsia"/>
          <w:sz w:val="21"/>
        </w:rPr>
      </w:pPr>
      <w:r>
        <w:fldChar w:fldCharType="begin"/>
      </w:r>
      <w:r>
        <w:instrText xml:space="preserve"> HYPERLINK \l "_Toc216791715" </w:instrText>
      </w:r>
      <w:r>
        <w:fldChar w:fldCharType="separate"/>
      </w:r>
      <w:r>
        <w:rPr>
          <w:rStyle w:val="33"/>
          <w:rFonts w:ascii="宋体" w:hAnsi="宋体"/>
        </w:rPr>
        <w:t>7.3</w:t>
      </w:r>
      <w:r>
        <w:rPr>
          <w:rFonts w:eastAsiaTheme="minorEastAsia"/>
          <w:sz w:val="21"/>
        </w:rPr>
        <w:tab/>
      </w:r>
      <w:r>
        <w:rPr>
          <w:rStyle w:val="33"/>
          <w:rFonts w:ascii="宋体" w:hAnsi="宋体"/>
        </w:rPr>
        <w:t>环境影响评价</w:t>
      </w:r>
      <w:r>
        <w:tab/>
      </w:r>
      <w:r>
        <w:fldChar w:fldCharType="begin"/>
      </w:r>
      <w:r>
        <w:instrText xml:space="preserve"> PAGEREF _Toc216791715 \h </w:instrText>
      </w:r>
      <w:r>
        <w:fldChar w:fldCharType="separate"/>
      </w:r>
      <w:r>
        <w:t>77</w:t>
      </w:r>
      <w:r>
        <w:fldChar w:fldCharType="end"/>
      </w:r>
      <w:r>
        <w:fldChar w:fldCharType="end"/>
      </w:r>
    </w:p>
    <w:p w14:paraId="2CEF7035">
      <w:pPr>
        <w:pStyle w:val="26"/>
        <w:tabs>
          <w:tab w:val="left" w:pos="1260"/>
          <w:tab w:val="right" w:leader="dot" w:pos="8296"/>
        </w:tabs>
        <w:ind w:left="560"/>
        <w:rPr>
          <w:rFonts w:eastAsiaTheme="minorEastAsia"/>
          <w:sz w:val="21"/>
        </w:rPr>
      </w:pPr>
      <w:r>
        <w:fldChar w:fldCharType="begin"/>
      </w:r>
      <w:r>
        <w:instrText xml:space="preserve"> HYPERLINK \l "_Toc216791716" </w:instrText>
      </w:r>
      <w:r>
        <w:fldChar w:fldCharType="separate"/>
      </w:r>
      <w:r>
        <w:rPr>
          <w:rStyle w:val="33"/>
          <w:rFonts w:ascii="宋体" w:hAnsi="宋体"/>
        </w:rPr>
        <w:t>7.4</w:t>
      </w:r>
      <w:r>
        <w:rPr>
          <w:rFonts w:eastAsiaTheme="minorEastAsia"/>
          <w:sz w:val="21"/>
        </w:rPr>
        <w:tab/>
      </w:r>
      <w:r>
        <w:rPr>
          <w:rStyle w:val="33"/>
          <w:rFonts w:ascii="宋体" w:hAnsi="宋体"/>
        </w:rPr>
        <w:t>环境保护措施</w:t>
      </w:r>
      <w:r>
        <w:tab/>
      </w:r>
      <w:r>
        <w:fldChar w:fldCharType="begin"/>
      </w:r>
      <w:r>
        <w:instrText xml:space="preserve"> PAGEREF _Toc216791716 \h </w:instrText>
      </w:r>
      <w:r>
        <w:fldChar w:fldCharType="separate"/>
      </w:r>
      <w:r>
        <w:t>79</w:t>
      </w:r>
      <w:r>
        <w:fldChar w:fldCharType="end"/>
      </w:r>
      <w:r>
        <w:fldChar w:fldCharType="end"/>
      </w:r>
    </w:p>
    <w:p w14:paraId="78B06ECD">
      <w:pPr>
        <w:pStyle w:val="26"/>
        <w:tabs>
          <w:tab w:val="left" w:pos="1260"/>
          <w:tab w:val="right" w:leader="dot" w:pos="8296"/>
        </w:tabs>
        <w:ind w:left="560"/>
        <w:rPr>
          <w:rFonts w:eastAsiaTheme="minorEastAsia"/>
          <w:sz w:val="21"/>
        </w:rPr>
      </w:pPr>
      <w:r>
        <w:fldChar w:fldCharType="begin"/>
      </w:r>
      <w:r>
        <w:instrText xml:space="preserve"> HYPERLINK \l "_Toc216791717" </w:instrText>
      </w:r>
      <w:r>
        <w:fldChar w:fldCharType="separate"/>
      </w:r>
      <w:r>
        <w:rPr>
          <w:rStyle w:val="33"/>
          <w:rFonts w:ascii="宋体" w:hAnsi="宋体"/>
        </w:rPr>
        <w:t>7.5</w:t>
      </w:r>
      <w:r>
        <w:rPr>
          <w:rFonts w:eastAsiaTheme="minorEastAsia"/>
          <w:sz w:val="21"/>
        </w:rPr>
        <w:tab/>
      </w:r>
      <w:r>
        <w:rPr>
          <w:rStyle w:val="33"/>
          <w:rFonts w:ascii="宋体" w:hAnsi="宋体"/>
        </w:rPr>
        <w:t>环境影响评价结论</w:t>
      </w:r>
      <w:r>
        <w:tab/>
      </w:r>
      <w:r>
        <w:fldChar w:fldCharType="begin"/>
      </w:r>
      <w:r>
        <w:instrText xml:space="preserve"> PAGEREF _Toc216791717 \h </w:instrText>
      </w:r>
      <w:r>
        <w:fldChar w:fldCharType="separate"/>
      </w:r>
      <w:r>
        <w:t>81</w:t>
      </w:r>
      <w:r>
        <w:fldChar w:fldCharType="end"/>
      </w:r>
      <w:r>
        <w:fldChar w:fldCharType="end"/>
      </w:r>
    </w:p>
    <w:p w14:paraId="2397AE9A">
      <w:pPr>
        <w:pStyle w:val="22"/>
        <w:tabs>
          <w:tab w:val="left" w:pos="840"/>
          <w:tab w:val="right" w:leader="dot" w:pos="8296"/>
        </w:tabs>
        <w:rPr>
          <w:rFonts w:eastAsiaTheme="minorEastAsia"/>
          <w:b w:val="0"/>
          <w:sz w:val="21"/>
        </w:rPr>
      </w:pPr>
      <w:r>
        <w:fldChar w:fldCharType="begin"/>
      </w:r>
      <w:r>
        <w:instrText xml:space="preserve"> HYPERLINK \l "_Toc216791718" </w:instrText>
      </w:r>
      <w:r>
        <w:fldChar w:fldCharType="separate"/>
      </w:r>
      <w:r>
        <w:rPr>
          <w:rStyle w:val="33"/>
          <w:rFonts w:ascii="宋体" w:hAnsi="宋体"/>
          <w:bCs/>
        </w:rPr>
        <w:t>8</w:t>
      </w:r>
      <w:r>
        <w:rPr>
          <w:rFonts w:eastAsiaTheme="minorEastAsia"/>
          <w:b w:val="0"/>
          <w:sz w:val="21"/>
        </w:rPr>
        <w:tab/>
      </w:r>
      <w:r>
        <w:rPr>
          <w:rStyle w:val="33"/>
          <w:rFonts w:ascii="宋体" w:hAnsi="宋体"/>
          <w:bCs/>
        </w:rPr>
        <w:t>项目实施</w:t>
      </w:r>
      <w:r>
        <w:tab/>
      </w:r>
      <w:r>
        <w:fldChar w:fldCharType="begin"/>
      </w:r>
      <w:r>
        <w:instrText xml:space="preserve"> PAGEREF _Toc216791718 \h </w:instrText>
      </w:r>
      <w:r>
        <w:fldChar w:fldCharType="separate"/>
      </w:r>
      <w:r>
        <w:t>82</w:t>
      </w:r>
      <w:r>
        <w:fldChar w:fldCharType="end"/>
      </w:r>
      <w:r>
        <w:fldChar w:fldCharType="end"/>
      </w:r>
    </w:p>
    <w:p w14:paraId="0D1214CD">
      <w:pPr>
        <w:pStyle w:val="26"/>
        <w:tabs>
          <w:tab w:val="left" w:pos="1260"/>
          <w:tab w:val="right" w:leader="dot" w:pos="8296"/>
        </w:tabs>
        <w:ind w:left="560"/>
        <w:rPr>
          <w:rFonts w:eastAsiaTheme="minorEastAsia"/>
          <w:sz w:val="21"/>
        </w:rPr>
      </w:pPr>
      <w:r>
        <w:fldChar w:fldCharType="begin"/>
      </w:r>
      <w:r>
        <w:instrText xml:space="preserve"> HYPERLINK \l "_Toc216791719" </w:instrText>
      </w:r>
      <w:r>
        <w:fldChar w:fldCharType="separate"/>
      </w:r>
      <w:r>
        <w:rPr>
          <w:rStyle w:val="33"/>
          <w:rFonts w:ascii="宋体" w:hAnsi="宋体"/>
        </w:rPr>
        <w:t>8.1</w:t>
      </w:r>
      <w:r>
        <w:rPr>
          <w:rFonts w:eastAsiaTheme="minorEastAsia"/>
          <w:sz w:val="21"/>
        </w:rPr>
        <w:tab/>
      </w:r>
      <w:r>
        <w:rPr>
          <w:rStyle w:val="33"/>
          <w:rFonts w:ascii="宋体" w:hAnsi="宋体"/>
        </w:rPr>
        <w:t>投资规模</w:t>
      </w:r>
      <w:r>
        <w:tab/>
      </w:r>
      <w:r>
        <w:fldChar w:fldCharType="begin"/>
      </w:r>
      <w:r>
        <w:instrText xml:space="preserve"> PAGEREF _Toc216791719 \h </w:instrText>
      </w:r>
      <w:r>
        <w:fldChar w:fldCharType="separate"/>
      </w:r>
      <w:r>
        <w:t>82</w:t>
      </w:r>
      <w:r>
        <w:fldChar w:fldCharType="end"/>
      </w:r>
      <w:r>
        <w:fldChar w:fldCharType="end"/>
      </w:r>
    </w:p>
    <w:p w14:paraId="09B4C18F">
      <w:pPr>
        <w:pStyle w:val="26"/>
        <w:tabs>
          <w:tab w:val="left" w:pos="1260"/>
          <w:tab w:val="right" w:leader="dot" w:pos="8296"/>
        </w:tabs>
        <w:ind w:left="560"/>
        <w:rPr>
          <w:rFonts w:eastAsiaTheme="minorEastAsia"/>
          <w:sz w:val="21"/>
        </w:rPr>
      </w:pPr>
      <w:r>
        <w:fldChar w:fldCharType="begin"/>
      </w:r>
      <w:r>
        <w:instrText xml:space="preserve"> HYPERLINK \l "_Toc216791720" </w:instrText>
      </w:r>
      <w:r>
        <w:fldChar w:fldCharType="separate"/>
      </w:r>
      <w:r>
        <w:rPr>
          <w:rStyle w:val="33"/>
          <w:rFonts w:ascii="宋体" w:hAnsi="宋体"/>
        </w:rPr>
        <w:t>8.2</w:t>
      </w:r>
      <w:r>
        <w:rPr>
          <w:rFonts w:eastAsiaTheme="minorEastAsia"/>
          <w:sz w:val="21"/>
        </w:rPr>
        <w:tab/>
      </w:r>
      <w:r>
        <w:rPr>
          <w:rStyle w:val="33"/>
          <w:rFonts w:ascii="宋体" w:hAnsi="宋体"/>
        </w:rPr>
        <w:t>投资结构</w:t>
      </w:r>
      <w:r>
        <w:tab/>
      </w:r>
      <w:r>
        <w:fldChar w:fldCharType="begin"/>
      </w:r>
      <w:r>
        <w:instrText xml:space="preserve"> PAGEREF _Toc216791720 \h </w:instrText>
      </w:r>
      <w:r>
        <w:fldChar w:fldCharType="separate"/>
      </w:r>
      <w:r>
        <w:t>82</w:t>
      </w:r>
      <w:r>
        <w:fldChar w:fldCharType="end"/>
      </w:r>
      <w:r>
        <w:fldChar w:fldCharType="end"/>
      </w:r>
    </w:p>
    <w:p w14:paraId="7672508E">
      <w:pPr>
        <w:pStyle w:val="26"/>
        <w:tabs>
          <w:tab w:val="left" w:pos="1260"/>
          <w:tab w:val="right" w:leader="dot" w:pos="8296"/>
        </w:tabs>
        <w:ind w:left="560"/>
        <w:rPr>
          <w:rFonts w:eastAsiaTheme="minorEastAsia"/>
          <w:sz w:val="21"/>
        </w:rPr>
      </w:pPr>
      <w:r>
        <w:fldChar w:fldCharType="begin"/>
      </w:r>
      <w:r>
        <w:instrText xml:space="preserve"> HYPERLINK \l "_Toc216791721" </w:instrText>
      </w:r>
      <w:r>
        <w:fldChar w:fldCharType="separate"/>
      </w:r>
      <w:r>
        <w:rPr>
          <w:rStyle w:val="33"/>
          <w:rFonts w:ascii="宋体" w:hAnsi="宋体"/>
        </w:rPr>
        <w:t>8.3</w:t>
      </w:r>
      <w:r>
        <w:rPr>
          <w:rFonts w:eastAsiaTheme="minorEastAsia"/>
          <w:sz w:val="21"/>
        </w:rPr>
        <w:tab/>
      </w:r>
      <w:r>
        <w:rPr>
          <w:rStyle w:val="33"/>
          <w:rFonts w:ascii="宋体" w:hAnsi="宋体"/>
        </w:rPr>
        <w:t>资金筹措</w:t>
      </w:r>
      <w:r>
        <w:tab/>
      </w:r>
      <w:r>
        <w:fldChar w:fldCharType="begin"/>
      </w:r>
      <w:r>
        <w:instrText xml:space="preserve"> PAGEREF _Toc216791721 \h </w:instrText>
      </w:r>
      <w:r>
        <w:fldChar w:fldCharType="separate"/>
      </w:r>
      <w:r>
        <w:t>83</w:t>
      </w:r>
      <w:r>
        <w:fldChar w:fldCharType="end"/>
      </w:r>
      <w:r>
        <w:fldChar w:fldCharType="end"/>
      </w:r>
    </w:p>
    <w:p w14:paraId="1A894DFA">
      <w:pPr>
        <w:pStyle w:val="22"/>
        <w:tabs>
          <w:tab w:val="left" w:pos="840"/>
          <w:tab w:val="right" w:leader="dot" w:pos="8296"/>
        </w:tabs>
        <w:rPr>
          <w:rFonts w:eastAsiaTheme="minorEastAsia"/>
          <w:b w:val="0"/>
          <w:sz w:val="21"/>
        </w:rPr>
      </w:pPr>
      <w:r>
        <w:fldChar w:fldCharType="begin"/>
      </w:r>
      <w:r>
        <w:instrText xml:space="preserve"> HYPERLINK \l "_Toc216791722" </w:instrText>
      </w:r>
      <w:r>
        <w:fldChar w:fldCharType="separate"/>
      </w:r>
      <w:r>
        <w:rPr>
          <w:rStyle w:val="33"/>
          <w:rFonts w:ascii="宋体" w:hAnsi="宋体"/>
          <w:bCs/>
        </w:rPr>
        <w:t>9</w:t>
      </w:r>
      <w:r>
        <w:rPr>
          <w:rFonts w:eastAsiaTheme="minorEastAsia"/>
          <w:b w:val="0"/>
          <w:sz w:val="21"/>
        </w:rPr>
        <w:tab/>
      </w:r>
      <w:r>
        <w:rPr>
          <w:rStyle w:val="33"/>
          <w:rFonts w:ascii="宋体" w:hAnsi="宋体"/>
          <w:bCs/>
        </w:rPr>
        <w:t>实施保障</w:t>
      </w:r>
      <w:r>
        <w:tab/>
      </w:r>
      <w:r>
        <w:fldChar w:fldCharType="begin"/>
      </w:r>
      <w:r>
        <w:instrText xml:space="preserve"> PAGEREF _Toc216791722 \h </w:instrText>
      </w:r>
      <w:r>
        <w:fldChar w:fldCharType="separate"/>
      </w:r>
      <w:r>
        <w:t>85</w:t>
      </w:r>
      <w:r>
        <w:fldChar w:fldCharType="end"/>
      </w:r>
      <w:r>
        <w:fldChar w:fldCharType="end"/>
      </w:r>
    </w:p>
    <w:p w14:paraId="20812300">
      <w:pPr>
        <w:pStyle w:val="26"/>
        <w:tabs>
          <w:tab w:val="left" w:pos="1260"/>
          <w:tab w:val="right" w:leader="dot" w:pos="8296"/>
        </w:tabs>
        <w:ind w:left="560"/>
        <w:rPr>
          <w:rFonts w:eastAsiaTheme="minorEastAsia"/>
          <w:sz w:val="21"/>
        </w:rPr>
      </w:pPr>
      <w:r>
        <w:fldChar w:fldCharType="begin"/>
      </w:r>
      <w:r>
        <w:instrText xml:space="preserve"> HYPERLINK \l "_Toc216791723" </w:instrText>
      </w:r>
      <w:r>
        <w:fldChar w:fldCharType="separate"/>
      </w:r>
      <w:r>
        <w:rPr>
          <w:rStyle w:val="33"/>
          <w:rFonts w:ascii="宋体" w:hAnsi="宋体"/>
        </w:rPr>
        <w:t>9.1</w:t>
      </w:r>
      <w:r>
        <w:rPr>
          <w:rFonts w:eastAsiaTheme="minorEastAsia"/>
          <w:sz w:val="21"/>
        </w:rPr>
        <w:tab/>
      </w:r>
      <w:r>
        <w:rPr>
          <w:rStyle w:val="33"/>
          <w:rFonts w:ascii="宋体" w:hAnsi="宋体"/>
        </w:rPr>
        <w:t>加强组织实施</w:t>
      </w:r>
      <w:r>
        <w:tab/>
      </w:r>
      <w:r>
        <w:fldChar w:fldCharType="begin"/>
      </w:r>
      <w:r>
        <w:instrText xml:space="preserve"> PAGEREF _Toc216791723 \h </w:instrText>
      </w:r>
      <w:r>
        <w:fldChar w:fldCharType="separate"/>
      </w:r>
      <w:r>
        <w:t>85</w:t>
      </w:r>
      <w:r>
        <w:fldChar w:fldCharType="end"/>
      </w:r>
      <w:r>
        <w:fldChar w:fldCharType="end"/>
      </w:r>
    </w:p>
    <w:p w14:paraId="15286CCD">
      <w:pPr>
        <w:pStyle w:val="26"/>
        <w:tabs>
          <w:tab w:val="left" w:pos="1260"/>
          <w:tab w:val="right" w:leader="dot" w:pos="8296"/>
        </w:tabs>
        <w:ind w:left="560"/>
        <w:rPr>
          <w:rFonts w:eastAsiaTheme="minorEastAsia"/>
          <w:sz w:val="21"/>
        </w:rPr>
      </w:pPr>
      <w:r>
        <w:fldChar w:fldCharType="begin"/>
      </w:r>
      <w:r>
        <w:instrText xml:space="preserve"> HYPERLINK \l "_Toc216791724" </w:instrText>
      </w:r>
      <w:r>
        <w:fldChar w:fldCharType="separate"/>
      </w:r>
      <w:r>
        <w:rPr>
          <w:rStyle w:val="33"/>
          <w:rFonts w:ascii="宋体" w:hAnsi="宋体"/>
        </w:rPr>
        <w:t>9.2</w:t>
      </w:r>
      <w:r>
        <w:rPr>
          <w:rFonts w:eastAsiaTheme="minorEastAsia"/>
          <w:sz w:val="21"/>
        </w:rPr>
        <w:tab/>
      </w:r>
      <w:r>
        <w:rPr>
          <w:rStyle w:val="33"/>
          <w:rFonts w:ascii="宋体" w:hAnsi="宋体"/>
        </w:rPr>
        <w:t>加强监督评估</w:t>
      </w:r>
      <w:r>
        <w:tab/>
      </w:r>
      <w:r>
        <w:fldChar w:fldCharType="begin"/>
      </w:r>
      <w:r>
        <w:instrText xml:space="preserve"> PAGEREF _Toc216791724 \h </w:instrText>
      </w:r>
      <w:r>
        <w:fldChar w:fldCharType="separate"/>
      </w:r>
      <w:r>
        <w:t>85</w:t>
      </w:r>
      <w:r>
        <w:fldChar w:fldCharType="end"/>
      </w:r>
      <w:r>
        <w:fldChar w:fldCharType="end"/>
      </w:r>
    </w:p>
    <w:p w14:paraId="4AE2B7FC">
      <w:pPr>
        <w:pStyle w:val="26"/>
        <w:tabs>
          <w:tab w:val="left" w:pos="1260"/>
          <w:tab w:val="right" w:leader="dot" w:pos="8296"/>
        </w:tabs>
        <w:ind w:left="560"/>
        <w:rPr>
          <w:rFonts w:eastAsiaTheme="minorEastAsia"/>
          <w:sz w:val="21"/>
        </w:rPr>
      </w:pPr>
      <w:r>
        <w:fldChar w:fldCharType="begin"/>
      </w:r>
      <w:r>
        <w:instrText xml:space="preserve"> HYPERLINK \l "_Toc216791725" </w:instrText>
      </w:r>
      <w:r>
        <w:fldChar w:fldCharType="separate"/>
      </w:r>
      <w:r>
        <w:rPr>
          <w:rStyle w:val="33"/>
          <w:rFonts w:ascii="宋体" w:hAnsi="宋体"/>
        </w:rPr>
        <w:t>9.3</w:t>
      </w:r>
      <w:r>
        <w:rPr>
          <w:rFonts w:eastAsiaTheme="minorEastAsia"/>
          <w:sz w:val="21"/>
        </w:rPr>
        <w:tab/>
      </w:r>
      <w:r>
        <w:rPr>
          <w:rStyle w:val="33"/>
          <w:rFonts w:ascii="宋体" w:hAnsi="宋体"/>
        </w:rPr>
        <w:t>加强要素保障</w:t>
      </w:r>
      <w:r>
        <w:tab/>
      </w:r>
      <w:r>
        <w:fldChar w:fldCharType="begin"/>
      </w:r>
      <w:r>
        <w:instrText xml:space="preserve"> PAGEREF _Toc216791725 \h </w:instrText>
      </w:r>
      <w:r>
        <w:fldChar w:fldCharType="separate"/>
      </w:r>
      <w:r>
        <w:t>85</w:t>
      </w:r>
      <w:r>
        <w:fldChar w:fldCharType="end"/>
      </w:r>
      <w:r>
        <w:fldChar w:fldCharType="end"/>
      </w:r>
    </w:p>
    <w:p w14:paraId="76B90B45">
      <w:pPr>
        <w:pStyle w:val="22"/>
        <w:tabs>
          <w:tab w:val="left" w:pos="840"/>
          <w:tab w:val="right" w:leader="dot" w:pos="8296"/>
        </w:tabs>
        <w:rPr>
          <w:rFonts w:eastAsiaTheme="minorEastAsia"/>
          <w:b w:val="0"/>
          <w:sz w:val="21"/>
        </w:rPr>
      </w:pPr>
      <w:r>
        <w:fldChar w:fldCharType="begin"/>
      </w:r>
      <w:r>
        <w:instrText xml:space="preserve"> HYPERLINK \l "_Toc216791726" </w:instrText>
      </w:r>
      <w:r>
        <w:fldChar w:fldCharType="separate"/>
      </w:r>
      <w:r>
        <w:rPr>
          <w:rStyle w:val="33"/>
        </w:rPr>
        <w:t>10</w:t>
      </w:r>
      <w:r>
        <w:rPr>
          <w:rFonts w:eastAsiaTheme="minorEastAsia"/>
          <w:b w:val="0"/>
          <w:sz w:val="21"/>
        </w:rPr>
        <w:tab/>
      </w:r>
      <w:r>
        <w:rPr>
          <w:rStyle w:val="33"/>
        </w:rPr>
        <w:t>附表</w:t>
      </w:r>
      <w:r>
        <w:tab/>
      </w:r>
      <w:r>
        <w:fldChar w:fldCharType="begin"/>
      </w:r>
      <w:r>
        <w:instrText xml:space="preserve"> PAGEREF _Toc216791726 \h </w:instrText>
      </w:r>
      <w:r>
        <w:fldChar w:fldCharType="separate"/>
      </w:r>
      <w:r>
        <w:t>86</w:t>
      </w:r>
      <w:r>
        <w:fldChar w:fldCharType="end"/>
      </w:r>
      <w:r>
        <w:fldChar w:fldCharType="end"/>
      </w:r>
    </w:p>
    <w:p w14:paraId="33F25645">
      <w:pPr>
        <w:pStyle w:val="26"/>
        <w:tabs>
          <w:tab w:val="left" w:pos="1260"/>
          <w:tab w:val="right" w:leader="dot" w:pos="8296"/>
        </w:tabs>
        <w:ind w:left="560"/>
        <w:rPr>
          <w:rFonts w:eastAsiaTheme="minorEastAsia"/>
          <w:sz w:val="21"/>
        </w:rPr>
      </w:pPr>
      <w:r>
        <w:fldChar w:fldCharType="begin"/>
      </w:r>
      <w:r>
        <w:instrText xml:space="preserve"> HYPERLINK \l "_Toc216791727" </w:instrText>
      </w:r>
      <w:r>
        <w:fldChar w:fldCharType="separate"/>
      </w:r>
      <w:r>
        <w:rPr>
          <w:rStyle w:val="33"/>
        </w:rPr>
        <w:t>10.1</w:t>
      </w:r>
      <w:r>
        <w:rPr>
          <w:rFonts w:eastAsiaTheme="minorEastAsia"/>
          <w:sz w:val="21"/>
        </w:rPr>
        <w:tab/>
      </w:r>
      <w:r>
        <w:rPr>
          <w:rStyle w:val="33"/>
        </w:rPr>
        <w:t>长汀县“十五五”水安全保障及远景规划项目库</w:t>
      </w:r>
      <w:r>
        <w:tab/>
      </w:r>
      <w:r>
        <w:fldChar w:fldCharType="begin"/>
      </w:r>
      <w:r>
        <w:instrText xml:space="preserve"> PAGEREF _Toc216791727 \h </w:instrText>
      </w:r>
      <w:r>
        <w:fldChar w:fldCharType="separate"/>
      </w:r>
      <w:r>
        <w:t>86</w:t>
      </w:r>
      <w:r>
        <w:fldChar w:fldCharType="end"/>
      </w:r>
      <w:r>
        <w:fldChar w:fldCharType="end"/>
      </w:r>
    </w:p>
    <w:p w14:paraId="72E466CF">
      <w:pPr>
        <w:pStyle w:val="22"/>
        <w:tabs>
          <w:tab w:val="left" w:pos="840"/>
          <w:tab w:val="right" w:leader="dot" w:pos="8296"/>
        </w:tabs>
        <w:rPr>
          <w:rFonts w:eastAsiaTheme="minorEastAsia"/>
          <w:b w:val="0"/>
          <w:sz w:val="21"/>
        </w:rPr>
      </w:pPr>
      <w:r>
        <w:fldChar w:fldCharType="begin"/>
      </w:r>
      <w:r>
        <w:instrText xml:space="preserve"> HYPERLINK \l "_Toc216791728" </w:instrText>
      </w:r>
      <w:r>
        <w:fldChar w:fldCharType="separate"/>
      </w:r>
      <w:r>
        <w:rPr>
          <w:rStyle w:val="33"/>
        </w:rPr>
        <w:t>11</w:t>
      </w:r>
      <w:r>
        <w:rPr>
          <w:rFonts w:eastAsiaTheme="minorEastAsia"/>
          <w:b w:val="0"/>
          <w:sz w:val="21"/>
        </w:rPr>
        <w:tab/>
      </w:r>
      <w:r>
        <w:rPr>
          <w:rStyle w:val="33"/>
        </w:rPr>
        <w:t>附图</w:t>
      </w:r>
      <w:r>
        <w:tab/>
      </w:r>
      <w:r>
        <w:fldChar w:fldCharType="begin"/>
      </w:r>
      <w:r>
        <w:instrText xml:space="preserve"> PAGEREF _Toc216791728 \h </w:instrText>
      </w:r>
      <w:r>
        <w:fldChar w:fldCharType="separate"/>
      </w:r>
      <w:r>
        <w:t>103</w:t>
      </w:r>
      <w:r>
        <w:fldChar w:fldCharType="end"/>
      </w:r>
      <w:r>
        <w:fldChar w:fldCharType="end"/>
      </w:r>
    </w:p>
    <w:p w14:paraId="1B0AD853">
      <w:pPr>
        <w:rPr>
          <w:rFonts w:ascii="宋体" w:hAnsi="宋体"/>
          <w:b/>
          <w:bCs/>
          <w:sz w:val="32"/>
          <w:szCs w:val="24"/>
        </w:rPr>
      </w:pPr>
      <w:r>
        <w:rPr>
          <w:rFonts w:hint="eastAsia" w:ascii="宋体" w:hAnsi="宋体"/>
          <w:b/>
          <w:sz w:val="32"/>
        </w:rPr>
        <w:fldChar w:fldCharType="end"/>
      </w:r>
      <w:r>
        <w:rPr>
          <w:rFonts w:ascii="宋体" w:hAnsi="宋体"/>
          <w:b/>
          <w:bCs/>
          <w:sz w:val="32"/>
          <w:szCs w:val="24"/>
        </w:rPr>
        <w:t xml:space="preserve"> </w:t>
      </w:r>
    </w:p>
    <w:p w14:paraId="7772B35B">
      <w:pPr>
        <w:rPr>
          <w:rFonts w:ascii="宋体" w:hAnsi="宋体"/>
        </w:rPr>
      </w:pPr>
    </w:p>
    <w:p w14:paraId="174B54EF">
      <w:pPr>
        <w:rPr>
          <w:rFonts w:ascii="宋体" w:hAnsi="宋体"/>
        </w:rPr>
      </w:pPr>
    </w:p>
    <w:p w14:paraId="721DF1A9">
      <w:pPr>
        <w:rPr>
          <w:rFonts w:ascii="宋体" w:hAnsi="宋体"/>
        </w:rPr>
        <w:sectPr>
          <w:footerReference r:id="rId11" w:type="default"/>
          <w:pgSz w:w="11906" w:h="16838"/>
          <w:pgMar w:top="1440" w:right="1800" w:bottom="1440" w:left="1800" w:header="851" w:footer="992" w:gutter="0"/>
          <w:cols w:space="425" w:num="1"/>
          <w:docGrid w:type="lines" w:linePitch="312" w:charSpace="0"/>
        </w:sectPr>
      </w:pPr>
    </w:p>
    <w:p w14:paraId="01559709">
      <w:pPr>
        <w:pStyle w:val="59"/>
        <w:jc w:val="center"/>
        <w:rPr>
          <w:rFonts w:ascii="宋体" w:hAnsi="宋体" w:eastAsia="宋体"/>
        </w:rPr>
      </w:pPr>
      <w:r>
        <w:rPr>
          <w:rFonts w:hint="eastAsia" w:ascii="宋体" w:hAnsi="宋体" w:eastAsia="宋体"/>
        </w:rPr>
        <w:t>前  言</w:t>
      </w:r>
    </w:p>
    <w:p w14:paraId="080947C5">
      <w:pPr>
        <w:ind w:firstLine="565" w:firstLineChars="202"/>
        <w:rPr>
          <w:rFonts w:ascii="宋体" w:hAnsi="宋体"/>
        </w:rPr>
      </w:pPr>
      <w:r>
        <w:rPr>
          <w:rFonts w:hint="eastAsia" w:ascii="宋体" w:hAnsi="宋体"/>
        </w:rPr>
        <w:t>长汀古称汀州，地处福建西部，武夷山脉南麓，南与广东近邻，西与江西接壤，是闽、粤、赣三省边陲要冲。全县辖</w:t>
      </w:r>
      <w:r>
        <w:rPr>
          <w:rFonts w:ascii="宋体" w:hAnsi="宋体"/>
        </w:rPr>
        <w:t>18个乡（镇）307个村（居），总人口55万，土地面积3104平方公里，其中山地面积388万亩、耕地面积44.2万亩，是典型的“八山一水一分田”山区县，属福建省第五大县。长汀具有悠久的历史文化、独特的客家文化、厚重的红色文化、丰富的生态文化，是国家历史文化名城、世界客家首府、著名的革命老区、原中央苏区、红军故乡、红军长征出发地之一和水土流失治理及生态文明建设的典范。</w:t>
      </w:r>
      <w:r>
        <w:rPr>
          <w:rFonts w:hint="eastAsia" w:ascii="宋体" w:hAnsi="宋体"/>
        </w:rPr>
        <w:t>长汀县河流众多，水系发达，境内主要有汀江、古城河和童坊河等大小</w:t>
      </w:r>
      <w:r>
        <w:rPr>
          <w:rFonts w:ascii="宋体" w:hAnsi="宋体"/>
        </w:rPr>
        <w:t>27条河流，分属汀江、赣江、闽江三个水系。</w:t>
      </w:r>
    </w:p>
    <w:p w14:paraId="2288DC10">
      <w:pPr>
        <w:ind w:firstLine="565" w:firstLineChars="202"/>
        <w:rPr>
          <w:rFonts w:ascii="宋体" w:hAnsi="宋体"/>
        </w:rPr>
      </w:pPr>
      <w:r>
        <w:rPr>
          <w:rFonts w:hint="eastAsia" w:ascii="宋体" w:hAnsi="宋体"/>
        </w:rPr>
        <w:t>“十四五”时期，长汀县深入贯彻落实习近平总书记“节</w:t>
      </w:r>
      <w:r>
        <w:rPr>
          <w:rFonts w:ascii="宋体" w:hAnsi="宋体"/>
        </w:rPr>
        <w:t>水优先、空间均衡、系统治理、两手发力”治水思路及关于治水工作的重要论述精神，紧紧围绕“中国式现代化”与“高质量发展”核心主题，以满足人民日益增长的美好生活需要为根本宗旨，坚持问题导向、系统施治，全面深化改革、服务大局，统筹</w:t>
      </w:r>
      <w:r>
        <w:rPr>
          <w:rFonts w:hint="eastAsia" w:ascii="宋体" w:hAnsi="宋体"/>
        </w:rPr>
        <w:t>县域</w:t>
      </w:r>
      <w:r>
        <w:rPr>
          <w:rFonts w:ascii="宋体" w:hAnsi="宋体"/>
        </w:rPr>
        <w:t>发展与水利规划建设，顺利完成规划既定目标与任务，取得显著成效，基本建成与</w:t>
      </w:r>
      <w:r>
        <w:rPr>
          <w:rFonts w:hint="eastAsia" w:ascii="宋体" w:hAnsi="宋体"/>
        </w:rPr>
        <w:t>长汀</w:t>
      </w:r>
      <w:r>
        <w:rPr>
          <w:rFonts w:ascii="宋体" w:hAnsi="宋体"/>
        </w:rPr>
        <w:t>战略定位相适应的现代化水利服务保障体系。</w:t>
      </w:r>
    </w:p>
    <w:p w14:paraId="28725B05">
      <w:pPr>
        <w:ind w:firstLine="565" w:firstLineChars="202"/>
        <w:rPr>
          <w:rFonts w:ascii="宋体" w:hAnsi="宋体"/>
        </w:rPr>
      </w:pPr>
      <w:r>
        <w:rPr>
          <w:rFonts w:hint="eastAsia" w:ascii="宋体" w:hAnsi="宋体"/>
        </w:rPr>
        <w:t>“十五五”是全面建成社会主义现代化强国的关键阶段，长汀</w:t>
      </w:r>
      <w:r>
        <w:rPr>
          <w:rFonts w:ascii="宋体" w:hAnsi="宋体"/>
        </w:rPr>
        <w:t>水利工作迎来更高要求和更大挑战。</w:t>
      </w:r>
      <w:r>
        <w:rPr>
          <w:rFonts w:hint="eastAsia" w:ascii="宋体" w:hAnsi="宋体"/>
        </w:rPr>
        <w:t>长汀县</w:t>
      </w:r>
      <w:r>
        <w:rPr>
          <w:rFonts w:ascii="宋体" w:hAnsi="宋体"/>
        </w:rPr>
        <w:t>坚持以习近平新时代中国特色社会主义思想为指导，深入贯彻落实党中央、国务院重要决策部署，牢固树立新发展理念</w:t>
      </w:r>
      <w:r>
        <w:rPr>
          <w:rFonts w:hint="eastAsia" w:ascii="宋体" w:hAnsi="宋体"/>
        </w:rPr>
        <w:t>，</w:t>
      </w:r>
      <w:r>
        <w:rPr>
          <w:rFonts w:ascii="宋体" w:hAnsi="宋体"/>
        </w:rPr>
        <w:t>立足</w:t>
      </w:r>
      <w:r>
        <w:rPr>
          <w:rFonts w:hint="eastAsia" w:ascii="宋体" w:hAnsi="宋体"/>
        </w:rPr>
        <w:t>长汀县</w:t>
      </w:r>
      <w:r>
        <w:rPr>
          <w:rFonts w:ascii="宋体" w:hAnsi="宋体"/>
        </w:rPr>
        <w:t>山环水绕的自然禀赋，围绕“</w:t>
      </w:r>
      <w:r>
        <w:rPr>
          <w:rFonts w:hint="eastAsia" w:ascii="宋体" w:hAnsi="宋体"/>
        </w:rPr>
        <w:t>一江两屏三区</w:t>
      </w:r>
      <w:r>
        <w:rPr>
          <w:rFonts w:ascii="宋体" w:hAnsi="宋体"/>
        </w:rPr>
        <w:t>多组团”</w:t>
      </w:r>
      <w:r>
        <w:rPr>
          <w:rFonts w:hint="eastAsia" w:ascii="宋体" w:hAnsi="宋体"/>
        </w:rPr>
        <w:t>的</w:t>
      </w:r>
      <w:r>
        <w:rPr>
          <w:rFonts w:ascii="宋体" w:hAnsi="宋体"/>
        </w:rPr>
        <w:t>国土空间总体格局</w:t>
      </w:r>
      <w:r>
        <w:rPr>
          <w:rFonts w:hint="eastAsia" w:ascii="宋体" w:hAnsi="宋体"/>
        </w:rPr>
        <w:t>，</w:t>
      </w:r>
      <w:r>
        <w:rPr>
          <w:rFonts w:ascii="宋体" w:hAnsi="宋体"/>
        </w:rPr>
        <w:t>充分顺应主要江河流域水系自然特</w:t>
      </w:r>
      <w:r>
        <w:rPr>
          <w:rFonts w:hint="eastAsia" w:ascii="宋体" w:hAnsi="宋体"/>
        </w:rPr>
        <w:t>征，紧扣“十五五”水安全保障规划四大核心要求，构建功</w:t>
      </w:r>
      <w:r>
        <w:rPr>
          <w:rFonts w:ascii="宋体" w:hAnsi="宋体"/>
        </w:rPr>
        <w:t>能协同、智慧高效的现代综合立体水安全保障体系。</w:t>
      </w:r>
    </w:p>
    <w:p w14:paraId="461AA7FB">
      <w:pPr>
        <w:ind w:firstLine="565" w:firstLineChars="202"/>
        <w:rPr>
          <w:rFonts w:ascii="宋体" w:hAnsi="宋体"/>
        </w:rPr>
      </w:pPr>
      <w:r>
        <w:rPr>
          <w:rFonts w:hint="eastAsia" w:ascii="宋体" w:hAnsi="宋体"/>
        </w:rPr>
        <w:t>遵循习近平总书记关于“十五五”规划编制工作的重要</w:t>
      </w:r>
      <w:r>
        <w:rPr>
          <w:rFonts w:ascii="宋体" w:hAnsi="宋体"/>
        </w:rPr>
        <w:t>指示精神，依据福建省“十五五”水安全保障规划及</w:t>
      </w:r>
      <w:r>
        <w:rPr>
          <w:rFonts w:hint="eastAsia" w:ascii="宋体" w:hAnsi="宋体"/>
        </w:rPr>
        <w:t>长汀县</w:t>
      </w:r>
      <w:r>
        <w:rPr>
          <w:rFonts w:ascii="宋体" w:hAnsi="宋体"/>
        </w:rPr>
        <w:t>“十五五”规划的整体部署与要求，</w:t>
      </w:r>
      <w:r>
        <w:rPr>
          <w:rFonts w:hint="eastAsia" w:ascii="宋体" w:hAnsi="宋体"/>
        </w:rPr>
        <w:t>长汀县</w:t>
      </w:r>
      <w:r>
        <w:rPr>
          <w:rFonts w:ascii="宋体" w:hAnsi="宋体"/>
        </w:rPr>
        <w:t>水利局组织开展了“十五五”水安全保障规划编制工作。通过深入实地调研、广泛听取各方意见，全面总结评估水利发展“十四五”规划实施成效，系统分析当前水利改革发展面临的形势，并深入学习领会习近平总书记</w:t>
      </w:r>
      <w:r>
        <w:rPr>
          <w:rFonts w:hint="eastAsia" w:ascii="宋体" w:hAnsi="宋体"/>
          <w:lang w:val="en-US" w:eastAsia="zh-CN"/>
        </w:rPr>
        <w:t>关于</w:t>
      </w:r>
      <w:bookmarkStart w:id="77" w:name="_GoBack"/>
      <w:bookmarkEnd w:id="77"/>
      <w:r>
        <w:rPr>
          <w:rFonts w:ascii="宋体" w:hAnsi="宋体"/>
        </w:rPr>
        <w:t>新时期治水思想和考察福建期间的重要讲话及指示精神，最终编制完成《</w:t>
      </w:r>
      <w:r>
        <w:rPr>
          <w:rFonts w:hint="eastAsia" w:ascii="宋体" w:hAnsi="宋体"/>
        </w:rPr>
        <w:t>长汀县</w:t>
      </w:r>
      <w:r>
        <w:rPr>
          <w:rFonts w:ascii="宋体" w:hAnsi="宋体"/>
        </w:rPr>
        <w:t>“十五五”水安全保障规划》。该规划将作为指导</w:t>
      </w:r>
      <w:r>
        <w:rPr>
          <w:rFonts w:hint="eastAsia" w:ascii="宋体" w:hAnsi="宋体"/>
        </w:rPr>
        <w:t>长汀县</w:t>
      </w:r>
      <w:r>
        <w:rPr>
          <w:rFonts w:ascii="宋体" w:hAnsi="宋体"/>
        </w:rPr>
        <w:t>未来五年水利事业发展的纲领性文件。</w:t>
      </w:r>
    </w:p>
    <w:p w14:paraId="73528BD4">
      <w:pPr>
        <w:ind w:firstLine="565" w:firstLineChars="202"/>
        <w:rPr>
          <w:rFonts w:ascii="宋体" w:hAnsi="宋体"/>
        </w:rPr>
      </w:pPr>
      <w:r>
        <w:rPr>
          <w:rFonts w:hint="eastAsia" w:ascii="宋体" w:hAnsi="宋体"/>
        </w:rPr>
        <w:t>规划以自然河湖为生态基底，以汀江为</w:t>
      </w:r>
      <w:r>
        <w:rPr>
          <w:rFonts w:ascii="宋体" w:hAnsi="宋体"/>
        </w:rPr>
        <w:t>核心脉络</w:t>
      </w:r>
      <w:r>
        <w:rPr>
          <w:rFonts w:hint="eastAsia" w:ascii="宋体" w:hAnsi="宋体"/>
        </w:rPr>
        <w:t>，</w:t>
      </w:r>
      <w:r>
        <w:rPr>
          <w:rFonts w:ascii="宋体" w:hAnsi="宋体"/>
        </w:rPr>
        <w:t>构建“</w:t>
      </w:r>
      <w:r>
        <w:rPr>
          <w:rFonts w:hint="eastAsia" w:ascii="宋体" w:hAnsi="宋体"/>
        </w:rPr>
        <w:t>一江两岸，四库五网，多源保障</w:t>
      </w:r>
      <w:r>
        <w:rPr>
          <w:rFonts w:ascii="宋体" w:hAnsi="宋体"/>
        </w:rPr>
        <w:t>”的一体化水安全保障格局。依托大、中、小各类水库筑牢供水保障根基，以多个灌区强化农业灌溉功能，统筹防洪排涝体系、水资源配置体系、水生态修复体系、幸福河湖建设体系实现全域水系协同增效，通过智慧化升级提质水系管理服务能力，形成“引、蓄、灌、治、智”五位一体的水安全保障规划布局，为</w:t>
      </w:r>
      <w:r>
        <w:rPr>
          <w:rFonts w:hint="eastAsia" w:ascii="宋体" w:hAnsi="宋体"/>
        </w:rPr>
        <w:t>长汀县经济</w:t>
      </w:r>
      <w:r>
        <w:rPr>
          <w:rFonts w:ascii="宋体" w:hAnsi="宋体"/>
        </w:rPr>
        <w:t>高质量发展提供有力的支撑和保障，打造幸福</w:t>
      </w:r>
      <w:r>
        <w:rPr>
          <w:rFonts w:hint="eastAsia" w:ascii="宋体" w:hAnsi="宋体"/>
        </w:rPr>
        <w:t>长汀</w:t>
      </w:r>
      <w:r>
        <w:rPr>
          <w:rFonts w:ascii="宋体" w:hAnsi="宋体"/>
        </w:rPr>
        <w:t>。</w:t>
      </w:r>
    </w:p>
    <w:p w14:paraId="796C7A0D">
      <w:pPr>
        <w:ind w:firstLine="565" w:firstLineChars="202"/>
        <w:rPr>
          <w:rFonts w:ascii="宋体" w:hAnsi="宋体"/>
        </w:rPr>
      </w:pPr>
    </w:p>
    <w:p w14:paraId="1A81AB7A">
      <w:pPr>
        <w:ind w:firstLine="565" w:firstLineChars="202"/>
        <w:rPr>
          <w:rFonts w:ascii="宋体" w:hAnsi="宋体"/>
        </w:rPr>
      </w:pPr>
    </w:p>
    <w:p w14:paraId="29763CF6">
      <w:pPr>
        <w:pStyle w:val="2"/>
        <w:numPr>
          <w:ilvl w:val="0"/>
          <w:numId w:val="2"/>
        </w:numPr>
        <w:jc w:val="center"/>
        <w:rPr>
          <w:rFonts w:ascii="宋体" w:hAnsi="宋体"/>
          <w:b/>
          <w:bCs/>
          <w:color w:val="auto"/>
        </w:rPr>
        <w:sectPr>
          <w:footerReference r:id="rId12" w:type="default"/>
          <w:pgSz w:w="11906" w:h="16838"/>
          <w:pgMar w:top="1440" w:right="1800" w:bottom="1440" w:left="1800" w:header="851" w:footer="992" w:gutter="0"/>
          <w:cols w:space="425" w:num="1"/>
          <w:docGrid w:type="lines" w:linePitch="312" w:charSpace="0"/>
        </w:sectPr>
      </w:pPr>
      <w:bookmarkStart w:id="0" w:name="_Toc212827880"/>
    </w:p>
    <w:p w14:paraId="6548B451">
      <w:pPr>
        <w:pStyle w:val="2"/>
        <w:numPr>
          <w:ilvl w:val="0"/>
          <w:numId w:val="2"/>
        </w:numPr>
        <w:jc w:val="center"/>
        <w:rPr>
          <w:rFonts w:ascii="宋体" w:hAnsi="宋体"/>
          <w:b/>
          <w:bCs/>
          <w:color w:val="auto"/>
        </w:rPr>
      </w:pPr>
      <w:bookmarkStart w:id="1" w:name="_Toc216791679"/>
      <w:r>
        <w:rPr>
          <w:rFonts w:hint="eastAsia" w:ascii="宋体" w:hAnsi="宋体"/>
          <w:b/>
          <w:bCs/>
          <w:color w:val="auto"/>
        </w:rPr>
        <w:t>基本情况</w:t>
      </w:r>
      <w:bookmarkEnd w:id="0"/>
      <w:bookmarkEnd w:id="1"/>
    </w:p>
    <w:p w14:paraId="313A6BFB">
      <w:pPr>
        <w:pStyle w:val="3"/>
        <w:numPr>
          <w:ilvl w:val="1"/>
          <w:numId w:val="2"/>
        </w:numPr>
        <w:rPr>
          <w:rFonts w:ascii="宋体" w:hAnsi="宋体"/>
          <w:color w:val="auto"/>
        </w:rPr>
      </w:pPr>
      <w:bookmarkStart w:id="2" w:name="_Toc216791680"/>
      <w:bookmarkStart w:id="3" w:name="_Toc212827881"/>
      <w:r>
        <w:rPr>
          <w:rFonts w:hint="eastAsia" w:ascii="宋体" w:hAnsi="宋体"/>
          <w:color w:val="auto"/>
        </w:rPr>
        <w:t>自然地理概况</w:t>
      </w:r>
      <w:bookmarkEnd w:id="2"/>
      <w:bookmarkEnd w:id="3"/>
    </w:p>
    <w:p w14:paraId="294D4CE2">
      <w:pPr>
        <w:pStyle w:val="4"/>
        <w:numPr>
          <w:ilvl w:val="2"/>
          <w:numId w:val="2"/>
        </w:numPr>
        <w:rPr>
          <w:rFonts w:ascii="宋体" w:hAnsi="宋体"/>
          <w:color w:val="auto"/>
        </w:rPr>
      </w:pPr>
      <w:r>
        <w:rPr>
          <w:rFonts w:hint="eastAsia" w:ascii="宋体" w:hAnsi="宋体"/>
          <w:color w:val="auto"/>
        </w:rPr>
        <w:t>地理位置</w:t>
      </w:r>
    </w:p>
    <w:p w14:paraId="05998ADB">
      <w:pPr>
        <w:ind w:firstLine="565" w:firstLineChars="202"/>
        <w:rPr>
          <w:rFonts w:ascii="宋体" w:hAnsi="宋体"/>
        </w:rPr>
      </w:pPr>
      <w:r>
        <w:rPr>
          <w:rFonts w:hint="eastAsia" w:ascii="宋体" w:hAnsi="宋体"/>
        </w:rPr>
        <w:t>长汀古称汀州，地处福建西部，武夷山脉南麓，地理位置介于北纬</w:t>
      </w:r>
      <w:r>
        <w:rPr>
          <w:rFonts w:ascii="宋体" w:hAnsi="宋体"/>
        </w:rPr>
        <w:t>25°18'40"26°02'05"，东经116°00'45"116°39'20"之间。全境南北长80km，东西宽66km，</w:t>
      </w:r>
      <w:r>
        <w:rPr>
          <w:rFonts w:hint="eastAsia" w:ascii="宋体" w:hAnsi="宋体"/>
        </w:rPr>
        <w:t>南与广东近邻，西与江西接壤，是闽、粤、赣三省边陲要冲。全县辖</w:t>
      </w:r>
      <w:r>
        <w:rPr>
          <w:rFonts w:ascii="宋体" w:hAnsi="宋体"/>
        </w:rPr>
        <w:t>18个乡（镇）307个村（居），总人口55万，土地面积3104平方公里，其中山地面积388万亩、耕地面积44.2万亩，是典型的“八山一水一分田”山区县，属福建省第五大县。长汀具有悠久的历史文化、独特的客家文化、厚重的红色文化、丰富的生态文化，是国家历史文化名城、世界客家首府、著名的革命老区、原中央苏区、红军故乡、红军长征出发地之一和水土流失治理及生态文明建设的典范。</w:t>
      </w:r>
    </w:p>
    <w:p w14:paraId="158B45A2">
      <w:pPr>
        <w:ind w:firstLine="565" w:firstLineChars="202"/>
        <w:rPr>
          <w:rFonts w:ascii="宋体" w:hAnsi="宋体"/>
        </w:rPr>
      </w:pPr>
      <w:r>
        <w:rPr>
          <w:rFonts w:hint="eastAsia" w:ascii="宋体" w:hAnsi="宋体"/>
        </w:rPr>
        <w:t>境内龙赣铁路、龙长高速公路、319国道和省道洋万线在城区交汇，直达赣、湘、鄂、川和福建各地，长汀承西启东的交通枢纽作用日益突出，随着“铁海联运”、“海西号”的开通，以及龙长高速公路与福、厦、漳、泉的相通，这使长汀成为闽南、粤北与内陆省份商品流通和经济走向的“黄金通道”。长汀县</w:t>
      </w:r>
      <w:r>
        <w:rPr>
          <w:rFonts w:ascii="宋体" w:hAnsi="宋体"/>
        </w:rPr>
        <w:t>区位图见图</w:t>
      </w:r>
      <w:r>
        <w:rPr>
          <w:rFonts w:hint="eastAsia" w:ascii="宋体" w:hAnsi="宋体"/>
        </w:rPr>
        <w:t>1.1-1。</w:t>
      </w:r>
    </w:p>
    <w:p w14:paraId="1AFB0EED">
      <w:pPr>
        <w:ind w:firstLine="565" w:firstLineChars="202"/>
        <w:rPr>
          <w:rFonts w:ascii="宋体" w:hAnsi="宋体"/>
        </w:rPr>
      </w:pPr>
      <w:r>
        <w:rPr>
          <w:rFonts w:ascii="宋体" w:hAnsi="宋体"/>
        </w:rPr>
        <w:drawing>
          <wp:inline distT="0" distB="0" distL="0" distR="0">
            <wp:extent cx="4543425" cy="4248150"/>
            <wp:effectExtent l="0" t="0" r="9525" b="0"/>
            <wp:docPr id="662304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044" name="image1.jpeg"/>
                    <pic:cNvPicPr>
                      <a:picLocks noChangeAspect="1"/>
                    </pic:cNvPicPr>
                  </pic:nvPicPr>
                  <pic:blipFill>
                    <a:blip r:embed="rId15" cstate="print"/>
                    <a:stretch>
                      <a:fillRect/>
                    </a:stretch>
                  </pic:blipFill>
                  <pic:spPr>
                    <a:xfrm>
                      <a:off x="0" y="0"/>
                      <a:ext cx="4543425" cy="4248150"/>
                    </a:xfrm>
                    <a:prstGeom prst="rect">
                      <a:avLst/>
                    </a:prstGeom>
                  </pic:spPr>
                </pic:pic>
              </a:graphicData>
            </a:graphic>
          </wp:inline>
        </w:drawing>
      </w:r>
    </w:p>
    <w:p w14:paraId="2C7860FB">
      <w:pPr>
        <w:ind w:firstLine="568" w:firstLineChars="202"/>
        <w:jc w:val="center"/>
        <w:rPr>
          <w:rFonts w:ascii="宋体" w:hAnsi="宋体"/>
          <w:b/>
          <w:bCs/>
        </w:rPr>
      </w:pPr>
      <w:r>
        <w:rPr>
          <w:rFonts w:hint="eastAsia" w:ascii="宋体" w:hAnsi="宋体"/>
          <w:b/>
          <w:bCs/>
        </w:rPr>
        <w:t>（图1.1-1长汀县区位图）</w:t>
      </w:r>
    </w:p>
    <w:p w14:paraId="212D5095">
      <w:pPr>
        <w:pStyle w:val="4"/>
        <w:numPr>
          <w:ilvl w:val="2"/>
          <w:numId w:val="2"/>
        </w:numPr>
        <w:rPr>
          <w:rFonts w:ascii="宋体" w:hAnsi="宋体"/>
          <w:color w:val="auto"/>
        </w:rPr>
      </w:pPr>
      <w:r>
        <w:rPr>
          <w:rFonts w:hint="eastAsia" w:ascii="宋体" w:hAnsi="宋体"/>
          <w:color w:val="auto"/>
        </w:rPr>
        <w:t>地形地貌</w:t>
      </w:r>
    </w:p>
    <w:p w14:paraId="62791DF9">
      <w:pPr>
        <w:ind w:firstLine="565" w:firstLineChars="202"/>
        <w:rPr>
          <w:rFonts w:ascii="宋体" w:hAnsi="宋体"/>
        </w:rPr>
      </w:pPr>
      <w:r>
        <w:rPr>
          <w:rFonts w:hint="eastAsia" w:ascii="宋体" w:hAnsi="宋体"/>
        </w:rPr>
        <w:t>长汀县雄踞武夷山南段，境内山脉如龙，其支脉纵横交错，向腹地蜿蜒伸展，共同塑造了全县“东、西、北三面高耸，中、南部低洼，整体自北向南倾斜”的宏观地势。这里山岭逶迤，峰峦叠嶂，西部以低山为主要骨架，而东部与北部则多为中山盘踞，连绵的山体共同构成一道天然屏障，拱卫着这片土地。全县千米高峰有19座，境内最高峰是铁长乡大悲山，海拔1243m；全县最高点是童坊与连城交界的石壁岽，海拔1459m；最低点是古城河口、汀江河口，海拔238m，高低差达1221m。</w:t>
      </w:r>
    </w:p>
    <w:p w14:paraId="5B7FBBFD">
      <w:pPr>
        <w:ind w:firstLine="565" w:firstLineChars="202"/>
        <w:rPr>
          <w:rFonts w:ascii="宋体" w:hAnsi="宋体"/>
        </w:rPr>
      </w:pPr>
      <w:r>
        <w:rPr>
          <w:rFonts w:hint="eastAsia" w:ascii="宋体" w:hAnsi="宋体"/>
        </w:rPr>
        <w:t>长汀属于低山丘陵区，其境内地貌呈现出典型的多元结构，可细分为中山、低山、丘陵、盆地与阶地五大类型。其中，低山与丘陵是绝对的主体，二者合计占全县总面积的71%，广泛分布于河流谷地与中山的过渡地带，构成层次丰富的景观序列；盆地主要沿汀江及其支流两侧分布，海拔在250至300米之间，地势平缓，土壤肥沃，成为全县最重要的农耕区与人口聚集地，总面积20433</w:t>
      </w:r>
      <w:r>
        <w:rPr>
          <w:rFonts w:ascii="宋体" w:hAnsi="宋体"/>
        </w:rPr>
        <w:t>h</w:t>
      </w:r>
      <w:r>
        <w:rPr>
          <w:rFonts w:hint="eastAsia" w:ascii="宋体" w:hAnsi="宋体"/>
        </w:rPr>
        <w:t>m²，约占全县的6.6%；阶地主要分布在汀江、濯田水口一带，分布面积较小。总体而言，长汀县地形破碎，格局复杂，山岭与河谷相间排列，丘陵与山体相互嵌套，使得平坦之地多呈狭长状，盆地与谷地交错分布，共同构成了一幅岭谷相间、山盆交织的立体地理画卷。</w:t>
      </w:r>
    </w:p>
    <w:p w14:paraId="4E5BAD47">
      <w:pPr>
        <w:pStyle w:val="4"/>
        <w:numPr>
          <w:ilvl w:val="2"/>
          <w:numId w:val="2"/>
        </w:numPr>
        <w:rPr>
          <w:rFonts w:ascii="宋体" w:hAnsi="宋体"/>
          <w:color w:val="auto"/>
        </w:rPr>
      </w:pPr>
      <w:r>
        <w:rPr>
          <w:rFonts w:hint="eastAsia" w:ascii="宋体" w:hAnsi="宋体"/>
          <w:color w:val="auto"/>
        </w:rPr>
        <w:t>水文气象</w:t>
      </w:r>
    </w:p>
    <w:p w14:paraId="2E136ADD">
      <w:pPr>
        <w:ind w:firstLine="565" w:firstLineChars="202"/>
        <w:rPr>
          <w:rFonts w:ascii="宋体" w:hAnsi="宋体"/>
        </w:rPr>
      </w:pPr>
      <w:r>
        <w:rPr>
          <w:rFonts w:hint="eastAsia" w:ascii="宋体" w:hAnsi="宋体"/>
        </w:rPr>
        <w:t>长汀县地处中亚热带季风气候区，具有温和湿润的亚热带季风气候特征。夏季盛行偏南风，冬季盛行偏北风，冬夏季风环流转换，形成夏长冬短、春秋对峙、垂直气候明显、干湿两季分明和灾害性气候较多的气候特点。</w:t>
      </w:r>
    </w:p>
    <w:p w14:paraId="39F7739B">
      <w:pPr>
        <w:ind w:firstLine="565" w:firstLineChars="202"/>
        <w:rPr>
          <w:rFonts w:ascii="宋体" w:hAnsi="宋体"/>
        </w:rPr>
      </w:pPr>
      <w:r>
        <w:rPr>
          <w:rFonts w:hint="eastAsia" w:ascii="宋体" w:hAnsi="宋体"/>
        </w:rPr>
        <w:t>全县年平均气温15～19°C，极端最高气温出现于2003年7月23日39.5°C，极端最低气温出现于1999年12月23日零下8°C，无霜期年平均260天，平均日照时数1924.6h，年平均蒸发量1443.8mm。</w:t>
      </w:r>
    </w:p>
    <w:p w14:paraId="651ADA8C">
      <w:pPr>
        <w:ind w:firstLine="565" w:firstLineChars="202"/>
        <w:rPr>
          <w:rFonts w:ascii="宋体" w:hAnsi="宋体"/>
        </w:rPr>
      </w:pPr>
      <w:r>
        <w:rPr>
          <w:rFonts w:hint="eastAsia" w:ascii="宋体" w:hAnsi="宋体"/>
        </w:rPr>
        <w:t>全县多年平均降水量</w:t>
      </w:r>
      <w:r>
        <w:rPr>
          <w:rFonts w:ascii="宋体" w:hAnsi="宋体"/>
        </w:rPr>
        <w:t>1708.4</w:t>
      </w:r>
      <w:r>
        <w:rPr>
          <w:rFonts w:hint="eastAsia" w:ascii="宋体" w:hAnsi="宋体"/>
        </w:rPr>
        <w:t>mm，年降水量最大2467.6mm，年降水量最小1096mm。年降雨量北多南少，四周多中间少，雨量等值线与山脉走向一致。北部铁长、庵杰等多雨地带年雨量1800～2000mm；河田、策武等相对少雨地带年雨量1500～1600mm。降雨量年内分布不均，3～4月平均雨量380mm，占年雨量21.9%，1973年多达720mm，发生早期洪水，1971年仅降水95mm，春旱严重；5～6月为主要降水月份，季均雨量645.3mm，占年雨量39.1%，阴雨绵绵、洪涝不断；7～9月雨量大减，季均雨量389.5mm，占年雨量22.4%，全季雨量主要为台风雨；10月至次年2月，季平均雨量322.3mm，占年雨量18.6%，干季历时5个月，干燥少雨，多霜少雪。</w:t>
      </w:r>
    </w:p>
    <w:p w14:paraId="523F1383">
      <w:pPr>
        <w:pStyle w:val="4"/>
        <w:numPr>
          <w:ilvl w:val="2"/>
          <w:numId w:val="2"/>
        </w:numPr>
        <w:rPr>
          <w:rFonts w:ascii="宋体" w:hAnsi="宋体"/>
          <w:color w:val="auto"/>
        </w:rPr>
      </w:pPr>
      <w:r>
        <w:rPr>
          <w:rFonts w:hint="eastAsia" w:ascii="宋体" w:hAnsi="宋体"/>
          <w:color w:val="auto"/>
        </w:rPr>
        <w:t>土壤植被</w:t>
      </w:r>
    </w:p>
    <w:p w14:paraId="58DC5C95">
      <w:pPr>
        <w:ind w:firstLine="565" w:firstLineChars="202"/>
        <w:rPr>
          <w:rFonts w:ascii="宋体" w:hAnsi="宋体"/>
        </w:rPr>
      </w:pPr>
      <w:r>
        <w:rPr>
          <w:rFonts w:hint="eastAsia" w:ascii="宋体" w:hAnsi="宋体"/>
        </w:rPr>
        <w:t>长汀县土壤有红壤、黄壤、紫色土、石灰（岩）土、草甸土、潮土、水稻土七个土类，十六个土属，其中，红壤为县内主要土壤资源，分布广，面积大，占土地总面积的79.8%。成土母岩主要有花岗岩、砂质岩、泥质岩、酸性岩类等；成土母质主要有残坡积、洪积、冲积土。山地土壤成土母质多为残积和坡积土。农业土壤成土母质多为冲积和洪积土。</w:t>
      </w:r>
    </w:p>
    <w:p w14:paraId="18D8B1B9">
      <w:pPr>
        <w:ind w:firstLine="565" w:firstLineChars="202"/>
        <w:rPr>
          <w:rFonts w:ascii="宋体" w:hAnsi="宋体"/>
        </w:rPr>
      </w:pPr>
      <w:r>
        <w:rPr>
          <w:rFonts w:hint="eastAsia" w:ascii="宋体" w:hAnsi="宋体"/>
        </w:rPr>
        <w:t>长汀县森林植被区划为中亚热带常绿阔叶林地带，属闽西博平岭山地常绿槠类照叶林小区，低山丘陵温和常绿甜槠照叶林地段，森林覆盖率为79.55%。现有植被主要为马尾松、杉木、毛竹、灌丛次生林植被和人工植被。林下植被主要有胡枝子、黄瑞木和芒萁，另有小叶赤楠、石斑木等少量灌木。部分水土流失严重的地段灌草覆盖度较低。</w:t>
      </w:r>
    </w:p>
    <w:p w14:paraId="4C26C7C5">
      <w:pPr>
        <w:pStyle w:val="4"/>
        <w:numPr>
          <w:ilvl w:val="2"/>
          <w:numId w:val="2"/>
        </w:numPr>
        <w:rPr>
          <w:rFonts w:ascii="宋体" w:hAnsi="宋体"/>
          <w:color w:val="auto"/>
        </w:rPr>
      </w:pPr>
      <w:r>
        <w:rPr>
          <w:rFonts w:hint="eastAsia" w:ascii="宋体" w:hAnsi="宋体"/>
          <w:color w:val="auto"/>
        </w:rPr>
        <w:t>河流水系</w:t>
      </w:r>
    </w:p>
    <w:p w14:paraId="06CAA7F0">
      <w:pPr>
        <w:ind w:firstLine="565" w:firstLineChars="202"/>
        <w:rPr>
          <w:rFonts w:ascii="宋体" w:hAnsi="宋体"/>
        </w:rPr>
      </w:pPr>
      <w:r>
        <w:rPr>
          <w:rFonts w:hint="eastAsia" w:ascii="宋体" w:hAnsi="宋体"/>
        </w:rPr>
        <w:t>长汀县河流众多，水系发达，境内主要有汀江、古城河和童坊河等大小27条河流，分属汀江、赣江、闽江三个水系。汀江水系境内流域面积为2602km²，占全县总面积的83.8%；闽江水系境内流域面积为375km²，占全县总面积的12.1%；赣江水系境内流域面积为129km²，占全县总面积的4.1%。</w:t>
      </w:r>
    </w:p>
    <w:p w14:paraId="3F477A23">
      <w:pPr>
        <w:rPr>
          <w:rFonts w:ascii="宋体" w:hAnsi="宋体"/>
          <w:b/>
          <w:bCs/>
        </w:rPr>
      </w:pPr>
      <w:r>
        <w:rPr>
          <w:rFonts w:hint="eastAsia" w:ascii="宋体" w:hAnsi="宋体"/>
          <w:b/>
          <w:bCs/>
        </w:rPr>
        <w:t>表1.1-1              长汀县主要河流统计表</w:t>
      </w:r>
    </w:p>
    <w:tbl>
      <w:tblPr>
        <w:tblStyle w:val="30"/>
        <w:tblW w:w="5000" w:type="pct"/>
        <w:tblInd w:w="0" w:type="dxa"/>
        <w:tblLayout w:type="autofit"/>
        <w:tblCellMar>
          <w:top w:w="0" w:type="dxa"/>
          <w:left w:w="108" w:type="dxa"/>
          <w:bottom w:w="0" w:type="dxa"/>
          <w:right w:w="108" w:type="dxa"/>
        </w:tblCellMar>
      </w:tblPr>
      <w:tblGrid>
        <w:gridCol w:w="869"/>
        <w:gridCol w:w="1019"/>
        <w:gridCol w:w="1019"/>
        <w:gridCol w:w="1019"/>
        <w:gridCol w:w="1166"/>
        <w:gridCol w:w="1164"/>
        <w:gridCol w:w="1019"/>
        <w:gridCol w:w="1247"/>
      </w:tblGrid>
      <w:tr w14:paraId="2220F57A">
        <w:tblPrEx>
          <w:tblCellMar>
            <w:top w:w="0" w:type="dxa"/>
            <w:left w:w="108" w:type="dxa"/>
            <w:bottom w:w="0" w:type="dxa"/>
            <w:right w:w="108" w:type="dxa"/>
          </w:tblCellMar>
        </w:tblPrEx>
        <w:trPr>
          <w:trHeight w:val="402" w:hRule="atLeast"/>
        </w:trPr>
        <w:tc>
          <w:tcPr>
            <w:tcW w:w="2988" w:type="pct"/>
            <w:gridSpan w:val="5"/>
            <w:tcBorders>
              <w:top w:val="single" w:color="auto" w:sz="4" w:space="0"/>
              <w:left w:val="single" w:color="auto" w:sz="4" w:space="0"/>
              <w:bottom w:val="single" w:color="auto" w:sz="4" w:space="0"/>
              <w:right w:val="single" w:color="auto" w:sz="4" w:space="0"/>
            </w:tcBorders>
            <w:vAlign w:val="center"/>
          </w:tcPr>
          <w:p w14:paraId="342578F1">
            <w:pPr>
              <w:widowControl/>
              <w:spacing w:line="240" w:lineRule="auto"/>
              <w:jc w:val="center"/>
              <w:rPr>
                <w:rFonts w:ascii="宋体" w:hAnsi="宋体" w:cs="宋体"/>
                <w:kern w:val="0"/>
                <w:sz w:val="21"/>
                <w:szCs w:val="21"/>
              </w:rPr>
            </w:pPr>
            <w:r>
              <w:rPr>
                <w:rFonts w:hint="eastAsia" w:ascii="宋体" w:hAnsi="宋体" w:cs="宋体"/>
                <w:kern w:val="0"/>
                <w:sz w:val="21"/>
                <w:szCs w:val="21"/>
              </w:rPr>
              <w:t>河流名称</w:t>
            </w:r>
          </w:p>
        </w:tc>
        <w:tc>
          <w:tcPr>
            <w:tcW w:w="683" w:type="pct"/>
            <w:vMerge w:val="restart"/>
            <w:tcBorders>
              <w:top w:val="single" w:color="auto" w:sz="4" w:space="0"/>
              <w:left w:val="single" w:color="auto" w:sz="4" w:space="0"/>
              <w:bottom w:val="single" w:color="000000" w:sz="4" w:space="0"/>
              <w:right w:val="single" w:color="auto" w:sz="4" w:space="0"/>
            </w:tcBorders>
            <w:vAlign w:val="center"/>
          </w:tcPr>
          <w:p w14:paraId="1C9D826E">
            <w:pPr>
              <w:widowControl/>
              <w:spacing w:line="240" w:lineRule="auto"/>
              <w:jc w:val="center"/>
              <w:rPr>
                <w:rFonts w:ascii="宋体" w:hAnsi="宋体" w:cs="宋体"/>
                <w:kern w:val="0"/>
                <w:sz w:val="21"/>
                <w:szCs w:val="21"/>
              </w:rPr>
            </w:pPr>
            <w:r>
              <w:rPr>
                <w:rFonts w:hint="eastAsia" w:ascii="宋体" w:hAnsi="宋体" w:cs="宋体"/>
                <w:kern w:val="0"/>
                <w:sz w:val="21"/>
                <w:szCs w:val="21"/>
              </w:rPr>
              <w:t>流域面积（km</w:t>
            </w:r>
            <w:r>
              <w:rPr>
                <w:rFonts w:hint="eastAsia" w:ascii="宋体" w:hAnsi="宋体" w:cs="宋体"/>
                <w:kern w:val="0"/>
                <w:sz w:val="21"/>
                <w:szCs w:val="21"/>
                <w:vertAlign w:val="superscript"/>
              </w:rPr>
              <w:t>2</w:t>
            </w:r>
            <w:r>
              <w:rPr>
                <w:rFonts w:hint="eastAsia" w:ascii="宋体" w:hAnsi="宋体" w:cs="宋体"/>
                <w:kern w:val="0"/>
                <w:sz w:val="21"/>
                <w:szCs w:val="21"/>
              </w:rPr>
              <w:t>）</w:t>
            </w:r>
          </w:p>
        </w:tc>
        <w:tc>
          <w:tcPr>
            <w:tcW w:w="598" w:type="pct"/>
            <w:vMerge w:val="restart"/>
            <w:tcBorders>
              <w:top w:val="single" w:color="auto" w:sz="4" w:space="0"/>
              <w:left w:val="single" w:color="auto" w:sz="4" w:space="0"/>
              <w:bottom w:val="single" w:color="000000" w:sz="4" w:space="0"/>
              <w:right w:val="single" w:color="auto" w:sz="4" w:space="0"/>
            </w:tcBorders>
            <w:vAlign w:val="center"/>
          </w:tcPr>
          <w:p w14:paraId="61A1775F">
            <w:pPr>
              <w:widowControl/>
              <w:spacing w:line="240" w:lineRule="auto"/>
              <w:jc w:val="center"/>
              <w:rPr>
                <w:rFonts w:ascii="宋体" w:hAnsi="宋体" w:cs="宋体"/>
                <w:kern w:val="0"/>
                <w:sz w:val="21"/>
                <w:szCs w:val="21"/>
              </w:rPr>
            </w:pPr>
            <w:r>
              <w:rPr>
                <w:rFonts w:hint="eastAsia" w:ascii="宋体" w:hAnsi="宋体" w:cs="宋体"/>
                <w:kern w:val="0"/>
                <w:sz w:val="21"/>
                <w:szCs w:val="21"/>
              </w:rPr>
              <w:t>河长（km）</w:t>
            </w:r>
          </w:p>
        </w:tc>
        <w:tc>
          <w:tcPr>
            <w:tcW w:w="731" w:type="pct"/>
            <w:vMerge w:val="restart"/>
            <w:tcBorders>
              <w:top w:val="single" w:color="auto" w:sz="4" w:space="0"/>
              <w:left w:val="single" w:color="auto" w:sz="4" w:space="0"/>
              <w:bottom w:val="single" w:color="000000" w:sz="4" w:space="0"/>
              <w:right w:val="single" w:color="auto" w:sz="4" w:space="0"/>
            </w:tcBorders>
            <w:vAlign w:val="center"/>
          </w:tcPr>
          <w:p w14:paraId="0A6D674F">
            <w:pPr>
              <w:widowControl/>
              <w:spacing w:line="240" w:lineRule="auto"/>
              <w:jc w:val="center"/>
              <w:rPr>
                <w:rFonts w:ascii="宋体" w:hAnsi="宋体" w:cs="宋体"/>
                <w:kern w:val="0"/>
                <w:sz w:val="21"/>
                <w:szCs w:val="21"/>
              </w:rPr>
            </w:pPr>
            <w:r>
              <w:rPr>
                <w:rFonts w:hint="eastAsia" w:ascii="宋体" w:hAnsi="宋体" w:cs="宋体"/>
                <w:kern w:val="0"/>
                <w:sz w:val="21"/>
                <w:szCs w:val="21"/>
              </w:rPr>
              <w:t>备注</w:t>
            </w:r>
          </w:p>
        </w:tc>
      </w:tr>
      <w:tr w14:paraId="70F66A20">
        <w:tblPrEx>
          <w:tblCellMar>
            <w:top w:w="0" w:type="dxa"/>
            <w:left w:w="108" w:type="dxa"/>
            <w:bottom w:w="0" w:type="dxa"/>
            <w:right w:w="108" w:type="dxa"/>
          </w:tblCellMar>
        </w:tblPrEx>
        <w:trPr>
          <w:trHeight w:val="402" w:hRule="atLeast"/>
        </w:trPr>
        <w:tc>
          <w:tcPr>
            <w:tcW w:w="510" w:type="pct"/>
            <w:vMerge w:val="restart"/>
            <w:tcBorders>
              <w:top w:val="nil"/>
              <w:left w:val="single" w:color="auto" w:sz="4" w:space="0"/>
              <w:bottom w:val="single" w:color="auto" w:sz="4" w:space="0"/>
              <w:right w:val="single" w:color="auto" w:sz="4" w:space="0"/>
            </w:tcBorders>
            <w:vAlign w:val="center"/>
          </w:tcPr>
          <w:p w14:paraId="65761080">
            <w:pPr>
              <w:widowControl/>
              <w:spacing w:line="240" w:lineRule="auto"/>
              <w:jc w:val="center"/>
              <w:rPr>
                <w:rFonts w:ascii="宋体" w:hAnsi="宋体" w:cs="宋体"/>
                <w:kern w:val="0"/>
                <w:sz w:val="21"/>
                <w:szCs w:val="21"/>
              </w:rPr>
            </w:pPr>
            <w:r>
              <w:rPr>
                <w:rFonts w:hint="eastAsia" w:ascii="宋体" w:hAnsi="宋体" w:cs="宋体"/>
                <w:kern w:val="0"/>
                <w:sz w:val="21"/>
                <w:szCs w:val="21"/>
              </w:rPr>
              <w:t>干流</w:t>
            </w:r>
          </w:p>
        </w:tc>
        <w:tc>
          <w:tcPr>
            <w:tcW w:w="2478" w:type="pct"/>
            <w:gridSpan w:val="4"/>
            <w:tcBorders>
              <w:top w:val="single" w:color="auto" w:sz="4" w:space="0"/>
              <w:left w:val="nil"/>
              <w:bottom w:val="single" w:color="auto" w:sz="4" w:space="0"/>
              <w:right w:val="single" w:color="auto" w:sz="4" w:space="0"/>
            </w:tcBorders>
            <w:vAlign w:val="center"/>
          </w:tcPr>
          <w:p w14:paraId="7D63EDC4">
            <w:pPr>
              <w:widowControl/>
              <w:spacing w:line="240" w:lineRule="auto"/>
              <w:jc w:val="center"/>
              <w:rPr>
                <w:rFonts w:ascii="宋体" w:hAnsi="宋体" w:cs="宋体"/>
                <w:kern w:val="0"/>
                <w:sz w:val="21"/>
                <w:szCs w:val="21"/>
              </w:rPr>
            </w:pPr>
            <w:r>
              <w:rPr>
                <w:rFonts w:hint="eastAsia" w:ascii="宋体" w:hAnsi="宋体" w:cs="宋体"/>
                <w:kern w:val="0"/>
                <w:sz w:val="21"/>
                <w:szCs w:val="21"/>
              </w:rPr>
              <w:t>支流</w:t>
            </w:r>
          </w:p>
        </w:tc>
        <w:tc>
          <w:tcPr>
            <w:tcW w:w="683" w:type="pct"/>
            <w:vMerge w:val="continue"/>
            <w:tcBorders>
              <w:top w:val="single" w:color="auto" w:sz="4" w:space="0"/>
              <w:left w:val="single" w:color="auto" w:sz="4" w:space="0"/>
              <w:bottom w:val="single" w:color="000000" w:sz="4" w:space="0"/>
              <w:right w:val="single" w:color="auto" w:sz="4" w:space="0"/>
            </w:tcBorders>
            <w:vAlign w:val="center"/>
          </w:tcPr>
          <w:p w14:paraId="7DA56E49">
            <w:pPr>
              <w:widowControl/>
              <w:spacing w:line="240" w:lineRule="auto"/>
              <w:jc w:val="left"/>
              <w:rPr>
                <w:rFonts w:ascii="宋体" w:hAnsi="宋体" w:cs="宋体"/>
                <w:kern w:val="0"/>
                <w:sz w:val="21"/>
                <w:szCs w:val="21"/>
              </w:rPr>
            </w:pPr>
          </w:p>
        </w:tc>
        <w:tc>
          <w:tcPr>
            <w:tcW w:w="598" w:type="pct"/>
            <w:vMerge w:val="continue"/>
            <w:tcBorders>
              <w:top w:val="single" w:color="auto" w:sz="4" w:space="0"/>
              <w:left w:val="single" w:color="auto" w:sz="4" w:space="0"/>
              <w:bottom w:val="single" w:color="000000" w:sz="4" w:space="0"/>
              <w:right w:val="single" w:color="auto" w:sz="4" w:space="0"/>
            </w:tcBorders>
            <w:vAlign w:val="center"/>
          </w:tcPr>
          <w:p w14:paraId="4E84F0E9">
            <w:pPr>
              <w:widowControl/>
              <w:spacing w:line="240" w:lineRule="auto"/>
              <w:jc w:val="left"/>
              <w:rPr>
                <w:rFonts w:ascii="宋体" w:hAnsi="宋体" w:cs="宋体"/>
                <w:kern w:val="0"/>
                <w:sz w:val="21"/>
                <w:szCs w:val="21"/>
              </w:rPr>
            </w:pPr>
          </w:p>
        </w:tc>
        <w:tc>
          <w:tcPr>
            <w:tcW w:w="731" w:type="pct"/>
            <w:vMerge w:val="continue"/>
            <w:tcBorders>
              <w:top w:val="single" w:color="auto" w:sz="4" w:space="0"/>
              <w:left w:val="single" w:color="auto" w:sz="4" w:space="0"/>
              <w:bottom w:val="single" w:color="000000" w:sz="4" w:space="0"/>
              <w:right w:val="single" w:color="auto" w:sz="4" w:space="0"/>
            </w:tcBorders>
            <w:vAlign w:val="center"/>
          </w:tcPr>
          <w:p w14:paraId="5D1B075D">
            <w:pPr>
              <w:widowControl/>
              <w:spacing w:line="240" w:lineRule="auto"/>
              <w:jc w:val="left"/>
              <w:rPr>
                <w:rFonts w:ascii="宋体" w:hAnsi="宋体" w:cs="宋体"/>
                <w:kern w:val="0"/>
                <w:sz w:val="21"/>
                <w:szCs w:val="21"/>
              </w:rPr>
            </w:pPr>
          </w:p>
        </w:tc>
      </w:tr>
      <w:tr w14:paraId="589F6789">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38524AAE">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4807D532">
            <w:pPr>
              <w:widowControl/>
              <w:spacing w:line="240" w:lineRule="auto"/>
              <w:jc w:val="center"/>
              <w:rPr>
                <w:rFonts w:ascii="宋体" w:hAnsi="宋体" w:cs="宋体"/>
                <w:kern w:val="0"/>
                <w:sz w:val="21"/>
                <w:szCs w:val="21"/>
              </w:rPr>
            </w:pPr>
            <w:r>
              <w:rPr>
                <w:rFonts w:hint="eastAsia" w:ascii="宋体" w:hAnsi="宋体" w:cs="宋体"/>
                <w:kern w:val="0"/>
                <w:sz w:val="21"/>
                <w:szCs w:val="21"/>
              </w:rPr>
              <w:t>1级</w:t>
            </w:r>
          </w:p>
        </w:tc>
        <w:tc>
          <w:tcPr>
            <w:tcW w:w="598" w:type="pct"/>
            <w:tcBorders>
              <w:top w:val="nil"/>
              <w:left w:val="nil"/>
              <w:bottom w:val="single" w:color="auto" w:sz="4" w:space="0"/>
              <w:right w:val="single" w:color="auto" w:sz="4" w:space="0"/>
            </w:tcBorders>
            <w:vAlign w:val="center"/>
          </w:tcPr>
          <w:p w14:paraId="6F8AACCA">
            <w:pPr>
              <w:widowControl/>
              <w:spacing w:line="240" w:lineRule="auto"/>
              <w:jc w:val="center"/>
              <w:rPr>
                <w:rFonts w:ascii="宋体" w:hAnsi="宋体" w:cs="宋体"/>
                <w:kern w:val="0"/>
                <w:sz w:val="21"/>
                <w:szCs w:val="21"/>
              </w:rPr>
            </w:pPr>
            <w:r>
              <w:rPr>
                <w:rFonts w:hint="eastAsia" w:ascii="宋体" w:hAnsi="宋体" w:cs="宋体"/>
                <w:kern w:val="0"/>
                <w:sz w:val="21"/>
                <w:szCs w:val="21"/>
              </w:rPr>
              <w:t>2级</w:t>
            </w:r>
          </w:p>
        </w:tc>
        <w:tc>
          <w:tcPr>
            <w:tcW w:w="598" w:type="pct"/>
            <w:tcBorders>
              <w:top w:val="nil"/>
              <w:left w:val="nil"/>
              <w:bottom w:val="single" w:color="auto" w:sz="4" w:space="0"/>
              <w:right w:val="single" w:color="auto" w:sz="4" w:space="0"/>
            </w:tcBorders>
            <w:vAlign w:val="center"/>
          </w:tcPr>
          <w:p w14:paraId="3613A21E">
            <w:pPr>
              <w:widowControl/>
              <w:spacing w:line="240" w:lineRule="auto"/>
              <w:jc w:val="center"/>
              <w:rPr>
                <w:rFonts w:ascii="宋体" w:hAnsi="宋体" w:cs="宋体"/>
                <w:kern w:val="0"/>
                <w:sz w:val="21"/>
                <w:szCs w:val="21"/>
              </w:rPr>
            </w:pPr>
            <w:r>
              <w:rPr>
                <w:rFonts w:hint="eastAsia" w:ascii="宋体" w:hAnsi="宋体" w:cs="宋体"/>
                <w:kern w:val="0"/>
                <w:sz w:val="21"/>
                <w:szCs w:val="21"/>
              </w:rPr>
              <w:t>3级</w:t>
            </w:r>
          </w:p>
        </w:tc>
        <w:tc>
          <w:tcPr>
            <w:tcW w:w="684" w:type="pct"/>
            <w:tcBorders>
              <w:top w:val="nil"/>
              <w:left w:val="nil"/>
              <w:bottom w:val="single" w:color="auto" w:sz="4" w:space="0"/>
              <w:right w:val="single" w:color="auto" w:sz="4" w:space="0"/>
            </w:tcBorders>
            <w:vAlign w:val="center"/>
          </w:tcPr>
          <w:p w14:paraId="2A3F1F8F">
            <w:pPr>
              <w:widowControl/>
              <w:spacing w:line="240" w:lineRule="auto"/>
              <w:jc w:val="center"/>
              <w:rPr>
                <w:rFonts w:ascii="宋体" w:hAnsi="宋体" w:cs="宋体"/>
                <w:kern w:val="0"/>
                <w:sz w:val="21"/>
                <w:szCs w:val="21"/>
              </w:rPr>
            </w:pPr>
            <w:r>
              <w:rPr>
                <w:rFonts w:hint="eastAsia" w:ascii="宋体" w:hAnsi="宋体" w:cs="宋体"/>
                <w:kern w:val="0"/>
                <w:sz w:val="21"/>
                <w:szCs w:val="21"/>
              </w:rPr>
              <w:t>4级</w:t>
            </w:r>
          </w:p>
        </w:tc>
        <w:tc>
          <w:tcPr>
            <w:tcW w:w="683" w:type="pct"/>
            <w:vMerge w:val="continue"/>
            <w:tcBorders>
              <w:top w:val="single" w:color="auto" w:sz="4" w:space="0"/>
              <w:left w:val="single" w:color="auto" w:sz="4" w:space="0"/>
              <w:bottom w:val="single" w:color="000000" w:sz="4" w:space="0"/>
              <w:right w:val="single" w:color="auto" w:sz="4" w:space="0"/>
            </w:tcBorders>
            <w:vAlign w:val="center"/>
          </w:tcPr>
          <w:p w14:paraId="52AA6F70">
            <w:pPr>
              <w:widowControl/>
              <w:spacing w:line="240" w:lineRule="auto"/>
              <w:jc w:val="left"/>
              <w:rPr>
                <w:rFonts w:ascii="宋体" w:hAnsi="宋体" w:cs="宋体"/>
                <w:kern w:val="0"/>
                <w:sz w:val="21"/>
                <w:szCs w:val="21"/>
              </w:rPr>
            </w:pPr>
          </w:p>
        </w:tc>
        <w:tc>
          <w:tcPr>
            <w:tcW w:w="598" w:type="pct"/>
            <w:vMerge w:val="continue"/>
            <w:tcBorders>
              <w:top w:val="single" w:color="auto" w:sz="4" w:space="0"/>
              <w:left w:val="single" w:color="auto" w:sz="4" w:space="0"/>
              <w:bottom w:val="single" w:color="000000" w:sz="4" w:space="0"/>
              <w:right w:val="single" w:color="auto" w:sz="4" w:space="0"/>
            </w:tcBorders>
            <w:vAlign w:val="center"/>
          </w:tcPr>
          <w:p w14:paraId="6F820842">
            <w:pPr>
              <w:widowControl/>
              <w:spacing w:line="240" w:lineRule="auto"/>
              <w:jc w:val="left"/>
              <w:rPr>
                <w:rFonts w:ascii="宋体" w:hAnsi="宋体" w:cs="宋体"/>
                <w:kern w:val="0"/>
                <w:sz w:val="21"/>
                <w:szCs w:val="21"/>
              </w:rPr>
            </w:pPr>
          </w:p>
        </w:tc>
        <w:tc>
          <w:tcPr>
            <w:tcW w:w="731" w:type="pct"/>
            <w:vMerge w:val="continue"/>
            <w:tcBorders>
              <w:top w:val="single" w:color="auto" w:sz="4" w:space="0"/>
              <w:left w:val="single" w:color="auto" w:sz="4" w:space="0"/>
              <w:bottom w:val="single" w:color="000000" w:sz="4" w:space="0"/>
              <w:right w:val="single" w:color="auto" w:sz="4" w:space="0"/>
            </w:tcBorders>
            <w:vAlign w:val="center"/>
          </w:tcPr>
          <w:p w14:paraId="6A83AD62">
            <w:pPr>
              <w:widowControl/>
              <w:spacing w:line="240" w:lineRule="auto"/>
              <w:jc w:val="left"/>
              <w:rPr>
                <w:rFonts w:ascii="宋体" w:hAnsi="宋体" w:cs="宋体"/>
                <w:kern w:val="0"/>
                <w:sz w:val="21"/>
                <w:szCs w:val="21"/>
              </w:rPr>
            </w:pPr>
          </w:p>
        </w:tc>
      </w:tr>
      <w:tr w14:paraId="53C2DE89">
        <w:tblPrEx>
          <w:tblCellMar>
            <w:top w:w="0" w:type="dxa"/>
            <w:left w:w="108" w:type="dxa"/>
            <w:bottom w:w="0" w:type="dxa"/>
            <w:right w:w="108" w:type="dxa"/>
          </w:tblCellMar>
        </w:tblPrEx>
        <w:trPr>
          <w:trHeight w:val="402" w:hRule="atLeast"/>
        </w:trPr>
        <w:tc>
          <w:tcPr>
            <w:tcW w:w="510" w:type="pct"/>
            <w:vMerge w:val="restart"/>
            <w:tcBorders>
              <w:top w:val="nil"/>
              <w:left w:val="single" w:color="auto" w:sz="4" w:space="0"/>
              <w:bottom w:val="single" w:color="auto" w:sz="4" w:space="0"/>
              <w:right w:val="single" w:color="auto" w:sz="4" w:space="0"/>
            </w:tcBorders>
            <w:vAlign w:val="center"/>
          </w:tcPr>
          <w:p w14:paraId="7653D1ED">
            <w:pPr>
              <w:widowControl/>
              <w:spacing w:line="240" w:lineRule="auto"/>
              <w:jc w:val="center"/>
              <w:rPr>
                <w:rFonts w:ascii="宋体" w:hAnsi="宋体" w:cs="宋体"/>
                <w:kern w:val="0"/>
                <w:sz w:val="21"/>
                <w:szCs w:val="21"/>
              </w:rPr>
            </w:pPr>
            <w:r>
              <w:rPr>
                <w:rFonts w:hint="eastAsia" w:ascii="宋体" w:hAnsi="宋体" w:cs="宋体"/>
                <w:kern w:val="0"/>
                <w:sz w:val="21"/>
                <w:szCs w:val="21"/>
              </w:rPr>
              <w:t>汀江</w:t>
            </w:r>
          </w:p>
        </w:tc>
        <w:tc>
          <w:tcPr>
            <w:tcW w:w="598" w:type="pct"/>
            <w:tcBorders>
              <w:top w:val="nil"/>
              <w:left w:val="nil"/>
              <w:bottom w:val="single" w:color="auto" w:sz="4" w:space="0"/>
              <w:right w:val="single" w:color="auto" w:sz="4" w:space="0"/>
            </w:tcBorders>
            <w:vAlign w:val="center"/>
          </w:tcPr>
          <w:p w14:paraId="08A9652A">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659ABDAB">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C6B38E9">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38734326">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38E3D010">
            <w:pPr>
              <w:widowControl/>
              <w:spacing w:line="240" w:lineRule="auto"/>
              <w:jc w:val="center"/>
              <w:rPr>
                <w:rFonts w:ascii="宋体" w:hAnsi="宋体" w:cs="宋体"/>
                <w:kern w:val="0"/>
                <w:sz w:val="21"/>
                <w:szCs w:val="21"/>
              </w:rPr>
            </w:pPr>
            <w:r>
              <w:rPr>
                <w:rFonts w:hint="eastAsia" w:ascii="宋体" w:hAnsi="宋体" w:cs="宋体"/>
                <w:kern w:val="0"/>
                <w:sz w:val="21"/>
                <w:szCs w:val="21"/>
              </w:rPr>
              <w:t>2602</w:t>
            </w:r>
          </w:p>
        </w:tc>
        <w:tc>
          <w:tcPr>
            <w:tcW w:w="598" w:type="pct"/>
            <w:tcBorders>
              <w:top w:val="nil"/>
              <w:left w:val="nil"/>
              <w:bottom w:val="single" w:color="auto" w:sz="4" w:space="0"/>
              <w:right w:val="single" w:color="auto" w:sz="4" w:space="0"/>
            </w:tcBorders>
            <w:vAlign w:val="center"/>
          </w:tcPr>
          <w:p w14:paraId="16B1C5B0">
            <w:pPr>
              <w:widowControl/>
              <w:spacing w:line="240" w:lineRule="auto"/>
              <w:jc w:val="center"/>
              <w:rPr>
                <w:rFonts w:ascii="宋体" w:hAnsi="宋体" w:cs="宋体"/>
                <w:kern w:val="0"/>
                <w:sz w:val="21"/>
                <w:szCs w:val="21"/>
              </w:rPr>
            </w:pPr>
            <w:r>
              <w:rPr>
                <w:rFonts w:hint="eastAsia" w:ascii="宋体" w:hAnsi="宋体" w:cs="宋体"/>
                <w:kern w:val="0"/>
                <w:sz w:val="21"/>
                <w:szCs w:val="21"/>
              </w:rPr>
              <w:t>285</w:t>
            </w:r>
          </w:p>
        </w:tc>
        <w:tc>
          <w:tcPr>
            <w:tcW w:w="731" w:type="pct"/>
            <w:tcBorders>
              <w:top w:val="nil"/>
              <w:left w:val="nil"/>
              <w:bottom w:val="single" w:color="auto" w:sz="4" w:space="0"/>
              <w:right w:val="single" w:color="auto" w:sz="4" w:space="0"/>
            </w:tcBorders>
            <w:vAlign w:val="center"/>
          </w:tcPr>
          <w:p w14:paraId="3CF9BC8A">
            <w:pPr>
              <w:widowControl/>
              <w:spacing w:line="240" w:lineRule="auto"/>
              <w:jc w:val="center"/>
              <w:rPr>
                <w:rFonts w:ascii="宋体" w:hAnsi="宋体" w:cs="宋体"/>
                <w:kern w:val="0"/>
                <w:sz w:val="21"/>
                <w:szCs w:val="21"/>
              </w:rPr>
            </w:pPr>
            <w:r>
              <w:rPr>
                <w:rFonts w:hint="eastAsia" w:ascii="宋体" w:hAnsi="宋体" w:cs="宋体"/>
                <w:kern w:val="0"/>
                <w:sz w:val="21"/>
                <w:szCs w:val="21"/>
              </w:rPr>
              <w:t>汇入韩江</w:t>
            </w:r>
          </w:p>
        </w:tc>
      </w:tr>
      <w:tr w14:paraId="7FC7CC99">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75E016E4">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30DB22F6">
            <w:pPr>
              <w:widowControl/>
              <w:spacing w:line="240" w:lineRule="auto"/>
              <w:jc w:val="center"/>
              <w:rPr>
                <w:rFonts w:ascii="宋体" w:hAnsi="宋体" w:cs="宋体"/>
                <w:kern w:val="0"/>
                <w:sz w:val="21"/>
                <w:szCs w:val="21"/>
              </w:rPr>
            </w:pPr>
            <w:r>
              <w:rPr>
                <w:rFonts w:hint="eastAsia" w:ascii="宋体" w:hAnsi="宋体" w:cs="宋体"/>
                <w:kern w:val="0"/>
                <w:sz w:val="21"/>
                <w:szCs w:val="21"/>
              </w:rPr>
              <w:t>铁长河</w:t>
            </w:r>
          </w:p>
        </w:tc>
        <w:tc>
          <w:tcPr>
            <w:tcW w:w="598" w:type="pct"/>
            <w:tcBorders>
              <w:top w:val="nil"/>
              <w:left w:val="nil"/>
              <w:bottom w:val="single" w:color="auto" w:sz="4" w:space="0"/>
              <w:right w:val="single" w:color="auto" w:sz="4" w:space="0"/>
            </w:tcBorders>
            <w:vAlign w:val="center"/>
          </w:tcPr>
          <w:p w14:paraId="61D91434">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FE8EAC0">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0582BC1E">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037781C0">
            <w:pPr>
              <w:widowControl/>
              <w:spacing w:line="240" w:lineRule="auto"/>
              <w:jc w:val="center"/>
              <w:rPr>
                <w:rFonts w:ascii="宋体" w:hAnsi="宋体" w:cs="宋体"/>
                <w:kern w:val="0"/>
                <w:sz w:val="21"/>
                <w:szCs w:val="21"/>
              </w:rPr>
            </w:pPr>
            <w:r>
              <w:rPr>
                <w:rFonts w:hint="eastAsia" w:ascii="宋体" w:hAnsi="宋体" w:cs="宋体"/>
                <w:kern w:val="0"/>
                <w:sz w:val="21"/>
                <w:szCs w:val="21"/>
              </w:rPr>
              <w:t>87.9</w:t>
            </w:r>
          </w:p>
        </w:tc>
        <w:tc>
          <w:tcPr>
            <w:tcW w:w="598" w:type="pct"/>
            <w:tcBorders>
              <w:top w:val="nil"/>
              <w:left w:val="nil"/>
              <w:bottom w:val="single" w:color="auto" w:sz="4" w:space="0"/>
              <w:right w:val="single" w:color="auto" w:sz="4" w:space="0"/>
            </w:tcBorders>
            <w:vAlign w:val="center"/>
          </w:tcPr>
          <w:p w14:paraId="1AB954BB">
            <w:pPr>
              <w:widowControl/>
              <w:spacing w:line="240" w:lineRule="auto"/>
              <w:jc w:val="center"/>
              <w:rPr>
                <w:rFonts w:ascii="宋体" w:hAnsi="宋体" w:cs="宋体"/>
                <w:kern w:val="0"/>
                <w:sz w:val="21"/>
                <w:szCs w:val="21"/>
              </w:rPr>
            </w:pPr>
            <w:r>
              <w:rPr>
                <w:rFonts w:hint="eastAsia" w:ascii="宋体" w:hAnsi="宋体" w:cs="宋体"/>
                <w:kern w:val="0"/>
                <w:sz w:val="21"/>
                <w:szCs w:val="21"/>
              </w:rPr>
              <w:t>24</w:t>
            </w:r>
          </w:p>
        </w:tc>
        <w:tc>
          <w:tcPr>
            <w:tcW w:w="731" w:type="pct"/>
            <w:tcBorders>
              <w:top w:val="nil"/>
              <w:left w:val="nil"/>
              <w:bottom w:val="single" w:color="auto" w:sz="4" w:space="0"/>
              <w:right w:val="single" w:color="auto" w:sz="4" w:space="0"/>
            </w:tcBorders>
            <w:vAlign w:val="center"/>
          </w:tcPr>
          <w:p w14:paraId="52F44354">
            <w:pPr>
              <w:widowControl/>
              <w:spacing w:line="240" w:lineRule="auto"/>
              <w:jc w:val="center"/>
              <w:rPr>
                <w:rFonts w:ascii="宋体" w:hAnsi="宋体" w:cs="宋体"/>
                <w:kern w:val="0"/>
                <w:sz w:val="21"/>
                <w:szCs w:val="21"/>
              </w:rPr>
            </w:pPr>
          </w:p>
        </w:tc>
      </w:tr>
      <w:tr w14:paraId="574B9D63">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2F00F6AE">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30436AB">
            <w:pPr>
              <w:widowControl/>
              <w:spacing w:line="240" w:lineRule="auto"/>
              <w:jc w:val="center"/>
              <w:rPr>
                <w:rFonts w:ascii="宋体" w:hAnsi="宋体" w:cs="宋体"/>
                <w:kern w:val="0"/>
                <w:sz w:val="21"/>
                <w:szCs w:val="21"/>
              </w:rPr>
            </w:pPr>
            <w:r>
              <w:rPr>
                <w:rFonts w:hint="eastAsia" w:ascii="宋体" w:hAnsi="宋体" w:cs="宋体"/>
                <w:kern w:val="0"/>
                <w:sz w:val="21"/>
                <w:szCs w:val="21"/>
              </w:rPr>
              <w:t>郑坊河</w:t>
            </w:r>
          </w:p>
        </w:tc>
        <w:tc>
          <w:tcPr>
            <w:tcW w:w="598" w:type="pct"/>
            <w:tcBorders>
              <w:top w:val="nil"/>
              <w:left w:val="nil"/>
              <w:bottom w:val="single" w:color="auto" w:sz="4" w:space="0"/>
              <w:right w:val="single" w:color="auto" w:sz="4" w:space="0"/>
            </w:tcBorders>
            <w:vAlign w:val="center"/>
          </w:tcPr>
          <w:p w14:paraId="63B22692">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447E90D2">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4686A3B4">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3642FAF2">
            <w:pPr>
              <w:widowControl/>
              <w:spacing w:line="240" w:lineRule="auto"/>
              <w:jc w:val="center"/>
              <w:rPr>
                <w:rFonts w:ascii="宋体" w:hAnsi="宋体" w:cs="宋体"/>
                <w:kern w:val="0"/>
                <w:sz w:val="21"/>
                <w:szCs w:val="21"/>
              </w:rPr>
            </w:pPr>
            <w:r>
              <w:rPr>
                <w:rFonts w:hint="eastAsia" w:ascii="宋体" w:hAnsi="宋体" w:cs="宋体"/>
                <w:kern w:val="0"/>
                <w:sz w:val="21"/>
                <w:szCs w:val="21"/>
              </w:rPr>
              <w:t>66.9</w:t>
            </w:r>
          </w:p>
        </w:tc>
        <w:tc>
          <w:tcPr>
            <w:tcW w:w="598" w:type="pct"/>
            <w:tcBorders>
              <w:top w:val="nil"/>
              <w:left w:val="nil"/>
              <w:bottom w:val="single" w:color="auto" w:sz="4" w:space="0"/>
              <w:right w:val="single" w:color="auto" w:sz="4" w:space="0"/>
            </w:tcBorders>
            <w:vAlign w:val="center"/>
          </w:tcPr>
          <w:p w14:paraId="42A1E57D">
            <w:pPr>
              <w:widowControl/>
              <w:spacing w:line="240" w:lineRule="auto"/>
              <w:jc w:val="center"/>
              <w:rPr>
                <w:rFonts w:ascii="宋体" w:hAnsi="宋体" w:cs="宋体"/>
                <w:kern w:val="0"/>
                <w:sz w:val="21"/>
                <w:szCs w:val="21"/>
              </w:rPr>
            </w:pPr>
            <w:r>
              <w:rPr>
                <w:rFonts w:hint="eastAsia" w:ascii="宋体" w:hAnsi="宋体" w:cs="宋体"/>
                <w:kern w:val="0"/>
                <w:sz w:val="21"/>
                <w:szCs w:val="21"/>
              </w:rPr>
              <w:t>20</w:t>
            </w:r>
          </w:p>
        </w:tc>
        <w:tc>
          <w:tcPr>
            <w:tcW w:w="731" w:type="pct"/>
            <w:tcBorders>
              <w:top w:val="nil"/>
              <w:left w:val="nil"/>
              <w:bottom w:val="single" w:color="auto" w:sz="4" w:space="0"/>
              <w:right w:val="single" w:color="auto" w:sz="4" w:space="0"/>
            </w:tcBorders>
            <w:vAlign w:val="center"/>
          </w:tcPr>
          <w:p w14:paraId="57EDC280">
            <w:pPr>
              <w:widowControl/>
              <w:spacing w:line="240" w:lineRule="auto"/>
              <w:jc w:val="center"/>
              <w:rPr>
                <w:rFonts w:ascii="宋体" w:hAnsi="宋体" w:cs="宋体"/>
                <w:kern w:val="0"/>
                <w:sz w:val="21"/>
                <w:szCs w:val="21"/>
              </w:rPr>
            </w:pPr>
          </w:p>
        </w:tc>
      </w:tr>
      <w:tr w14:paraId="6E50F8C7">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0AE1C698">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128C70B7">
            <w:pPr>
              <w:widowControl/>
              <w:spacing w:line="240" w:lineRule="auto"/>
              <w:jc w:val="center"/>
              <w:rPr>
                <w:rFonts w:ascii="宋体" w:hAnsi="宋体" w:cs="宋体"/>
                <w:kern w:val="0"/>
                <w:sz w:val="21"/>
                <w:szCs w:val="21"/>
              </w:rPr>
            </w:pPr>
            <w:r>
              <w:rPr>
                <w:rFonts w:hint="eastAsia" w:ascii="宋体" w:hAnsi="宋体" w:cs="宋体"/>
                <w:kern w:val="0"/>
                <w:sz w:val="21"/>
                <w:szCs w:val="21"/>
              </w:rPr>
              <w:t>七里河</w:t>
            </w:r>
          </w:p>
        </w:tc>
        <w:tc>
          <w:tcPr>
            <w:tcW w:w="598" w:type="pct"/>
            <w:tcBorders>
              <w:top w:val="nil"/>
              <w:left w:val="nil"/>
              <w:bottom w:val="single" w:color="auto" w:sz="4" w:space="0"/>
              <w:right w:val="single" w:color="auto" w:sz="4" w:space="0"/>
            </w:tcBorders>
            <w:vAlign w:val="center"/>
          </w:tcPr>
          <w:p w14:paraId="30CCD880">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3D9A6CEF">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6851DCC5">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278F6A81">
            <w:pPr>
              <w:widowControl/>
              <w:spacing w:line="240" w:lineRule="auto"/>
              <w:jc w:val="center"/>
              <w:rPr>
                <w:rFonts w:ascii="宋体" w:hAnsi="宋体" w:cs="宋体"/>
                <w:kern w:val="0"/>
                <w:sz w:val="21"/>
                <w:szCs w:val="21"/>
              </w:rPr>
            </w:pPr>
            <w:r>
              <w:rPr>
                <w:rFonts w:hint="eastAsia" w:ascii="宋体" w:hAnsi="宋体" w:cs="宋体"/>
                <w:kern w:val="0"/>
                <w:sz w:val="21"/>
                <w:szCs w:val="21"/>
              </w:rPr>
              <w:t>68.5</w:t>
            </w:r>
          </w:p>
        </w:tc>
        <w:tc>
          <w:tcPr>
            <w:tcW w:w="598" w:type="pct"/>
            <w:tcBorders>
              <w:top w:val="nil"/>
              <w:left w:val="nil"/>
              <w:bottom w:val="single" w:color="auto" w:sz="4" w:space="0"/>
              <w:right w:val="single" w:color="auto" w:sz="4" w:space="0"/>
            </w:tcBorders>
            <w:vAlign w:val="center"/>
          </w:tcPr>
          <w:p w14:paraId="43F590C8">
            <w:pPr>
              <w:widowControl/>
              <w:spacing w:line="240" w:lineRule="auto"/>
              <w:jc w:val="center"/>
              <w:rPr>
                <w:rFonts w:ascii="宋体" w:hAnsi="宋体" w:cs="宋体"/>
                <w:kern w:val="0"/>
                <w:sz w:val="21"/>
                <w:szCs w:val="21"/>
              </w:rPr>
            </w:pPr>
            <w:r>
              <w:rPr>
                <w:rFonts w:hint="eastAsia" w:ascii="宋体" w:hAnsi="宋体" w:cs="宋体"/>
                <w:kern w:val="0"/>
                <w:sz w:val="21"/>
                <w:szCs w:val="21"/>
              </w:rPr>
              <w:t>17</w:t>
            </w:r>
          </w:p>
        </w:tc>
        <w:tc>
          <w:tcPr>
            <w:tcW w:w="731" w:type="pct"/>
            <w:tcBorders>
              <w:top w:val="nil"/>
              <w:left w:val="nil"/>
              <w:bottom w:val="single" w:color="auto" w:sz="4" w:space="0"/>
              <w:right w:val="single" w:color="auto" w:sz="4" w:space="0"/>
            </w:tcBorders>
            <w:vAlign w:val="center"/>
          </w:tcPr>
          <w:p w14:paraId="3EC03228">
            <w:pPr>
              <w:widowControl/>
              <w:spacing w:line="240" w:lineRule="auto"/>
              <w:jc w:val="center"/>
              <w:rPr>
                <w:rFonts w:ascii="宋体" w:hAnsi="宋体" w:cs="宋体"/>
                <w:kern w:val="0"/>
                <w:sz w:val="21"/>
                <w:szCs w:val="21"/>
              </w:rPr>
            </w:pPr>
          </w:p>
        </w:tc>
      </w:tr>
      <w:tr w14:paraId="55A3020E">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3364D8BD">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3EDB9A9C">
            <w:pPr>
              <w:widowControl/>
              <w:spacing w:line="240" w:lineRule="auto"/>
              <w:jc w:val="center"/>
              <w:rPr>
                <w:rFonts w:ascii="宋体" w:hAnsi="宋体" w:cs="宋体"/>
                <w:kern w:val="0"/>
                <w:sz w:val="21"/>
                <w:szCs w:val="21"/>
              </w:rPr>
            </w:pPr>
            <w:r>
              <w:rPr>
                <w:rFonts w:hint="eastAsia" w:ascii="宋体" w:hAnsi="宋体" w:cs="宋体"/>
                <w:kern w:val="0"/>
                <w:sz w:val="21"/>
                <w:szCs w:val="21"/>
              </w:rPr>
              <w:t>李田河</w:t>
            </w:r>
          </w:p>
        </w:tc>
        <w:tc>
          <w:tcPr>
            <w:tcW w:w="598" w:type="pct"/>
            <w:tcBorders>
              <w:top w:val="nil"/>
              <w:left w:val="nil"/>
              <w:bottom w:val="single" w:color="auto" w:sz="4" w:space="0"/>
              <w:right w:val="single" w:color="auto" w:sz="4" w:space="0"/>
            </w:tcBorders>
            <w:vAlign w:val="center"/>
          </w:tcPr>
          <w:p w14:paraId="09C7253F">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37EC9BCF">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0B221757">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35E60E7E">
            <w:pPr>
              <w:widowControl/>
              <w:spacing w:line="240" w:lineRule="auto"/>
              <w:jc w:val="center"/>
              <w:rPr>
                <w:rFonts w:ascii="宋体" w:hAnsi="宋体" w:cs="宋体"/>
                <w:kern w:val="0"/>
                <w:sz w:val="21"/>
                <w:szCs w:val="21"/>
              </w:rPr>
            </w:pPr>
            <w:r>
              <w:rPr>
                <w:rFonts w:hint="eastAsia" w:ascii="宋体" w:hAnsi="宋体" w:cs="宋体"/>
                <w:kern w:val="0"/>
                <w:sz w:val="21"/>
                <w:szCs w:val="21"/>
              </w:rPr>
              <w:t>52.4</w:t>
            </w:r>
          </w:p>
        </w:tc>
        <w:tc>
          <w:tcPr>
            <w:tcW w:w="598" w:type="pct"/>
            <w:tcBorders>
              <w:top w:val="nil"/>
              <w:left w:val="nil"/>
              <w:bottom w:val="single" w:color="auto" w:sz="4" w:space="0"/>
              <w:right w:val="single" w:color="auto" w:sz="4" w:space="0"/>
            </w:tcBorders>
            <w:vAlign w:val="center"/>
          </w:tcPr>
          <w:p w14:paraId="55C6BFDA">
            <w:pPr>
              <w:widowControl/>
              <w:spacing w:line="240" w:lineRule="auto"/>
              <w:jc w:val="center"/>
              <w:rPr>
                <w:rFonts w:ascii="宋体" w:hAnsi="宋体" w:cs="宋体"/>
                <w:kern w:val="0"/>
                <w:sz w:val="21"/>
                <w:szCs w:val="21"/>
              </w:rPr>
            </w:pPr>
            <w:r>
              <w:rPr>
                <w:rFonts w:hint="eastAsia" w:ascii="宋体" w:hAnsi="宋体" w:cs="宋体"/>
                <w:kern w:val="0"/>
                <w:sz w:val="21"/>
                <w:szCs w:val="21"/>
              </w:rPr>
              <w:t>11</w:t>
            </w:r>
          </w:p>
        </w:tc>
        <w:tc>
          <w:tcPr>
            <w:tcW w:w="731" w:type="pct"/>
            <w:tcBorders>
              <w:top w:val="nil"/>
              <w:left w:val="nil"/>
              <w:bottom w:val="single" w:color="auto" w:sz="4" w:space="0"/>
              <w:right w:val="single" w:color="auto" w:sz="4" w:space="0"/>
            </w:tcBorders>
            <w:vAlign w:val="center"/>
          </w:tcPr>
          <w:p w14:paraId="44BB045B">
            <w:pPr>
              <w:widowControl/>
              <w:spacing w:line="240" w:lineRule="auto"/>
              <w:jc w:val="center"/>
              <w:rPr>
                <w:rFonts w:ascii="宋体" w:hAnsi="宋体" w:cs="宋体"/>
                <w:kern w:val="0"/>
                <w:sz w:val="21"/>
                <w:szCs w:val="21"/>
              </w:rPr>
            </w:pPr>
          </w:p>
        </w:tc>
      </w:tr>
      <w:tr w14:paraId="0DB94DB9">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6992BB9C">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3D34386C">
            <w:pPr>
              <w:widowControl/>
              <w:spacing w:line="240" w:lineRule="auto"/>
              <w:jc w:val="center"/>
              <w:rPr>
                <w:rFonts w:ascii="宋体" w:hAnsi="宋体" w:cs="宋体"/>
                <w:kern w:val="0"/>
                <w:sz w:val="21"/>
                <w:szCs w:val="21"/>
              </w:rPr>
            </w:pPr>
            <w:r>
              <w:rPr>
                <w:rFonts w:hint="eastAsia" w:ascii="宋体" w:hAnsi="宋体" w:cs="宋体"/>
                <w:kern w:val="0"/>
                <w:sz w:val="21"/>
                <w:szCs w:val="21"/>
              </w:rPr>
              <w:t>刘源河</w:t>
            </w:r>
          </w:p>
        </w:tc>
        <w:tc>
          <w:tcPr>
            <w:tcW w:w="598" w:type="pct"/>
            <w:tcBorders>
              <w:top w:val="nil"/>
              <w:left w:val="nil"/>
              <w:bottom w:val="single" w:color="auto" w:sz="4" w:space="0"/>
              <w:right w:val="single" w:color="auto" w:sz="4" w:space="0"/>
            </w:tcBorders>
            <w:vAlign w:val="center"/>
          </w:tcPr>
          <w:p w14:paraId="17655E87">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26E82BF9">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33EBBB83">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75855213">
            <w:pPr>
              <w:widowControl/>
              <w:spacing w:line="240" w:lineRule="auto"/>
              <w:jc w:val="center"/>
              <w:rPr>
                <w:rFonts w:ascii="宋体" w:hAnsi="宋体" w:cs="宋体"/>
                <w:kern w:val="0"/>
                <w:sz w:val="21"/>
                <w:szCs w:val="21"/>
              </w:rPr>
            </w:pPr>
            <w:r>
              <w:rPr>
                <w:rFonts w:hint="eastAsia" w:ascii="宋体" w:hAnsi="宋体" w:cs="宋体"/>
                <w:kern w:val="0"/>
                <w:sz w:val="21"/>
                <w:szCs w:val="21"/>
              </w:rPr>
              <w:t>108</w:t>
            </w:r>
          </w:p>
        </w:tc>
        <w:tc>
          <w:tcPr>
            <w:tcW w:w="598" w:type="pct"/>
            <w:tcBorders>
              <w:top w:val="nil"/>
              <w:left w:val="nil"/>
              <w:bottom w:val="single" w:color="auto" w:sz="4" w:space="0"/>
              <w:right w:val="single" w:color="auto" w:sz="4" w:space="0"/>
            </w:tcBorders>
            <w:vAlign w:val="center"/>
          </w:tcPr>
          <w:p w14:paraId="16AA99AB">
            <w:pPr>
              <w:widowControl/>
              <w:spacing w:line="240" w:lineRule="auto"/>
              <w:jc w:val="center"/>
              <w:rPr>
                <w:rFonts w:ascii="宋体" w:hAnsi="宋体" w:cs="宋体"/>
                <w:kern w:val="0"/>
                <w:sz w:val="21"/>
                <w:szCs w:val="21"/>
              </w:rPr>
            </w:pPr>
            <w:r>
              <w:rPr>
                <w:rFonts w:hint="eastAsia" w:ascii="宋体" w:hAnsi="宋体" w:cs="宋体"/>
                <w:kern w:val="0"/>
                <w:sz w:val="21"/>
                <w:szCs w:val="21"/>
              </w:rPr>
              <w:t>22</w:t>
            </w:r>
          </w:p>
        </w:tc>
        <w:tc>
          <w:tcPr>
            <w:tcW w:w="731" w:type="pct"/>
            <w:tcBorders>
              <w:top w:val="nil"/>
              <w:left w:val="nil"/>
              <w:bottom w:val="single" w:color="auto" w:sz="4" w:space="0"/>
              <w:right w:val="single" w:color="auto" w:sz="4" w:space="0"/>
            </w:tcBorders>
            <w:vAlign w:val="center"/>
          </w:tcPr>
          <w:p w14:paraId="29D5E4DA">
            <w:pPr>
              <w:widowControl/>
              <w:spacing w:line="240" w:lineRule="auto"/>
              <w:jc w:val="center"/>
              <w:rPr>
                <w:rFonts w:ascii="宋体" w:hAnsi="宋体" w:cs="宋体"/>
                <w:kern w:val="0"/>
                <w:sz w:val="21"/>
                <w:szCs w:val="21"/>
              </w:rPr>
            </w:pPr>
          </w:p>
        </w:tc>
      </w:tr>
      <w:tr w14:paraId="5C7A30B6">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18E77379">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0245A474">
            <w:pPr>
              <w:widowControl/>
              <w:spacing w:line="240" w:lineRule="auto"/>
              <w:jc w:val="center"/>
              <w:rPr>
                <w:rFonts w:ascii="宋体" w:hAnsi="宋体" w:cs="宋体"/>
                <w:kern w:val="0"/>
                <w:sz w:val="21"/>
                <w:szCs w:val="21"/>
              </w:rPr>
            </w:pPr>
            <w:r>
              <w:rPr>
                <w:rFonts w:hint="eastAsia" w:ascii="宋体" w:hAnsi="宋体" w:cs="宋体"/>
                <w:kern w:val="0"/>
                <w:sz w:val="21"/>
                <w:szCs w:val="21"/>
              </w:rPr>
              <w:t>朱溪河</w:t>
            </w:r>
          </w:p>
        </w:tc>
        <w:tc>
          <w:tcPr>
            <w:tcW w:w="598" w:type="pct"/>
            <w:tcBorders>
              <w:top w:val="nil"/>
              <w:left w:val="nil"/>
              <w:bottom w:val="single" w:color="auto" w:sz="4" w:space="0"/>
              <w:right w:val="single" w:color="auto" w:sz="4" w:space="0"/>
            </w:tcBorders>
            <w:vAlign w:val="center"/>
          </w:tcPr>
          <w:p w14:paraId="44C2B229">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C399553">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48229E78">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73262B3F">
            <w:pPr>
              <w:widowControl/>
              <w:spacing w:line="240" w:lineRule="auto"/>
              <w:jc w:val="center"/>
              <w:rPr>
                <w:rFonts w:ascii="宋体" w:hAnsi="宋体" w:cs="宋体"/>
                <w:kern w:val="0"/>
                <w:sz w:val="21"/>
                <w:szCs w:val="21"/>
              </w:rPr>
            </w:pPr>
            <w:r>
              <w:rPr>
                <w:rFonts w:hint="eastAsia" w:ascii="宋体" w:hAnsi="宋体" w:cs="宋体"/>
                <w:kern w:val="0"/>
                <w:sz w:val="21"/>
                <w:szCs w:val="21"/>
              </w:rPr>
              <w:t>53.1</w:t>
            </w:r>
          </w:p>
        </w:tc>
        <w:tc>
          <w:tcPr>
            <w:tcW w:w="598" w:type="pct"/>
            <w:tcBorders>
              <w:top w:val="nil"/>
              <w:left w:val="nil"/>
              <w:bottom w:val="single" w:color="auto" w:sz="4" w:space="0"/>
              <w:right w:val="single" w:color="auto" w:sz="4" w:space="0"/>
            </w:tcBorders>
            <w:vAlign w:val="center"/>
          </w:tcPr>
          <w:p w14:paraId="1A55FEEF">
            <w:pPr>
              <w:widowControl/>
              <w:spacing w:line="240" w:lineRule="auto"/>
              <w:jc w:val="center"/>
              <w:rPr>
                <w:rFonts w:ascii="宋体" w:hAnsi="宋体" w:cs="宋体"/>
                <w:kern w:val="0"/>
                <w:sz w:val="21"/>
                <w:szCs w:val="21"/>
              </w:rPr>
            </w:pPr>
            <w:r>
              <w:rPr>
                <w:rFonts w:hint="eastAsia" w:ascii="宋体" w:hAnsi="宋体" w:cs="宋体"/>
                <w:kern w:val="0"/>
                <w:sz w:val="21"/>
                <w:szCs w:val="21"/>
              </w:rPr>
              <w:t>14</w:t>
            </w:r>
          </w:p>
        </w:tc>
        <w:tc>
          <w:tcPr>
            <w:tcW w:w="731" w:type="pct"/>
            <w:tcBorders>
              <w:top w:val="nil"/>
              <w:left w:val="nil"/>
              <w:bottom w:val="single" w:color="auto" w:sz="4" w:space="0"/>
              <w:right w:val="single" w:color="auto" w:sz="4" w:space="0"/>
            </w:tcBorders>
            <w:vAlign w:val="center"/>
          </w:tcPr>
          <w:p w14:paraId="7021D1CA">
            <w:pPr>
              <w:widowControl/>
              <w:spacing w:line="240" w:lineRule="auto"/>
              <w:jc w:val="center"/>
              <w:rPr>
                <w:rFonts w:ascii="宋体" w:hAnsi="宋体" w:cs="宋体"/>
                <w:kern w:val="0"/>
                <w:sz w:val="21"/>
                <w:szCs w:val="21"/>
              </w:rPr>
            </w:pPr>
          </w:p>
        </w:tc>
      </w:tr>
      <w:tr w14:paraId="1706EBA2">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56AB998C">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102E6B20">
            <w:pPr>
              <w:widowControl/>
              <w:spacing w:line="240" w:lineRule="auto"/>
              <w:jc w:val="center"/>
              <w:rPr>
                <w:rFonts w:ascii="宋体" w:hAnsi="宋体" w:cs="宋体"/>
                <w:kern w:val="0"/>
                <w:sz w:val="21"/>
                <w:szCs w:val="21"/>
              </w:rPr>
            </w:pPr>
            <w:r>
              <w:rPr>
                <w:rFonts w:hint="eastAsia" w:ascii="宋体" w:hAnsi="宋体" w:cs="宋体"/>
                <w:kern w:val="0"/>
                <w:sz w:val="21"/>
                <w:szCs w:val="21"/>
              </w:rPr>
              <w:t>南山河</w:t>
            </w:r>
          </w:p>
        </w:tc>
        <w:tc>
          <w:tcPr>
            <w:tcW w:w="598" w:type="pct"/>
            <w:tcBorders>
              <w:top w:val="nil"/>
              <w:left w:val="nil"/>
              <w:bottom w:val="single" w:color="auto" w:sz="4" w:space="0"/>
              <w:right w:val="single" w:color="auto" w:sz="4" w:space="0"/>
            </w:tcBorders>
            <w:vAlign w:val="center"/>
          </w:tcPr>
          <w:p w14:paraId="5FD0673E">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9158D57">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2ADC17F3">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588F9AD8">
            <w:pPr>
              <w:widowControl/>
              <w:spacing w:line="240" w:lineRule="auto"/>
              <w:jc w:val="center"/>
              <w:rPr>
                <w:rFonts w:ascii="宋体" w:hAnsi="宋体" w:cs="宋体"/>
                <w:kern w:val="0"/>
                <w:sz w:val="21"/>
                <w:szCs w:val="21"/>
              </w:rPr>
            </w:pPr>
            <w:r>
              <w:rPr>
                <w:rFonts w:hint="eastAsia" w:ascii="宋体" w:hAnsi="宋体" w:cs="宋体"/>
                <w:kern w:val="0"/>
                <w:sz w:val="21"/>
                <w:szCs w:val="21"/>
              </w:rPr>
              <w:t>283</w:t>
            </w:r>
          </w:p>
        </w:tc>
        <w:tc>
          <w:tcPr>
            <w:tcW w:w="598" w:type="pct"/>
            <w:tcBorders>
              <w:top w:val="nil"/>
              <w:left w:val="nil"/>
              <w:bottom w:val="single" w:color="auto" w:sz="4" w:space="0"/>
              <w:right w:val="single" w:color="auto" w:sz="4" w:space="0"/>
            </w:tcBorders>
            <w:vAlign w:val="center"/>
          </w:tcPr>
          <w:p w14:paraId="18343AF2">
            <w:pPr>
              <w:widowControl/>
              <w:spacing w:line="240" w:lineRule="auto"/>
              <w:jc w:val="center"/>
              <w:rPr>
                <w:rFonts w:ascii="宋体" w:hAnsi="宋体" w:cs="宋体"/>
                <w:kern w:val="0"/>
                <w:sz w:val="21"/>
                <w:szCs w:val="21"/>
              </w:rPr>
            </w:pPr>
            <w:r>
              <w:rPr>
                <w:rFonts w:hint="eastAsia" w:ascii="宋体" w:hAnsi="宋体" w:cs="宋体"/>
                <w:kern w:val="0"/>
                <w:sz w:val="21"/>
                <w:szCs w:val="21"/>
              </w:rPr>
              <w:t>42</w:t>
            </w:r>
          </w:p>
        </w:tc>
        <w:tc>
          <w:tcPr>
            <w:tcW w:w="731" w:type="pct"/>
            <w:tcBorders>
              <w:top w:val="nil"/>
              <w:left w:val="nil"/>
              <w:bottom w:val="single" w:color="auto" w:sz="4" w:space="0"/>
              <w:right w:val="single" w:color="auto" w:sz="4" w:space="0"/>
            </w:tcBorders>
            <w:vAlign w:val="center"/>
          </w:tcPr>
          <w:p w14:paraId="26C60DAA">
            <w:pPr>
              <w:widowControl/>
              <w:spacing w:line="240" w:lineRule="auto"/>
              <w:jc w:val="center"/>
              <w:rPr>
                <w:rFonts w:ascii="宋体" w:hAnsi="宋体" w:cs="宋体"/>
                <w:kern w:val="0"/>
                <w:sz w:val="21"/>
                <w:szCs w:val="21"/>
              </w:rPr>
            </w:pPr>
          </w:p>
        </w:tc>
      </w:tr>
      <w:tr w14:paraId="4C10FC44">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7F8A5427">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8CB661C">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2E192973">
            <w:pPr>
              <w:widowControl/>
              <w:spacing w:line="240" w:lineRule="auto"/>
              <w:jc w:val="center"/>
              <w:rPr>
                <w:rFonts w:ascii="宋体" w:hAnsi="宋体" w:cs="宋体"/>
                <w:kern w:val="0"/>
                <w:sz w:val="21"/>
                <w:szCs w:val="21"/>
              </w:rPr>
            </w:pPr>
            <w:r>
              <w:rPr>
                <w:rFonts w:hint="eastAsia" w:ascii="宋体" w:hAnsi="宋体" w:cs="宋体"/>
                <w:kern w:val="0"/>
                <w:sz w:val="21"/>
                <w:szCs w:val="21"/>
              </w:rPr>
              <w:t>中复溪</w:t>
            </w:r>
          </w:p>
        </w:tc>
        <w:tc>
          <w:tcPr>
            <w:tcW w:w="598" w:type="pct"/>
            <w:tcBorders>
              <w:top w:val="nil"/>
              <w:left w:val="nil"/>
              <w:bottom w:val="single" w:color="auto" w:sz="4" w:space="0"/>
              <w:right w:val="single" w:color="auto" w:sz="4" w:space="0"/>
            </w:tcBorders>
            <w:vAlign w:val="center"/>
          </w:tcPr>
          <w:p w14:paraId="1657DC33">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43A74594">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03250953">
            <w:pPr>
              <w:widowControl/>
              <w:spacing w:line="240" w:lineRule="auto"/>
              <w:jc w:val="center"/>
              <w:rPr>
                <w:rFonts w:ascii="宋体" w:hAnsi="宋体" w:cs="宋体"/>
                <w:kern w:val="0"/>
                <w:sz w:val="21"/>
                <w:szCs w:val="21"/>
              </w:rPr>
            </w:pPr>
            <w:r>
              <w:rPr>
                <w:rFonts w:hint="eastAsia" w:ascii="宋体" w:hAnsi="宋体" w:cs="宋体"/>
                <w:kern w:val="0"/>
                <w:sz w:val="21"/>
                <w:szCs w:val="21"/>
              </w:rPr>
              <w:t>121</w:t>
            </w:r>
          </w:p>
        </w:tc>
        <w:tc>
          <w:tcPr>
            <w:tcW w:w="598" w:type="pct"/>
            <w:tcBorders>
              <w:top w:val="nil"/>
              <w:left w:val="nil"/>
              <w:bottom w:val="single" w:color="auto" w:sz="4" w:space="0"/>
              <w:right w:val="single" w:color="auto" w:sz="4" w:space="0"/>
            </w:tcBorders>
            <w:vAlign w:val="center"/>
          </w:tcPr>
          <w:p w14:paraId="3EE35E5D">
            <w:pPr>
              <w:widowControl/>
              <w:spacing w:line="240" w:lineRule="auto"/>
              <w:jc w:val="center"/>
              <w:rPr>
                <w:rFonts w:ascii="宋体" w:hAnsi="宋体" w:cs="宋体"/>
                <w:kern w:val="0"/>
                <w:sz w:val="21"/>
                <w:szCs w:val="21"/>
              </w:rPr>
            </w:pPr>
            <w:r>
              <w:rPr>
                <w:rFonts w:hint="eastAsia" w:ascii="宋体" w:hAnsi="宋体" w:cs="宋体"/>
                <w:kern w:val="0"/>
                <w:sz w:val="21"/>
                <w:szCs w:val="21"/>
              </w:rPr>
              <w:t>21</w:t>
            </w:r>
          </w:p>
        </w:tc>
        <w:tc>
          <w:tcPr>
            <w:tcW w:w="731" w:type="pct"/>
            <w:tcBorders>
              <w:top w:val="nil"/>
              <w:left w:val="nil"/>
              <w:bottom w:val="single" w:color="auto" w:sz="4" w:space="0"/>
              <w:right w:val="single" w:color="auto" w:sz="4" w:space="0"/>
            </w:tcBorders>
            <w:vAlign w:val="center"/>
          </w:tcPr>
          <w:p w14:paraId="33A7EBE2">
            <w:pPr>
              <w:widowControl/>
              <w:spacing w:line="240" w:lineRule="auto"/>
              <w:jc w:val="center"/>
              <w:rPr>
                <w:rFonts w:ascii="宋体" w:hAnsi="宋体" w:cs="宋体"/>
                <w:kern w:val="0"/>
                <w:sz w:val="21"/>
                <w:szCs w:val="21"/>
              </w:rPr>
            </w:pPr>
          </w:p>
        </w:tc>
      </w:tr>
      <w:tr w14:paraId="62CEB0FF">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42AA9B43">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26133C06">
            <w:pPr>
              <w:widowControl/>
              <w:spacing w:line="240" w:lineRule="auto"/>
              <w:jc w:val="center"/>
              <w:rPr>
                <w:rFonts w:ascii="宋体" w:hAnsi="宋体" w:cs="宋体"/>
                <w:kern w:val="0"/>
                <w:sz w:val="21"/>
                <w:szCs w:val="21"/>
              </w:rPr>
            </w:pPr>
            <w:r>
              <w:rPr>
                <w:rFonts w:hint="eastAsia" w:ascii="宋体" w:hAnsi="宋体" w:cs="宋体"/>
                <w:kern w:val="0"/>
                <w:sz w:val="21"/>
                <w:szCs w:val="21"/>
              </w:rPr>
              <w:t>刘坊河</w:t>
            </w:r>
          </w:p>
        </w:tc>
        <w:tc>
          <w:tcPr>
            <w:tcW w:w="598" w:type="pct"/>
            <w:tcBorders>
              <w:top w:val="nil"/>
              <w:left w:val="nil"/>
              <w:bottom w:val="single" w:color="auto" w:sz="4" w:space="0"/>
              <w:right w:val="single" w:color="auto" w:sz="4" w:space="0"/>
            </w:tcBorders>
            <w:vAlign w:val="center"/>
          </w:tcPr>
          <w:p w14:paraId="4AF26E1F">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1778117">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70A0236C">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4A7BDECB">
            <w:pPr>
              <w:widowControl/>
              <w:spacing w:line="240" w:lineRule="auto"/>
              <w:jc w:val="center"/>
              <w:rPr>
                <w:rFonts w:ascii="宋体" w:hAnsi="宋体" w:cs="宋体"/>
                <w:kern w:val="0"/>
                <w:sz w:val="21"/>
                <w:szCs w:val="21"/>
              </w:rPr>
            </w:pPr>
            <w:r>
              <w:rPr>
                <w:rFonts w:hint="eastAsia" w:ascii="宋体" w:hAnsi="宋体" w:cs="宋体"/>
                <w:kern w:val="0"/>
                <w:sz w:val="21"/>
                <w:szCs w:val="21"/>
              </w:rPr>
              <w:t>118</w:t>
            </w:r>
          </w:p>
        </w:tc>
        <w:tc>
          <w:tcPr>
            <w:tcW w:w="598" w:type="pct"/>
            <w:tcBorders>
              <w:top w:val="nil"/>
              <w:left w:val="nil"/>
              <w:bottom w:val="single" w:color="auto" w:sz="4" w:space="0"/>
              <w:right w:val="single" w:color="auto" w:sz="4" w:space="0"/>
            </w:tcBorders>
            <w:vAlign w:val="center"/>
          </w:tcPr>
          <w:p w14:paraId="0D1EF5A1">
            <w:pPr>
              <w:widowControl/>
              <w:spacing w:line="240" w:lineRule="auto"/>
              <w:jc w:val="center"/>
              <w:rPr>
                <w:rFonts w:ascii="宋体" w:hAnsi="宋体" w:cs="宋体"/>
                <w:kern w:val="0"/>
                <w:sz w:val="21"/>
                <w:szCs w:val="21"/>
              </w:rPr>
            </w:pPr>
            <w:r>
              <w:rPr>
                <w:rFonts w:hint="eastAsia" w:ascii="宋体" w:hAnsi="宋体" w:cs="宋体"/>
                <w:kern w:val="0"/>
                <w:sz w:val="21"/>
                <w:szCs w:val="21"/>
              </w:rPr>
              <w:t>35</w:t>
            </w:r>
          </w:p>
        </w:tc>
        <w:tc>
          <w:tcPr>
            <w:tcW w:w="731" w:type="pct"/>
            <w:tcBorders>
              <w:top w:val="nil"/>
              <w:left w:val="nil"/>
              <w:bottom w:val="single" w:color="auto" w:sz="4" w:space="0"/>
              <w:right w:val="single" w:color="auto" w:sz="4" w:space="0"/>
            </w:tcBorders>
            <w:vAlign w:val="center"/>
          </w:tcPr>
          <w:p w14:paraId="77C1D9D5">
            <w:pPr>
              <w:widowControl/>
              <w:spacing w:line="240" w:lineRule="auto"/>
              <w:jc w:val="center"/>
              <w:rPr>
                <w:rFonts w:ascii="宋体" w:hAnsi="宋体" w:cs="宋体"/>
                <w:kern w:val="0"/>
                <w:sz w:val="21"/>
                <w:szCs w:val="21"/>
              </w:rPr>
            </w:pPr>
          </w:p>
        </w:tc>
      </w:tr>
      <w:tr w14:paraId="0BA4E88C">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2E6900C7">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0D4F997A">
            <w:pPr>
              <w:widowControl/>
              <w:spacing w:line="240" w:lineRule="auto"/>
              <w:jc w:val="center"/>
              <w:rPr>
                <w:rFonts w:ascii="宋体" w:hAnsi="宋体" w:cs="宋体"/>
                <w:kern w:val="0"/>
                <w:sz w:val="21"/>
                <w:szCs w:val="21"/>
              </w:rPr>
            </w:pPr>
            <w:r>
              <w:rPr>
                <w:rFonts w:hint="eastAsia" w:ascii="宋体" w:hAnsi="宋体" w:cs="宋体"/>
                <w:kern w:val="0"/>
                <w:sz w:val="21"/>
                <w:szCs w:val="21"/>
              </w:rPr>
              <w:t>濯田河</w:t>
            </w:r>
          </w:p>
        </w:tc>
        <w:tc>
          <w:tcPr>
            <w:tcW w:w="598" w:type="pct"/>
            <w:tcBorders>
              <w:top w:val="nil"/>
              <w:left w:val="nil"/>
              <w:bottom w:val="single" w:color="auto" w:sz="4" w:space="0"/>
              <w:right w:val="single" w:color="auto" w:sz="4" w:space="0"/>
            </w:tcBorders>
            <w:vAlign w:val="center"/>
          </w:tcPr>
          <w:p w14:paraId="41BFA63A">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058CECB">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1A0225C7">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5F7009A6">
            <w:pPr>
              <w:widowControl/>
              <w:spacing w:line="240" w:lineRule="auto"/>
              <w:jc w:val="center"/>
              <w:rPr>
                <w:rFonts w:ascii="宋体" w:hAnsi="宋体" w:cs="宋体"/>
                <w:kern w:val="0"/>
                <w:sz w:val="21"/>
                <w:szCs w:val="21"/>
              </w:rPr>
            </w:pPr>
            <w:r>
              <w:rPr>
                <w:rFonts w:hint="eastAsia" w:ascii="宋体" w:hAnsi="宋体" w:cs="宋体"/>
                <w:kern w:val="0"/>
                <w:sz w:val="21"/>
                <w:szCs w:val="21"/>
              </w:rPr>
              <w:t>862</w:t>
            </w:r>
          </w:p>
        </w:tc>
        <w:tc>
          <w:tcPr>
            <w:tcW w:w="598" w:type="pct"/>
            <w:tcBorders>
              <w:top w:val="nil"/>
              <w:left w:val="nil"/>
              <w:bottom w:val="single" w:color="auto" w:sz="4" w:space="0"/>
              <w:right w:val="single" w:color="auto" w:sz="4" w:space="0"/>
            </w:tcBorders>
            <w:vAlign w:val="center"/>
          </w:tcPr>
          <w:p w14:paraId="682F14A5">
            <w:pPr>
              <w:widowControl/>
              <w:spacing w:line="240" w:lineRule="auto"/>
              <w:jc w:val="center"/>
              <w:rPr>
                <w:rFonts w:ascii="宋体" w:hAnsi="宋体" w:cs="宋体"/>
                <w:kern w:val="0"/>
                <w:sz w:val="21"/>
                <w:szCs w:val="21"/>
              </w:rPr>
            </w:pPr>
            <w:r>
              <w:rPr>
                <w:rFonts w:hint="eastAsia" w:ascii="宋体" w:hAnsi="宋体" w:cs="宋体"/>
                <w:kern w:val="0"/>
                <w:sz w:val="21"/>
                <w:szCs w:val="21"/>
              </w:rPr>
              <w:t>63</w:t>
            </w:r>
          </w:p>
        </w:tc>
        <w:tc>
          <w:tcPr>
            <w:tcW w:w="731" w:type="pct"/>
            <w:tcBorders>
              <w:top w:val="nil"/>
              <w:left w:val="nil"/>
              <w:bottom w:val="single" w:color="auto" w:sz="4" w:space="0"/>
              <w:right w:val="single" w:color="auto" w:sz="4" w:space="0"/>
            </w:tcBorders>
            <w:vAlign w:val="center"/>
          </w:tcPr>
          <w:p w14:paraId="7137FAFE">
            <w:pPr>
              <w:widowControl/>
              <w:spacing w:line="240" w:lineRule="auto"/>
              <w:jc w:val="center"/>
              <w:rPr>
                <w:rFonts w:ascii="宋体" w:hAnsi="宋体" w:cs="宋体"/>
                <w:kern w:val="0"/>
                <w:sz w:val="21"/>
                <w:szCs w:val="21"/>
              </w:rPr>
            </w:pPr>
          </w:p>
        </w:tc>
      </w:tr>
      <w:tr w14:paraId="25C94FAA">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507A0984">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4CBF1CE">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4F085868">
            <w:pPr>
              <w:widowControl/>
              <w:spacing w:line="240" w:lineRule="auto"/>
              <w:jc w:val="center"/>
              <w:rPr>
                <w:rFonts w:ascii="宋体" w:hAnsi="宋体" w:cs="宋体"/>
                <w:kern w:val="0"/>
                <w:sz w:val="21"/>
                <w:szCs w:val="21"/>
              </w:rPr>
            </w:pPr>
            <w:r>
              <w:rPr>
                <w:rFonts w:hint="eastAsia" w:ascii="宋体" w:hAnsi="宋体" w:cs="宋体"/>
                <w:kern w:val="0"/>
                <w:sz w:val="21"/>
                <w:szCs w:val="21"/>
              </w:rPr>
              <w:t>杨梅溪</w:t>
            </w:r>
          </w:p>
        </w:tc>
        <w:tc>
          <w:tcPr>
            <w:tcW w:w="598" w:type="pct"/>
            <w:tcBorders>
              <w:top w:val="nil"/>
              <w:left w:val="nil"/>
              <w:bottom w:val="single" w:color="auto" w:sz="4" w:space="0"/>
              <w:right w:val="single" w:color="auto" w:sz="4" w:space="0"/>
            </w:tcBorders>
            <w:vAlign w:val="center"/>
          </w:tcPr>
          <w:p w14:paraId="0E346F44">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0C9D433F">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08297C91">
            <w:pPr>
              <w:widowControl/>
              <w:spacing w:line="240" w:lineRule="auto"/>
              <w:jc w:val="center"/>
              <w:rPr>
                <w:rFonts w:ascii="宋体" w:hAnsi="宋体" w:cs="宋体"/>
                <w:kern w:val="0"/>
                <w:sz w:val="21"/>
                <w:szCs w:val="21"/>
              </w:rPr>
            </w:pPr>
            <w:r>
              <w:rPr>
                <w:rFonts w:hint="eastAsia" w:ascii="宋体" w:hAnsi="宋体" w:cs="宋体"/>
                <w:kern w:val="0"/>
                <w:sz w:val="21"/>
                <w:szCs w:val="21"/>
              </w:rPr>
              <w:t>146</w:t>
            </w:r>
          </w:p>
        </w:tc>
        <w:tc>
          <w:tcPr>
            <w:tcW w:w="598" w:type="pct"/>
            <w:tcBorders>
              <w:top w:val="nil"/>
              <w:left w:val="nil"/>
              <w:bottom w:val="single" w:color="auto" w:sz="4" w:space="0"/>
              <w:right w:val="single" w:color="auto" w:sz="4" w:space="0"/>
            </w:tcBorders>
            <w:vAlign w:val="center"/>
          </w:tcPr>
          <w:p w14:paraId="3A9C6E63">
            <w:pPr>
              <w:widowControl/>
              <w:spacing w:line="240" w:lineRule="auto"/>
              <w:jc w:val="center"/>
              <w:rPr>
                <w:rFonts w:ascii="宋体" w:hAnsi="宋体" w:cs="宋体"/>
                <w:kern w:val="0"/>
                <w:sz w:val="21"/>
                <w:szCs w:val="21"/>
              </w:rPr>
            </w:pPr>
            <w:r>
              <w:rPr>
                <w:rFonts w:hint="eastAsia" w:ascii="宋体" w:hAnsi="宋体" w:cs="宋体"/>
                <w:kern w:val="0"/>
                <w:sz w:val="21"/>
                <w:szCs w:val="21"/>
              </w:rPr>
              <w:t>31</w:t>
            </w:r>
          </w:p>
        </w:tc>
        <w:tc>
          <w:tcPr>
            <w:tcW w:w="731" w:type="pct"/>
            <w:tcBorders>
              <w:top w:val="nil"/>
              <w:left w:val="nil"/>
              <w:bottom w:val="single" w:color="auto" w:sz="4" w:space="0"/>
              <w:right w:val="single" w:color="auto" w:sz="4" w:space="0"/>
            </w:tcBorders>
            <w:vAlign w:val="center"/>
          </w:tcPr>
          <w:p w14:paraId="1E43B025">
            <w:pPr>
              <w:widowControl/>
              <w:spacing w:line="240" w:lineRule="auto"/>
              <w:jc w:val="center"/>
              <w:rPr>
                <w:rFonts w:ascii="宋体" w:hAnsi="宋体" w:cs="宋体"/>
                <w:kern w:val="0"/>
                <w:sz w:val="21"/>
                <w:szCs w:val="21"/>
              </w:rPr>
            </w:pPr>
          </w:p>
        </w:tc>
      </w:tr>
      <w:tr w14:paraId="52C2D12D">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3701E687">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EF5A49B">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10B8A6CD">
            <w:pPr>
              <w:widowControl/>
              <w:spacing w:line="240" w:lineRule="auto"/>
              <w:jc w:val="center"/>
              <w:rPr>
                <w:rFonts w:ascii="宋体" w:hAnsi="宋体" w:cs="宋体"/>
                <w:kern w:val="0"/>
                <w:sz w:val="21"/>
                <w:szCs w:val="21"/>
              </w:rPr>
            </w:pPr>
            <w:r>
              <w:rPr>
                <w:rFonts w:hint="eastAsia" w:ascii="宋体" w:hAnsi="宋体" w:cs="宋体"/>
                <w:kern w:val="0"/>
                <w:sz w:val="21"/>
                <w:szCs w:val="21"/>
              </w:rPr>
              <w:t>谢坊溪</w:t>
            </w:r>
          </w:p>
        </w:tc>
        <w:tc>
          <w:tcPr>
            <w:tcW w:w="598" w:type="pct"/>
            <w:tcBorders>
              <w:top w:val="nil"/>
              <w:left w:val="nil"/>
              <w:bottom w:val="single" w:color="auto" w:sz="4" w:space="0"/>
              <w:right w:val="single" w:color="auto" w:sz="4" w:space="0"/>
            </w:tcBorders>
            <w:vAlign w:val="center"/>
          </w:tcPr>
          <w:p w14:paraId="16E3CDCF">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3C5B2EAE">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111A90B2">
            <w:pPr>
              <w:widowControl/>
              <w:spacing w:line="240" w:lineRule="auto"/>
              <w:jc w:val="center"/>
              <w:rPr>
                <w:rFonts w:ascii="宋体" w:hAnsi="宋体" w:cs="宋体"/>
                <w:kern w:val="0"/>
                <w:sz w:val="21"/>
                <w:szCs w:val="21"/>
              </w:rPr>
            </w:pPr>
            <w:r>
              <w:rPr>
                <w:rFonts w:hint="eastAsia" w:ascii="宋体" w:hAnsi="宋体" w:cs="宋体"/>
                <w:kern w:val="0"/>
                <w:sz w:val="21"/>
                <w:szCs w:val="21"/>
              </w:rPr>
              <w:t>58.8</w:t>
            </w:r>
          </w:p>
        </w:tc>
        <w:tc>
          <w:tcPr>
            <w:tcW w:w="598" w:type="pct"/>
            <w:tcBorders>
              <w:top w:val="nil"/>
              <w:left w:val="nil"/>
              <w:bottom w:val="single" w:color="auto" w:sz="4" w:space="0"/>
              <w:right w:val="single" w:color="auto" w:sz="4" w:space="0"/>
            </w:tcBorders>
            <w:vAlign w:val="center"/>
          </w:tcPr>
          <w:p w14:paraId="432DBB14">
            <w:pPr>
              <w:widowControl/>
              <w:spacing w:line="240" w:lineRule="auto"/>
              <w:jc w:val="center"/>
              <w:rPr>
                <w:rFonts w:ascii="宋体" w:hAnsi="宋体" w:cs="宋体"/>
                <w:kern w:val="0"/>
                <w:sz w:val="21"/>
                <w:szCs w:val="21"/>
              </w:rPr>
            </w:pPr>
            <w:r>
              <w:rPr>
                <w:rFonts w:hint="eastAsia" w:ascii="宋体" w:hAnsi="宋体" w:cs="宋体"/>
                <w:kern w:val="0"/>
                <w:sz w:val="21"/>
                <w:szCs w:val="21"/>
              </w:rPr>
              <w:t>24</w:t>
            </w:r>
          </w:p>
        </w:tc>
        <w:tc>
          <w:tcPr>
            <w:tcW w:w="731" w:type="pct"/>
            <w:tcBorders>
              <w:top w:val="nil"/>
              <w:left w:val="nil"/>
              <w:bottom w:val="single" w:color="auto" w:sz="4" w:space="0"/>
              <w:right w:val="single" w:color="auto" w:sz="4" w:space="0"/>
            </w:tcBorders>
            <w:vAlign w:val="center"/>
          </w:tcPr>
          <w:p w14:paraId="4C6ED3DE">
            <w:pPr>
              <w:widowControl/>
              <w:spacing w:line="240" w:lineRule="auto"/>
              <w:jc w:val="center"/>
              <w:rPr>
                <w:rFonts w:ascii="宋体" w:hAnsi="宋体" w:cs="宋体"/>
                <w:kern w:val="0"/>
                <w:sz w:val="21"/>
                <w:szCs w:val="21"/>
              </w:rPr>
            </w:pPr>
          </w:p>
        </w:tc>
      </w:tr>
      <w:tr w14:paraId="058A94E1">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16DF89E9">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18BA6BF7">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42CC9EAC">
            <w:pPr>
              <w:widowControl/>
              <w:spacing w:line="240" w:lineRule="auto"/>
              <w:jc w:val="center"/>
              <w:rPr>
                <w:rFonts w:ascii="宋体" w:hAnsi="宋体" w:cs="宋体"/>
                <w:kern w:val="0"/>
                <w:sz w:val="21"/>
                <w:szCs w:val="21"/>
              </w:rPr>
            </w:pPr>
            <w:r>
              <w:rPr>
                <w:rFonts w:hint="eastAsia" w:ascii="宋体" w:hAnsi="宋体" w:cs="宋体"/>
                <w:kern w:val="0"/>
                <w:sz w:val="21"/>
                <w:szCs w:val="21"/>
              </w:rPr>
              <w:t>横田溪</w:t>
            </w:r>
          </w:p>
        </w:tc>
        <w:tc>
          <w:tcPr>
            <w:tcW w:w="598" w:type="pct"/>
            <w:tcBorders>
              <w:top w:val="nil"/>
              <w:left w:val="nil"/>
              <w:bottom w:val="single" w:color="auto" w:sz="4" w:space="0"/>
              <w:right w:val="single" w:color="auto" w:sz="4" w:space="0"/>
            </w:tcBorders>
            <w:vAlign w:val="center"/>
          </w:tcPr>
          <w:p w14:paraId="3EF01250">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1AFB5B22">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37E3F98C">
            <w:pPr>
              <w:widowControl/>
              <w:spacing w:line="240" w:lineRule="auto"/>
              <w:jc w:val="center"/>
              <w:rPr>
                <w:rFonts w:ascii="宋体" w:hAnsi="宋体" w:cs="宋体"/>
                <w:kern w:val="0"/>
                <w:sz w:val="21"/>
                <w:szCs w:val="21"/>
              </w:rPr>
            </w:pPr>
            <w:r>
              <w:rPr>
                <w:rFonts w:hint="eastAsia" w:ascii="宋体" w:hAnsi="宋体" w:cs="宋体"/>
                <w:kern w:val="0"/>
                <w:sz w:val="21"/>
                <w:szCs w:val="21"/>
              </w:rPr>
              <w:t>69.7</w:t>
            </w:r>
          </w:p>
        </w:tc>
        <w:tc>
          <w:tcPr>
            <w:tcW w:w="598" w:type="pct"/>
            <w:tcBorders>
              <w:top w:val="nil"/>
              <w:left w:val="nil"/>
              <w:bottom w:val="single" w:color="auto" w:sz="4" w:space="0"/>
              <w:right w:val="single" w:color="auto" w:sz="4" w:space="0"/>
            </w:tcBorders>
            <w:vAlign w:val="center"/>
          </w:tcPr>
          <w:p w14:paraId="3FE953AA">
            <w:pPr>
              <w:widowControl/>
              <w:spacing w:line="240" w:lineRule="auto"/>
              <w:jc w:val="center"/>
              <w:rPr>
                <w:rFonts w:ascii="宋体" w:hAnsi="宋体" w:cs="宋体"/>
                <w:kern w:val="0"/>
                <w:sz w:val="21"/>
                <w:szCs w:val="21"/>
              </w:rPr>
            </w:pPr>
            <w:r>
              <w:rPr>
                <w:rFonts w:hint="eastAsia" w:ascii="宋体" w:hAnsi="宋体" w:cs="宋体"/>
                <w:kern w:val="0"/>
                <w:sz w:val="21"/>
                <w:szCs w:val="21"/>
              </w:rPr>
              <w:t>22</w:t>
            </w:r>
          </w:p>
        </w:tc>
        <w:tc>
          <w:tcPr>
            <w:tcW w:w="731" w:type="pct"/>
            <w:tcBorders>
              <w:top w:val="nil"/>
              <w:left w:val="nil"/>
              <w:bottom w:val="single" w:color="auto" w:sz="4" w:space="0"/>
              <w:right w:val="single" w:color="auto" w:sz="4" w:space="0"/>
            </w:tcBorders>
            <w:vAlign w:val="center"/>
          </w:tcPr>
          <w:p w14:paraId="753B787F">
            <w:pPr>
              <w:widowControl/>
              <w:spacing w:line="240" w:lineRule="auto"/>
              <w:jc w:val="center"/>
              <w:rPr>
                <w:rFonts w:ascii="宋体" w:hAnsi="宋体" w:cs="宋体"/>
                <w:kern w:val="0"/>
                <w:sz w:val="21"/>
                <w:szCs w:val="21"/>
              </w:rPr>
            </w:pPr>
            <w:r>
              <w:rPr>
                <w:rFonts w:hint="eastAsia" w:ascii="宋体" w:hAnsi="宋体" w:cs="宋体"/>
                <w:kern w:val="0"/>
                <w:sz w:val="21"/>
                <w:szCs w:val="21"/>
              </w:rPr>
              <w:t>金溪河</w:t>
            </w:r>
          </w:p>
        </w:tc>
      </w:tr>
      <w:tr w14:paraId="40C220EC">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307E2F37">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3E622A6">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ECC3A0E">
            <w:pPr>
              <w:widowControl/>
              <w:spacing w:line="240" w:lineRule="auto"/>
              <w:jc w:val="center"/>
              <w:rPr>
                <w:rFonts w:ascii="宋体" w:hAnsi="宋体" w:cs="宋体"/>
                <w:kern w:val="0"/>
                <w:sz w:val="21"/>
                <w:szCs w:val="21"/>
              </w:rPr>
            </w:pPr>
            <w:r>
              <w:rPr>
                <w:rFonts w:hint="eastAsia" w:ascii="宋体" w:hAnsi="宋体" w:cs="宋体"/>
                <w:kern w:val="0"/>
                <w:sz w:val="21"/>
                <w:szCs w:val="21"/>
              </w:rPr>
              <w:t>红山河</w:t>
            </w:r>
          </w:p>
        </w:tc>
        <w:tc>
          <w:tcPr>
            <w:tcW w:w="598" w:type="pct"/>
            <w:tcBorders>
              <w:top w:val="nil"/>
              <w:left w:val="nil"/>
              <w:bottom w:val="single" w:color="auto" w:sz="4" w:space="0"/>
              <w:right w:val="single" w:color="auto" w:sz="4" w:space="0"/>
            </w:tcBorders>
            <w:vAlign w:val="center"/>
          </w:tcPr>
          <w:p w14:paraId="5BDC1FBF">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26BADB79">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698278D0">
            <w:pPr>
              <w:widowControl/>
              <w:spacing w:line="240" w:lineRule="auto"/>
              <w:jc w:val="center"/>
              <w:rPr>
                <w:rFonts w:ascii="宋体" w:hAnsi="宋体" w:cs="宋体"/>
                <w:kern w:val="0"/>
                <w:sz w:val="21"/>
                <w:szCs w:val="21"/>
              </w:rPr>
            </w:pPr>
            <w:r>
              <w:rPr>
                <w:rFonts w:hint="eastAsia" w:ascii="宋体" w:hAnsi="宋体" w:cs="宋体"/>
                <w:kern w:val="0"/>
                <w:sz w:val="21"/>
                <w:szCs w:val="21"/>
              </w:rPr>
              <w:t>194</w:t>
            </w:r>
          </w:p>
        </w:tc>
        <w:tc>
          <w:tcPr>
            <w:tcW w:w="598" w:type="pct"/>
            <w:tcBorders>
              <w:top w:val="nil"/>
              <w:left w:val="nil"/>
              <w:bottom w:val="single" w:color="auto" w:sz="4" w:space="0"/>
              <w:right w:val="single" w:color="auto" w:sz="4" w:space="0"/>
            </w:tcBorders>
            <w:vAlign w:val="center"/>
          </w:tcPr>
          <w:p w14:paraId="4D61A4D2">
            <w:pPr>
              <w:widowControl/>
              <w:spacing w:line="240" w:lineRule="auto"/>
              <w:jc w:val="center"/>
              <w:rPr>
                <w:rFonts w:ascii="宋体" w:hAnsi="宋体" w:cs="宋体"/>
                <w:kern w:val="0"/>
                <w:sz w:val="21"/>
                <w:szCs w:val="21"/>
              </w:rPr>
            </w:pPr>
            <w:r>
              <w:rPr>
                <w:rFonts w:hint="eastAsia" w:ascii="宋体" w:hAnsi="宋体" w:cs="宋体"/>
                <w:kern w:val="0"/>
                <w:sz w:val="21"/>
                <w:szCs w:val="21"/>
              </w:rPr>
              <w:t>37</w:t>
            </w:r>
          </w:p>
        </w:tc>
        <w:tc>
          <w:tcPr>
            <w:tcW w:w="731" w:type="pct"/>
            <w:tcBorders>
              <w:top w:val="nil"/>
              <w:left w:val="nil"/>
              <w:bottom w:val="single" w:color="auto" w:sz="4" w:space="0"/>
              <w:right w:val="single" w:color="auto" w:sz="4" w:space="0"/>
            </w:tcBorders>
            <w:vAlign w:val="center"/>
          </w:tcPr>
          <w:p w14:paraId="35FCDD4A">
            <w:pPr>
              <w:widowControl/>
              <w:spacing w:line="240" w:lineRule="auto"/>
              <w:jc w:val="center"/>
              <w:rPr>
                <w:rFonts w:ascii="宋体" w:hAnsi="宋体" w:cs="宋体"/>
                <w:kern w:val="0"/>
                <w:sz w:val="21"/>
                <w:szCs w:val="21"/>
              </w:rPr>
            </w:pPr>
          </w:p>
        </w:tc>
      </w:tr>
      <w:tr w14:paraId="3231CB29">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7275CAAF">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2BED8A52">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52E0313F">
            <w:pPr>
              <w:widowControl/>
              <w:spacing w:line="240" w:lineRule="auto"/>
              <w:jc w:val="center"/>
              <w:rPr>
                <w:rFonts w:ascii="宋体" w:hAnsi="宋体" w:cs="宋体"/>
                <w:kern w:val="0"/>
                <w:sz w:val="21"/>
                <w:szCs w:val="21"/>
              </w:rPr>
            </w:pPr>
            <w:r>
              <w:rPr>
                <w:rFonts w:hint="eastAsia" w:ascii="宋体" w:hAnsi="宋体" w:cs="宋体"/>
                <w:kern w:val="0"/>
                <w:sz w:val="21"/>
                <w:szCs w:val="21"/>
              </w:rPr>
              <w:t>大丰河</w:t>
            </w:r>
          </w:p>
        </w:tc>
        <w:tc>
          <w:tcPr>
            <w:tcW w:w="598" w:type="pct"/>
            <w:tcBorders>
              <w:top w:val="nil"/>
              <w:left w:val="nil"/>
              <w:bottom w:val="single" w:color="auto" w:sz="4" w:space="0"/>
              <w:right w:val="single" w:color="auto" w:sz="4" w:space="0"/>
            </w:tcBorders>
            <w:vAlign w:val="center"/>
          </w:tcPr>
          <w:p w14:paraId="7DCE2655">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68A19305">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199228AB">
            <w:pPr>
              <w:widowControl/>
              <w:spacing w:line="240" w:lineRule="auto"/>
              <w:jc w:val="center"/>
              <w:rPr>
                <w:rFonts w:ascii="宋体" w:hAnsi="宋体" w:cs="宋体"/>
                <w:kern w:val="0"/>
                <w:sz w:val="21"/>
                <w:szCs w:val="21"/>
              </w:rPr>
            </w:pPr>
            <w:r>
              <w:rPr>
                <w:rFonts w:hint="eastAsia" w:ascii="宋体" w:hAnsi="宋体" w:cs="宋体"/>
                <w:kern w:val="0"/>
                <w:sz w:val="21"/>
                <w:szCs w:val="21"/>
              </w:rPr>
              <w:t>109</w:t>
            </w:r>
          </w:p>
        </w:tc>
        <w:tc>
          <w:tcPr>
            <w:tcW w:w="598" w:type="pct"/>
            <w:tcBorders>
              <w:top w:val="nil"/>
              <w:left w:val="nil"/>
              <w:bottom w:val="single" w:color="auto" w:sz="4" w:space="0"/>
              <w:right w:val="single" w:color="auto" w:sz="4" w:space="0"/>
            </w:tcBorders>
            <w:vAlign w:val="center"/>
          </w:tcPr>
          <w:p w14:paraId="172EF9A5">
            <w:pPr>
              <w:widowControl/>
              <w:spacing w:line="240" w:lineRule="auto"/>
              <w:jc w:val="center"/>
              <w:rPr>
                <w:rFonts w:ascii="宋体" w:hAnsi="宋体" w:cs="宋体"/>
                <w:kern w:val="0"/>
                <w:sz w:val="21"/>
                <w:szCs w:val="21"/>
              </w:rPr>
            </w:pPr>
            <w:r>
              <w:rPr>
                <w:rFonts w:hint="eastAsia" w:ascii="宋体" w:hAnsi="宋体" w:cs="宋体"/>
                <w:kern w:val="0"/>
                <w:sz w:val="21"/>
                <w:szCs w:val="21"/>
              </w:rPr>
              <w:t>20</w:t>
            </w:r>
          </w:p>
        </w:tc>
        <w:tc>
          <w:tcPr>
            <w:tcW w:w="731" w:type="pct"/>
            <w:tcBorders>
              <w:top w:val="nil"/>
              <w:left w:val="nil"/>
              <w:bottom w:val="single" w:color="auto" w:sz="4" w:space="0"/>
              <w:right w:val="single" w:color="auto" w:sz="4" w:space="0"/>
            </w:tcBorders>
            <w:vAlign w:val="center"/>
          </w:tcPr>
          <w:p w14:paraId="002BFA66">
            <w:pPr>
              <w:widowControl/>
              <w:spacing w:line="240" w:lineRule="auto"/>
              <w:jc w:val="center"/>
              <w:rPr>
                <w:rFonts w:ascii="宋体" w:hAnsi="宋体" w:cs="宋体"/>
                <w:kern w:val="0"/>
                <w:sz w:val="21"/>
                <w:szCs w:val="21"/>
              </w:rPr>
            </w:pPr>
            <w:r>
              <w:rPr>
                <w:rFonts w:hint="eastAsia" w:ascii="宋体" w:hAnsi="宋体" w:cs="宋体"/>
                <w:kern w:val="0"/>
                <w:sz w:val="21"/>
                <w:szCs w:val="21"/>
              </w:rPr>
              <w:t>丰口河</w:t>
            </w:r>
          </w:p>
        </w:tc>
      </w:tr>
      <w:tr w14:paraId="4F07AD13">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3B4BAEE6">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61818EF6">
            <w:pPr>
              <w:widowControl/>
              <w:spacing w:line="240" w:lineRule="auto"/>
              <w:jc w:val="center"/>
              <w:rPr>
                <w:rFonts w:ascii="宋体" w:hAnsi="宋体" w:cs="宋体"/>
                <w:kern w:val="0"/>
                <w:sz w:val="21"/>
                <w:szCs w:val="21"/>
              </w:rPr>
            </w:pPr>
            <w:r>
              <w:rPr>
                <w:rFonts w:hint="eastAsia" w:ascii="宋体" w:hAnsi="宋体" w:cs="宋体"/>
                <w:kern w:val="0"/>
                <w:sz w:val="21"/>
                <w:szCs w:val="21"/>
              </w:rPr>
              <w:t>涂坊河</w:t>
            </w:r>
          </w:p>
        </w:tc>
        <w:tc>
          <w:tcPr>
            <w:tcW w:w="598" w:type="pct"/>
            <w:tcBorders>
              <w:top w:val="nil"/>
              <w:left w:val="nil"/>
              <w:bottom w:val="single" w:color="auto" w:sz="4" w:space="0"/>
              <w:right w:val="single" w:color="auto" w:sz="4" w:space="0"/>
            </w:tcBorders>
            <w:vAlign w:val="center"/>
          </w:tcPr>
          <w:p w14:paraId="4256524D">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04A03323">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10D66D0E">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0D22736D">
            <w:pPr>
              <w:widowControl/>
              <w:spacing w:line="240" w:lineRule="auto"/>
              <w:jc w:val="center"/>
              <w:rPr>
                <w:rFonts w:ascii="宋体" w:hAnsi="宋体" w:cs="宋体"/>
                <w:kern w:val="0"/>
                <w:sz w:val="21"/>
                <w:szCs w:val="21"/>
              </w:rPr>
            </w:pPr>
            <w:r>
              <w:rPr>
                <w:rFonts w:hint="eastAsia" w:ascii="宋体" w:hAnsi="宋体" w:cs="宋体"/>
                <w:kern w:val="0"/>
                <w:sz w:val="21"/>
                <w:szCs w:val="21"/>
              </w:rPr>
              <w:t>150</w:t>
            </w:r>
          </w:p>
        </w:tc>
        <w:tc>
          <w:tcPr>
            <w:tcW w:w="598" w:type="pct"/>
            <w:tcBorders>
              <w:top w:val="nil"/>
              <w:left w:val="nil"/>
              <w:bottom w:val="single" w:color="auto" w:sz="4" w:space="0"/>
              <w:right w:val="single" w:color="auto" w:sz="4" w:space="0"/>
            </w:tcBorders>
            <w:vAlign w:val="center"/>
          </w:tcPr>
          <w:p w14:paraId="7DB2DF0E">
            <w:pPr>
              <w:widowControl/>
              <w:spacing w:line="240" w:lineRule="auto"/>
              <w:jc w:val="center"/>
              <w:rPr>
                <w:rFonts w:ascii="宋体" w:hAnsi="宋体" w:cs="宋体"/>
                <w:kern w:val="0"/>
                <w:sz w:val="21"/>
                <w:szCs w:val="21"/>
              </w:rPr>
            </w:pPr>
            <w:r>
              <w:rPr>
                <w:rFonts w:hint="eastAsia" w:ascii="宋体" w:hAnsi="宋体" w:cs="宋体"/>
                <w:kern w:val="0"/>
                <w:sz w:val="21"/>
                <w:szCs w:val="21"/>
              </w:rPr>
              <w:t>40</w:t>
            </w:r>
          </w:p>
        </w:tc>
        <w:tc>
          <w:tcPr>
            <w:tcW w:w="731" w:type="pct"/>
            <w:tcBorders>
              <w:top w:val="nil"/>
              <w:left w:val="nil"/>
              <w:bottom w:val="single" w:color="auto" w:sz="4" w:space="0"/>
              <w:right w:val="single" w:color="auto" w:sz="4" w:space="0"/>
            </w:tcBorders>
            <w:vAlign w:val="center"/>
          </w:tcPr>
          <w:p w14:paraId="522420B5">
            <w:pPr>
              <w:widowControl/>
              <w:spacing w:line="240" w:lineRule="auto"/>
              <w:jc w:val="center"/>
              <w:rPr>
                <w:rFonts w:ascii="宋体" w:hAnsi="宋体" w:cs="宋体"/>
                <w:kern w:val="0"/>
                <w:sz w:val="21"/>
                <w:szCs w:val="21"/>
              </w:rPr>
            </w:pPr>
          </w:p>
        </w:tc>
      </w:tr>
      <w:tr w14:paraId="51DF0B28">
        <w:tblPrEx>
          <w:tblCellMar>
            <w:top w:w="0" w:type="dxa"/>
            <w:left w:w="108" w:type="dxa"/>
            <w:bottom w:w="0" w:type="dxa"/>
            <w:right w:w="108" w:type="dxa"/>
          </w:tblCellMar>
        </w:tblPrEx>
        <w:trPr>
          <w:trHeight w:val="402" w:hRule="atLeast"/>
        </w:trPr>
        <w:tc>
          <w:tcPr>
            <w:tcW w:w="510" w:type="pct"/>
            <w:vMerge w:val="restart"/>
            <w:tcBorders>
              <w:top w:val="nil"/>
              <w:left w:val="single" w:color="auto" w:sz="4" w:space="0"/>
              <w:bottom w:val="single" w:color="auto" w:sz="4" w:space="0"/>
              <w:right w:val="single" w:color="auto" w:sz="4" w:space="0"/>
            </w:tcBorders>
            <w:vAlign w:val="center"/>
          </w:tcPr>
          <w:p w14:paraId="74878C43">
            <w:pPr>
              <w:widowControl/>
              <w:spacing w:line="240" w:lineRule="auto"/>
              <w:jc w:val="center"/>
              <w:rPr>
                <w:rFonts w:ascii="宋体" w:hAnsi="宋体" w:cs="宋体"/>
                <w:kern w:val="0"/>
                <w:sz w:val="21"/>
                <w:szCs w:val="21"/>
              </w:rPr>
            </w:pPr>
            <w:r>
              <w:rPr>
                <w:rFonts w:hint="eastAsia" w:ascii="宋体" w:hAnsi="宋体" w:cs="宋体"/>
                <w:kern w:val="0"/>
                <w:sz w:val="21"/>
                <w:szCs w:val="21"/>
              </w:rPr>
              <w:t>闽江</w:t>
            </w:r>
          </w:p>
        </w:tc>
        <w:tc>
          <w:tcPr>
            <w:tcW w:w="598" w:type="pct"/>
            <w:tcBorders>
              <w:top w:val="nil"/>
              <w:left w:val="nil"/>
              <w:bottom w:val="single" w:color="auto" w:sz="4" w:space="0"/>
              <w:right w:val="single" w:color="auto" w:sz="4" w:space="0"/>
            </w:tcBorders>
            <w:vAlign w:val="center"/>
          </w:tcPr>
          <w:p w14:paraId="0F1CE8CB">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631B705C">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2EB2779A">
            <w:pPr>
              <w:widowControl/>
              <w:spacing w:line="240" w:lineRule="auto"/>
              <w:jc w:val="center"/>
              <w:rPr>
                <w:rFonts w:ascii="宋体" w:hAnsi="宋体" w:cs="宋体"/>
                <w:kern w:val="0"/>
                <w:sz w:val="21"/>
                <w:szCs w:val="21"/>
              </w:rPr>
            </w:pPr>
            <w:r>
              <w:rPr>
                <w:rFonts w:hint="eastAsia" w:ascii="宋体" w:hAnsi="宋体" w:cs="宋体"/>
                <w:kern w:val="0"/>
                <w:sz w:val="21"/>
                <w:szCs w:val="21"/>
              </w:rPr>
              <w:t>童坊河</w:t>
            </w:r>
          </w:p>
        </w:tc>
        <w:tc>
          <w:tcPr>
            <w:tcW w:w="684" w:type="pct"/>
            <w:tcBorders>
              <w:top w:val="nil"/>
              <w:left w:val="nil"/>
              <w:bottom w:val="single" w:color="auto" w:sz="4" w:space="0"/>
              <w:right w:val="single" w:color="auto" w:sz="4" w:space="0"/>
            </w:tcBorders>
            <w:vAlign w:val="center"/>
          </w:tcPr>
          <w:p w14:paraId="0FA3244B">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00B40075">
            <w:pPr>
              <w:widowControl/>
              <w:spacing w:line="240" w:lineRule="auto"/>
              <w:jc w:val="center"/>
              <w:rPr>
                <w:rFonts w:ascii="宋体" w:hAnsi="宋体" w:cs="宋体"/>
                <w:kern w:val="0"/>
                <w:sz w:val="21"/>
                <w:szCs w:val="21"/>
              </w:rPr>
            </w:pPr>
            <w:r>
              <w:rPr>
                <w:rFonts w:hint="eastAsia" w:ascii="宋体" w:hAnsi="宋体" w:cs="宋体"/>
                <w:kern w:val="0"/>
                <w:sz w:val="21"/>
                <w:szCs w:val="21"/>
              </w:rPr>
              <w:t>375</w:t>
            </w:r>
          </w:p>
        </w:tc>
        <w:tc>
          <w:tcPr>
            <w:tcW w:w="598" w:type="pct"/>
            <w:tcBorders>
              <w:top w:val="nil"/>
              <w:left w:val="nil"/>
              <w:bottom w:val="single" w:color="auto" w:sz="4" w:space="0"/>
              <w:right w:val="single" w:color="auto" w:sz="4" w:space="0"/>
            </w:tcBorders>
            <w:vAlign w:val="center"/>
          </w:tcPr>
          <w:p w14:paraId="14822641">
            <w:pPr>
              <w:widowControl/>
              <w:spacing w:line="240" w:lineRule="auto"/>
              <w:jc w:val="center"/>
              <w:rPr>
                <w:rFonts w:ascii="宋体" w:hAnsi="宋体" w:cs="宋体"/>
                <w:kern w:val="0"/>
                <w:sz w:val="21"/>
                <w:szCs w:val="21"/>
              </w:rPr>
            </w:pPr>
            <w:r>
              <w:rPr>
                <w:rFonts w:hint="eastAsia" w:ascii="宋体" w:hAnsi="宋体" w:cs="宋体"/>
                <w:kern w:val="0"/>
                <w:sz w:val="21"/>
                <w:szCs w:val="21"/>
              </w:rPr>
              <w:t>47.4</w:t>
            </w:r>
          </w:p>
        </w:tc>
        <w:tc>
          <w:tcPr>
            <w:tcW w:w="731" w:type="pct"/>
            <w:tcBorders>
              <w:top w:val="nil"/>
              <w:left w:val="nil"/>
              <w:bottom w:val="single" w:color="auto" w:sz="4" w:space="0"/>
              <w:right w:val="single" w:color="auto" w:sz="4" w:space="0"/>
            </w:tcBorders>
            <w:vAlign w:val="center"/>
          </w:tcPr>
          <w:p w14:paraId="6002435C">
            <w:pPr>
              <w:widowControl/>
              <w:spacing w:line="240" w:lineRule="auto"/>
              <w:jc w:val="center"/>
              <w:rPr>
                <w:rFonts w:ascii="宋体" w:hAnsi="宋体" w:cs="宋体"/>
                <w:kern w:val="0"/>
                <w:sz w:val="21"/>
                <w:szCs w:val="21"/>
              </w:rPr>
            </w:pPr>
            <w:r>
              <w:rPr>
                <w:rFonts w:hint="eastAsia" w:ascii="宋体" w:hAnsi="宋体" w:cs="宋体"/>
                <w:kern w:val="0"/>
                <w:sz w:val="21"/>
                <w:szCs w:val="21"/>
              </w:rPr>
              <w:t>罗口溪</w:t>
            </w:r>
          </w:p>
        </w:tc>
      </w:tr>
      <w:tr w14:paraId="4B636FDA">
        <w:tblPrEx>
          <w:tblCellMar>
            <w:top w:w="0" w:type="dxa"/>
            <w:left w:w="108" w:type="dxa"/>
            <w:bottom w:w="0" w:type="dxa"/>
            <w:right w:w="108" w:type="dxa"/>
          </w:tblCellMar>
        </w:tblPrEx>
        <w:trPr>
          <w:trHeight w:val="402" w:hRule="atLeast"/>
        </w:trPr>
        <w:tc>
          <w:tcPr>
            <w:tcW w:w="510" w:type="pct"/>
            <w:vMerge w:val="continue"/>
            <w:tcBorders>
              <w:top w:val="nil"/>
              <w:left w:val="single" w:color="auto" w:sz="4" w:space="0"/>
              <w:bottom w:val="single" w:color="auto" w:sz="4" w:space="0"/>
              <w:right w:val="single" w:color="auto" w:sz="4" w:space="0"/>
            </w:tcBorders>
            <w:vAlign w:val="center"/>
          </w:tcPr>
          <w:p w14:paraId="74BBE0E2">
            <w:pPr>
              <w:widowControl/>
              <w:spacing w:line="240" w:lineRule="auto"/>
              <w:jc w:val="left"/>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66AF38C2">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6B2151A7">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78465213">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3CC79E03">
            <w:pPr>
              <w:widowControl/>
              <w:spacing w:line="240" w:lineRule="auto"/>
              <w:jc w:val="center"/>
              <w:rPr>
                <w:rFonts w:ascii="宋体" w:hAnsi="宋体" w:cs="宋体"/>
                <w:kern w:val="0"/>
                <w:sz w:val="21"/>
                <w:szCs w:val="21"/>
              </w:rPr>
            </w:pPr>
            <w:r>
              <w:rPr>
                <w:rFonts w:hint="eastAsia" w:ascii="宋体" w:hAnsi="宋体" w:cs="宋体"/>
                <w:kern w:val="0"/>
                <w:sz w:val="21"/>
                <w:szCs w:val="21"/>
              </w:rPr>
              <w:t>馆前河</w:t>
            </w:r>
          </w:p>
        </w:tc>
        <w:tc>
          <w:tcPr>
            <w:tcW w:w="683" w:type="pct"/>
            <w:tcBorders>
              <w:top w:val="nil"/>
              <w:left w:val="nil"/>
              <w:bottom w:val="single" w:color="auto" w:sz="4" w:space="0"/>
              <w:right w:val="single" w:color="auto" w:sz="4" w:space="0"/>
            </w:tcBorders>
            <w:vAlign w:val="center"/>
          </w:tcPr>
          <w:p w14:paraId="51059D59">
            <w:pPr>
              <w:widowControl/>
              <w:spacing w:line="240" w:lineRule="auto"/>
              <w:jc w:val="center"/>
              <w:rPr>
                <w:rFonts w:ascii="宋体" w:hAnsi="宋体" w:cs="宋体"/>
                <w:kern w:val="0"/>
                <w:sz w:val="21"/>
                <w:szCs w:val="21"/>
              </w:rPr>
            </w:pPr>
            <w:r>
              <w:rPr>
                <w:rFonts w:hint="eastAsia" w:ascii="宋体" w:hAnsi="宋体" w:cs="宋体"/>
                <w:kern w:val="0"/>
                <w:sz w:val="21"/>
                <w:szCs w:val="21"/>
              </w:rPr>
              <w:t>68.5</w:t>
            </w:r>
          </w:p>
        </w:tc>
        <w:tc>
          <w:tcPr>
            <w:tcW w:w="598" w:type="pct"/>
            <w:tcBorders>
              <w:top w:val="nil"/>
              <w:left w:val="nil"/>
              <w:bottom w:val="single" w:color="auto" w:sz="4" w:space="0"/>
              <w:right w:val="single" w:color="auto" w:sz="4" w:space="0"/>
            </w:tcBorders>
            <w:vAlign w:val="center"/>
          </w:tcPr>
          <w:p w14:paraId="5F724B61">
            <w:pPr>
              <w:widowControl/>
              <w:spacing w:line="240" w:lineRule="auto"/>
              <w:jc w:val="center"/>
              <w:rPr>
                <w:rFonts w:ascii="宋体" w:hAnsi="宋体" w:cs="宋体"/>
                <w:kern w:val="0"/>
                <w:sz w:val="21"/>
                <w:szCs w:val="21"/>
              </w:rPr>
            </w:pPr>
            <w:r>
              <w:rPr>
                <w:rFonts w:hint="eastAsia" w:ascii="宋体" w:hAnsi="宋体" w:cs="宋体"/>
                <w:kern w:val="0"/>
                <w:sz w:val="21"/>
                <w:szCs w:val="21"/>
              </w:rPr>
              <w:t>19.5</w:t>
            </w:r>
          </w:p>
        </w:tc>
        <w:tc>
          <w:tcPr>
            <w:tcW w:w="731" w:type="pct"/>
            <w:tcBorders>
              <w:top w:val="nil"/>
              <w:left w:val="nil"/>
              <w:bottom w:val="single" w:color="auto" w:sz="4" w:space="0"/>
              <w:right w:val="single" w:color="auto" w:sz="4" w:space="0"/>
            </w:tcBorders>
            <w:vAlign w:val="center"/>
          </w:tcPr>
          <w:p w14:paraId="3EC29F3B">
            <w:pPr>
              <w:widowControl/>
              <w:spacing w:line="240" w:lineRule="auto"/>
              <w:jc w:val="center"/>
              <w:rPr>
                <w:rFonts w:ascii="宋体" w:hAnsi="宋体" w:cs="宋体"/>
                <w:kern w:val="0"/>
                <w:sz w:val="21"/>
                <w:szCs w:val="21"/>
              </w:rPr>
            </w:pPr>
          </w:p>
        </w:tc>
      </w:tr>
      <w:tr w14:paraId="10918ACF">
        <w:tblPrEx>
          <w:tblCellMar>
            <w:top w:w="0" w:type="dxa"/>
            <w:left w:w="108" w:type="dxa"/>
            <w:bottom w:w="0" w:type="dxa"/>
            <w:right w:w="108" w:type="dxa"/>
          </w:tblCellMar>
        </w:tblPrEx>
        <w:trPr>
          <w:trHeight w:val="402" w:hRule="atLeast"/>
        </w:trPr>
        <w:tc>
          <w:tcPr>
            <w:tcW w:w="510" w:type="pct"/>
            <w:tcBorders>
              <w:top w:val="nil"/>
              <w:left w:val="single" w:color="auto" w:sz="4" w:space="0"/>
              <w:bottom w:val="single" w:color="auto" w:sz="4" w:space="0"/>
              <w:right w:val="single" w:color="auto" w:sz="4" w:space="0"/>
            </w:tcBorders>
            <w:vAlign w:val="center"/>
          </w:tcPr>
          <w:p w14:paraId="40C6DABB">
            <w:pPr>
              <w:widowControl/>
              <w:spacing w:line="240" w:lineRule="auto"/>
              <w:jc w:val="center"/>
              <w:rPr>
                <w:rFonts w:ascii="宋体" w:hAnsi="宋体" w:cs="宋体"/>
                <w:kern w:val="0"/>
                <w:sz w:val="21"/>
                <w:szCs w:val="21"/>
              </w:rPr>
            </w:pPr>
            <w:r>
              <w:rPr>
                <w:rFonts w:hint="eastAsia" w:ascii="宋体" w:hAnsi="宋体" w:cs="宋体"/>
                <w:kern w:val="0"/>
                <w:sz w:val="21"/>
                <w:szCs w:val="21"/>
              </w:rPr>
              <w:t>赣江</w:t>
            </w:r>
          </w:p>
        </w:tc>
        <w:tc>
          <w:tcPr>
            <w:tcW w:w="598" w:type="pct"/>
            <w:tcBorders>
              <w:top w:val="nil"/>
              <w:left w:val="nil"/>
              <w:bottom w:val="single" w:color="auto" w:sz="4" w:space="0"/>
              <w:right w:val="single" w:color="auto" w:sz="4" w:space="0"/>
            </w:tcBorders>
            <w:vAlign w:val="center"/>
          </w:tcPr>
          <w:p w14:paraId="27C21E4A">
            <w:pPr>
              <w:widowControl/>
              <w:spacing w:line="240" w:lineRule="auto"/>
              <w:jc w:val="center"/>
              <w:rPr>
                <w:rFonts w:ascii="宋体" w:hAnsi="宋体" w:cs="宋体"/>
                <w:kern w:val="0"/>
                <w:sz w:val="21"/>
                <w:szCs w:val="21"/>
              </w:rPr>
            </w:pPr>
            <w:r>
              <w:rPr>
                <w:rFonts w:hint="eastAsia" w:ascii="宋体" w:hAnsi="宋体" w:cs="宋体"/>
                <w:kern w:val="0"/>
                <w:sz w:val="21"/>
                <w:szCs w:val="21"/>
              </w:rPr>
              <w:t>古城河</w:t>
            </w:r>
          </w:p>
        </w:tc>
        <w:tc>
          <w:tcPr>
            <w:tcW w:w="598" w:type="pct"/>
            <w:tcBorders>
              <w:top w:val="nil"/>
              <w:left w:val="nil"/>
              <w:bottom w:val="single" w:color="auto" w:sz="4" w:space="0"/>
              <w:right w:val="single" w:color="auto" w:sz="4" w:space="0"/>
            </w:tcBorders>
            <w:vAlign w:val="center"/>
          </w:tcPr>
          <w:p w14:paraId="5D10B501">
            <w:pPr>
              <w:widowControl/>
              <w:spacing w:line="240" w:lineRule="auto"/>
              <w:jc w:val="center"/>
              <w:rPr>
                <w:rFonts w:ascii="宋体" w:hAnsi="宋体" w:cs="宋体"/>
                <w:kern w:val="0"/>
                <w:sz w:val="21"/>
                <w:szCs w:val="21"/>
              </w:rPr>
            </w:pPr>
          </w:p>
        </w:tc>
        <w:tc>
          <w:tcPr>
            <w:tcW w:w="598" w:type="pct"/>
            <w:tcBorders>
              <w:top w:val="nil"/>
              <w:left w:val="nil"/>
              <w:bottom w:val="single" w:color="auto" w:sz="4" w:space="0"/>
              <w:right w:val="single" w:color="auto" w:sz="4" w:space="0"/>
            </w:tcBorders>
            <w:vAlign w:val="center"/>
          </w:tcPr>
          <w:p w14:paraId="64FCC313">
            <w:pPr>
              <w:widowControl/>
              <w:spacing w:line="240" w:lineRule="auto"/>
              <w:jc w:val="center"/>
              <w:rPr>
                <w:rFonts w:ascii="宋体" w:hAnsi="宋体" w:cs="宋体"/>
                <w:kern w:val="0"/>
                <w:sz w:val="21"/>
                <w:szCs w:val="21"/>
              </w:rPr>
            </w:pPr>
          </w:p>
        </w:tc>
        <w:tc>
          <w:tcPr>
            <w:tcW w:w="684" w:type="pct"/>
            <w:tcBorders>
              <w:top w:val="nil"/>
              <w:left w:val="nil"/>
              <w:bottom w:val="single" w:color="auto" w:sz="4" w:space="0"/>
              <w:right w:val="single" w:color="auto" w:sz="4" w:space="0"/>
            </w:tcBorders>
            <w:vAlign w:val="center"/>
          </w:tcPr>
          <w:p w14:paraId="4FD49654">
            <w:pPr>
              <w:widowControl/>
              <w:spacing w:line="240" w:lineRule="auto"/>
              <w:jc w:val="center"/>
              <w:rPr>
                <w:rFonts w:ascii="宋体" w:hAnsi="宋体" w:cs="宋体"/>
                <w:kern w:val="0"/>
                <w:sz w:val="21"/>
                <w:szCs w:val="21"/>
              </w:rPr>
            </w:pPr>
          </w:p>
        </w:tc>
        <w:tc>
          <w:tcPr>
            <w:tcW w:w="683" w:type="pct"/>
            <w:tcBorders>
              <w:top w:val="nil"/>
              <w:left w:val="nil"/>
              <w:bottom w:val="single" w:color="auto" w:sz="4" w:space="0"/>
              <w:right w:val="single" w:color="auto" w:sz="4" w:space="0"/>
            </w:tcBorders>
            <w:vAlign w:val="center"/>
          </w:tcPr>
          <w:p w14:paraId="2997F9F8">
            <w:pPr>
              <w:widowControl/>
              <w:spacing w:line="240" w:lineRule="auto"/>
              <w:jc w:val="center"/>
              <w:rPr>
                <w:rFonts w:ascii="宋体" w:hAnsi="宋体" w:cs="宋体"/>
                <w:kern w:val="0"/>
                <w:sz w:val="21"/>
                <w:szCs w:val="21"/>
              </w:rPr>
            </w:pPr>
            <w:r>
              <w:rPr>
                <w:rFonts w:hint="eastAsia" w:ascii="宋体" w:hAnsi="宋体" w:cs="宋体"/>
                <w:kern w:val="0"/>
                <w:sz w:val="21"/>
                <w:szCs w:val="21"/>
              </w:rPr>
              <w:t>129</w:t>
            </w:r>
          </w:p>
        </w:tc>
        <w:tc>
          <w:tcPr>
            <w:tcW w:w="598" w:type="pct"/>
            <w:tcBorders>
              <w:top w:val="nil"/>
              <w:left w:val="nil"/>
              <w:bottom w:val="single" w:color="auto" w:sz="4" w:space="0"/>
              <w:right w:val="single" w:color="auto" w:sz="4" w:space="0"/>
            </w:tcBorders>
            <w:vAlign w:val="center"/>
          </w:tcPr>
          <w:p w14:paraId="465D76AF">
            <w:pPr>
              <w:widowControl/>
              <w:spacing w:line="240" w:lineRule="auto"/>
              <w:jc w:val="center"/>
              <w:rPr>
                <w:rFonts w:ascii="宋体" w:hAnsi="宋体" w:cs="宋体"/>
                <w:kern w:val="0"/>
                <w:sz w:val="21"/>
                <w:szCs w:val="21"/>
              </w:rPr>
            </w:pPr>
            <w:r>
              <w:rPr>
                <w:rFonts w:hint="eastAsia" w:ascii="宋体" w:hAnsi="宋体" w:cs="宋体"/>
                <w:kern w:val="0"/>
                <w:sz w:val="21"/>
                <w:szCs w:val="21"/>
              </w:rPr>
              <w:t>23.5</w:t>
            </w:r>
          </w:p>
        </w:tc>
        <w:tc>
          <w:tcPr>
            <w:tcW w:w="731" w:type="pct"/>
            <w:tcBorders>
              <w:top w:val="nil"/>
              <w:left w:val="nil"/>
              <w:bottom w:val="single" w:color="auto" w:sz="4" w:space="0"/>
              <w:right w:val="single" w:color="auto" w:sz="4" w:space="0"/>
            </w:tcBorders>
            <w:vAlign w:val="center"/>
          </w:tcPr>
          <w:p w14:paraId="0A9EFE61">
            <w:pPr>
              <w:widowControl/>
              <w:spacing w:line="240" w:lineRule="auto"/>
              <w:jc w:val="center"/>
              <w:rPr>
                <w:rFonts w:ascii="宋体" w:hAnsi="宋体" w:cs="宋体"/>
                <w:kern w:val="0"/>
                <w:sz w:val="20"/>
                <w:szCs w:val="20"/>
              </w:rPr>
            </w:pPr>
          </w:p>
        </w:tc>
      </w:tr>
    </w:tbl>
    <w:p w14:paraId="3A86EA30">
      <w:pPr>
        <w:pStyle w:val="4"/>
        <w:numPr>
          <w:ilvl w:val="2"/>
          <w:numId w:val="2"/>
        </w:numPr>
        <w:rPr>
          <w:rFonts w:ascii="宋体" w:hAnsi="宋体"/>
          <w:color w:val="auto"/>
        </w:rPr>
      </w:pPr>
      <w:r>
        <w:rPr>
          <w:rFonts w:hint="eastAsia" w:ascii="宋体" w:hAnsi="宋体"/>
          <w:color w:val="auto"/>
        </w:rPr>
        <w:t>水资源状况</w:t>
      </w:r>
    </w:p>
    <w:p w14:paraId="677E44A2">
      <w:pPr>
        <w:ind w:firstLine="560" w:firstLineChars="200"/>
        <w:rPr>
          <w:rFonts w:ascii="宋体" w:hAnsi="宋体"/>
          <w:szCs w:val="28"/>
        </w:rPr>
      </w:pPr>
      <w:r>
        <w:rPr>
          <w:rFonts w:hint="eastAsia" w:ascii="宋体" w:hAnsi="宋体"/>
          <w:szCs w:val="28"/>
        </w:rPr>
        <w:t>(1)</w:t>
      </w:r>
      <w:r>
        <w:rPr>
          <w:rFonts w:ascii="宋体" w:hAnsi="宋体"/>
          <w:szCs w:val="28"/>
        </w:rPr>
        <w:t>水资源量</w:t>
      </w:r>
    </w:p>
    <w:p w14:paraId="721BD8BC">
      <w:pPr>
        <w:ind w:firstLine="482"/>
        <w:rPr>
          <w:rFonts w:ascii="宋体" w:hAnsi="宋体"/>
          <w:szCs w:val="28"/>
        </w:rPr>
      </w:pPr>
      <w:r>
        <w:rPr>
          <w:rFonts w:ascii="宋体" w:hAnsi="宋体"/>
          <w:szCs w:val="28"/>
        </w:rPr>
        <w:t>根据龙岩市水利局发布的《20</w:t>
      </w:r>
      <w:r>
        <w:rPr>
          <w:rFonts w:hint="eastAsia" w:ascii="宋体" w:hAnsi="宋体"/>
          <w:szCs w:val="28"/>
        </w:rPr>
        <w:t>24</w:t>
      </w:r>
      <w:r>
        <w:rPr>
          <w:rFonts w:ascii="宋体" w:hAnsi="宋体"/>
          <w:szCs w:val="28"/>
        </w:rPr>
        <w:t>年龙岩市水利统计公报》，</w:t>
      </w:r>
      <w:r>
        <w:rPr>
          <w:rFonts w:hint="eastAsia" w:ascii="宋体" w:hAnsi="宋体"/>
          <w:szCs w:val="28"/>
        </w:rPr>
        <w:t>2024年，长汀县</w:t>
      </w:r>
      <w:r>
        <w:rPr>
          <w:rFonts w:ascii="宋体" w:hAnsi="宋体"/>
          <w:szCs w:val="28"/>
        </w:rPr>
        <w:t>降水折合总水量为</w:t>
      </w:r>
      <w:r>
        <w:rPr>
          <w:rFonts w:hint="eastAsia" w:ascii="宋体" w:hAnsi="宋体"/>
          <w:szCs w:val="28"/>
        </w:rPr>
        <w:t>56.74亿m</w:t>
      </w:r>
      <w:r>
        <w:rPr>
          <w:rFonts w:hint="eastAsia" w:ascii="宋体" w:hAnsi="宋体"/>
          <w:szCs w:val="28"/>
          <w:vertAlign w:val="superscript"/>
        </w:rPr>
        <w:t>3</w:t>
      </w:r>
      <w:r>
        <w:rPr>
          <w:rFonts w:hint="eastAsia" w:ascii="宋体" w:hAnsi="宋体"/>
          <w:szCs w:val="28"/>
        </w:rPr>
        <w:t>，</w:t>
      </w:r>
      <w:r>
        <w:rPr>
          <w:rFonts w:ascii="宋体" w:hAnsi="宋体"/>
          <w:szCs w:val="28"/>
        </w:rPr>
        <w:t>比较多年平均</w:t>
      </w:r>
      <w:r>
        <w:rPr>
          <w:rFonts w:hint="eastAsia" w:ascii="宋体" w:hAnsi="宋体"/>
          <w:szCs w:val="28"/>
        </w:rPr>
        <w:t>降水量</w:t>
      </w:r>
      <w:r>
        <w:rPr>
          <w:rFonts w:ascii="宋体" w:hAnsi="宋体"/>
          <w:szCs w:val="28"/>
        </w:rPr>
        <w:t>增多</w:t>
      </w:r>
      <w:r>
        <w:rPr>
          <w:rFonts w:hint="eastAsia" w:ascii="宋体" w:hAnsi="宋体"/>
          <w:szCs w:val="28"/>
        </w:rPr>
        <w:t>5.6</w:t>
      </w:r>
      <w:r>
        <w:rPr>
          <w:rFonts w:ascii="宋体" w:hAnsi="宋体"/>
          <w:szCs w:val="28"/>
        </w:rPr>
        <w:t>%</w:t>
      </w:r>
      <w:r>
        <w:rPr>
          <w:rFonts w:hint="eastAsia" w:ascii="宋体" w:hAnsi="宋体"/>
          <w:szCs w:val="28"/>
        </w:rPr>
        <w:t>，为丰水年。</w:t>
      </w:r>
      <w:bookmarkStart w:id="4" w:name="OLE_LINK18"/>
      <w:r>
        <w:rPr>
          <w:rFonts w:hint="eastAsia" w:ascii="宋体" w:hAnsi="宋体"/>
          <w:szCs w:val="28"/>
        </w:rPr>
        <w:t>全县</w:t>
      </w:r>
      <w:bookmarkEnd w:id="4"/>
      <w:r>
        <w:rPr>
          <w:rFonts w:hint="eastAsia" w:ascii="宋体" w:hAnsi="宋体"/>
          <w:szCs w:val="28"/>
        </w:rPr>
        <w:t>年地表水资源量30.01地下水资源量7.27亿m</w:t>
      </w:r>
      <w:r>
        <w:rPr>
          <w:rFonts w:hint="eastAsia" w:ascii="宋体" w:hAnsi="宋体"/>
          <w:szCs w:val="28"/>
          <w:vertAlign w:val="superscript"/>
        </w:rPr>
        <w:t>3</w:t>
      </w:r>
      <w:r>
        <w:rPr>
          <w:rFonts w:hint="eastAsia" w:ascii="宋体" w:hAnsi="宋体"/>
          <w:szCs w:val="28"/>
        </w:rPr>
        <w:t>，扣除重复水量，2024年全县水资源总量为</w:t>
      </w:r>
      <w:bookmarkStart w:id="5" w:name="OLE_LINK17"/>
      <w:r>
        <w:rPr>
          <w:rFonts w:hint="eastAsia" w:ascii="宋体" w:hAnsi="宋体"/>
          <w:szCs w:val="28"/>
        </w:rPr>
        <w:t>30.01亿</w:t>
      </w:r>
      <w:bookmarkEnd w:id="5"/>
      <w:r>
        <w:rPr>
          <w:rFonts w:hint="eastAsia" w:ascii="宋体" w:hAnsi="宋体"/>
          <w:szCs w:val="28"/>
        </w:rPr>
        <w:t>m3，人均拥有水资源量约为7655.6m3。年供水总量3.04亿m3，全年用水总量3.04亿m3，较上年减少0.08亿m3。其中，农业用水量2.09亿m3，占总用水量的69%，节约用水的潜力很大。</w:t>
      </w:r>
    </w:p>
    <w:p w14:paraId="773B1798">
      <w:pPr>
        <w:pStyle w:val="4"/>
        <w:numPr>
          <w:ilvl w:val="2"/>
          <w:numId w:val="2"/>
        </w:numPr>
        <w:rPr>
          <w:rFonts w:ascii="宋体" w:hAnsi="宋体"/>
          <w:color w:val="auto"/>
        </w:rPr>
      </w:pPr>
      <w:r>
        <w:rPr>
          <w:rFonts w:hint="eastAsia" w:ascii="宋体" w:hAnsi="宋体"/>
          <w:color w:val="auto"/>
        </w:rPr>
        <w:t>水旱灾害</w:t>
      </w:r>
    </w:p>
    <w:p w14:paraId="7DCE8E95">
      <w:pPr>
        <w:ind w:firstLine="482"/>
        <w:rPr>
          <w:rFonts w:ascii="宋体" w:hAnsi="宋体"/>
          <w:szCs w:val="28"/>
        </w:rPr>
      </w:pPr>
      <w:r>
        <w:rPr>
          <w:rFonts w:hint="eastAsia" w:ascii="宋体" w:hAnsi="宋体"/>
          <w:szCs w:val="28"/>
        </w:rPr>
        <w:t>长汀大范围降雨有梅雨和台风两种类型，大洪水多由台风暴雨引起，主要发生在7~9月。台风暴雨具有强度大、过程急、来势猛、范围广，成灾特别严重等特征。长汀县洪涝灾害大多同时发生，境内河流大多属山区性河流，支流源短流急，洪水暴涨暴落，受外江高水位影响，易导致涝水排泄不畅，形成内涝。新中国成立以来，全县局或较大范围发生的水灾有近50次。</w:t>
      </w:r>
    </w:p>
    <w:p w14:paraId="5C8E223C">
      <w:pPr>
        <w:ind w:firstLine="482"/>
        <w:rPr>
          <w:rFonts w:ascii="宋体" w:hAnsi="宋体"/>
          <w:szCs w:val="28"/>
        </w:rPr>
      </w:pPr>
      <w:r>
        <w:rPr>
          <w:rFonts w:hint="eastAsia" w:ascii="宋体" w:hAnsi="宋体"/>
          <w:szCs w:val="28"/>
        </w:rPr>
        <w:t>1996年8月8日洪水为新中国成立后实测最大洪水，长汀县城区上游观音桥水文站最高水位为310.46m，洪峰流量1070m3/s，超过30年一遇。“8.8洪灾”造成全县18个乡镇、216个行政村、29.2万人受灾，0.42万人被困，倒塌房屋10.62万间，农田成灾10.32万亩，冲毁等级路面45.4km，供电线路317km，决口冲毁河堤45km，机（电）泵19座等。全县造成直接经济损失估计达12.56亿元，其余工矿企业、民用设施和水利设施损失无数。</w:t>
      </w:r>
    </w:p>
    <w:p w14:paraId="09F350B3">
      <w:pPr>
        <w:ind w:firstLine="482"/>
        <w:rPr>
          <w:rFonts w:ascii="宋体" w:hAnsi="宋体"/>
          <w:szCs w:val="28"/>
        </w:rPr>
      </w:pPr>
      <w:r>
        <w:rPr>
          <w:rFonts w:hint="eastAsia" w:ascii="宋体" w:hAnsi="宋体"/>
          <w:szCs w:val="28"/>
        </w:rPr>
        <w:t>1963年，长汀县所在的汀江流域遭遇百年未遇之大旱灾，旱期历时200余天。此次旱灾受灾情况严重，受旱农田面积达1.07万公顷，占早稻面积的70%以上，山塘水库干涸，水源枯竭，泉眼断流，溪河失流，不仅农业灌溉用水缺乏，灾区群众的生活饮水也面临困难。</w:t>
      </w:r>
    </w:p>
    <w:p w14:paraId="64D2F5BF">
      <w:pPr>
        <w:pStyle w:val="3"/>
        <w:numPr>
          <w:ilvl w:val="1"/>
          <w:numId w:val="2"/>
        </w:numPr>
        <w:rPr>
          <w:rFonts w:ascii="宋体" w:hAnsi="宋体"/>
          <w:color w:val="auto"/>
        </w:rPr>
      </w:pPr>
      <w:bookmarkStart w:id="6" w:name="_Toc212827882"/>
      <w:bookmarkStart w:id="7" w:name="_Toc216791681"/>
      <w:r>
        <w:rPr>
          <w:rFonts w:hint="eastAsia" w:ascii="宋体" w:hAnsi="宋体"/>
          <w:color w:val="auto"/>
        </w:rPr>
        <w:t>社会经济概况</w:t>
      </w:r>
      <w:bookmarkEnd w:id="6"/>
      <w:bookmarkEnd w:id="7"/>
    </w:p>
    <w:p w14:paraId="0C2A9714">
      <w:pPr>
        <w:pStyle w:val="4"/>
        <w:numPr>
          <w:ilvl w:val="2"/>
          <w:numId w:val="2"/>
        </w:numPr>
        <w:rPr>
          <w:rFonts w:ascii="宋体" w:hAnsi="宋体"/>
          <w:color w:val="auto"/>
        </w:rPr>
      </w:pPr>
      <w:r>
        <w:rPr>
          <w:rFonts w:hint="eastAsia" w:ascii="宋体" w:hAnsi="宋体"/>
          <w:color w:val="auto"/>
        </w:rPr>
        <w:t>行政区划</w:t>
      </w:r>
    </w:p>
    <w:p w14:paraId="58F282F3">
      <w:pPr>
        <w:ind w:firstLine="565" w:firstLineChars="202"/>
        <w:jc w:val="left"/>
        <w:rPr>
          <w:rFonts w:ascii="宋体" w:hAnsi="宋体"/>
        </w:rPr>
      </w:pPr>
      <w:r>
        <w:rPr>
          <w:rFonts w:hint="eastAsia" w:ascii="宋体" w:hAnsi="宋体"/>
        </w:rPr>
        <w:t>长汀县现辖汀州镇、馆前镇、河田镇、大同镇、策武镇、古城镇、新桥镇、童坊镇、南山镇、濯田镇、四都镇、涂坊镇、三洲镇13个镇；铁长乡、庵杰乡、宣成乡、红山乡、羊牯乡5个乡，全县辖</w:t>
      </w:r>
      <w:r>
        <w:rPr>
          <w:rFonts w:ascii="宋体" w:hAnsi="宋体"/>
        </w:rPr>
        <w:t>18个乡（镇）307个村（居）</w:t>
      </w:r>
      <w:r>
        <w:rPr>
          <w:rFonts w:hint="eastAsia" w:ascii="宋体" w:hAnsi="宋体"/>
        </w:rPr>
        <w:t>。</w:t>
      </w:r>
      <w:r>
        <w:rPr>
          <w:rFonts w:ascii="宋体" w:hAnsi="宋体"/>
        </w:rPr>
        <w:drawing>
          <wp:inline distT="0" distB="0" distL="0" distR="0">
            <wp:extent cx="4117340" cy="4972685"/>
            <wp:effectExtent l="0" t="0" r="0" b="0"/>
            <wp:docPr id="24929324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93243" name="image1.jpeg"/>
                    <pic:cNvPicPr>
                      <a:picLocks noChangeAspect="1"/>
                    </pic:cNvPicPr>
                  </pic:nvPicPr>
                  <pic:blipFill>
                    <a:blip r:embed="rId16" cstate="print"/>
                    <a:stretch>
                      <a:fillRect/>
                    </a:stretch>
                  </pic:blipFill>
                  <pic:spPr>
                    <a:xfrm>
                      <a:off x="0" y="0"/>
                      <a:ext cx="4117340" cy="4972685"/>
                    </a:xfrm>
                    <a:prstGeom prst="rect">
                      <a:avLst/>
                    </a:prstGeom>
                  </pic:spPr>
                </pic:pic>
              </a:graphicData>
            </a:graphic>
          </wp:inline>
        </w:drawing>
      </w:r>
    </w:p>
    <w:p w14:paraId="6A969651">
      <w:pPr>
        <w:ind w:firstLine="568" w:firstLineChars="202"/>
        <w:jc w:val="center"/>
        <w:rPr>
          <w:rFonts w:ascii="宋体" w:hAnsi="宋体"/>
          <w:b/>
          <w:bCs/>
        </w:rPr>
      </w:pPr>
      <w:r>
        <w:rPr>
          <w:rFonts w:hint="eastAsia" w:ascii="宋体" w:hAnsi="宋体"/>
          <w:b/>
          <w:bCs/>
        </w:rPr>
        <w:t>（图1.2-1长汀县行政区划图）</w:t>
      </w:r>
    </w:p>
    <w:p w14:paraId="2E118CCD">
      <w:pPr>
        <w:pStyle w:val="4"/>
        <w:numPr>
          <w:ilvl w:val="2"/>
          <w:numId w:val="2"/>
        </w:numPr>
        <w:rPr>
          <w:rFonts w:ascii="宋体" w:hAnsi="宋体"/>
          <w:color w:val="auto"/>
        </w:rPr>
      </w:pPr>
      <w:r>
        <w:rPr>
          <w:rFonts w:hint="eastAsia" w:ascii="宋体" w:hAnsi="宋体"/>
          <w:color w:val="auto"/>
        </w:rPr>
        <w:t>经济发展</w:t>
      </w:r>
    </w:p>
    <w:p w14:paraId="7253531C">
      <w:pPr>
        <w:ind w:firstLine="565" w:firstLineChars="202"/>
        <w:rPr>
          <w:rFonts w:ascii="宋体" w:hAnsi="宋体"/>
        </w:rPr>
      </w:pPr>
      <w:r>
        <w:rPr>
          <w:rFonts w:hint="eastAsia" w:ascii="宋体" w:hAnsi="宋体"/>
        </w:rPr>
        <w:t>长汀县全县总户数17.20万户，总人口55万人，人口自然增长率-3.06‰；其中农业人口31.80万人，占总人口58%。按常住人口统计，全县常住人口39.2万人，城镇化率56.58%。全县地区生产总值357.8亿元，同比增长4.9%，人均地区生产总值91169元，增长5.6%。其中第一产业43.9亿元，占地区生产总值比重12.3%，同比增长2.5%；第二产业133.5亿元，占地区生产总值比重37.3%，同比增长3%；第三产业增加值180.5亿元，占地区生产总值比重50.4%，同比增长7.1%。长汀县是农业大县，区域农业生产以种植业为主，主要粮食作物有水稻、油菜、地瓜玉米、薯类和豆类，经济作物有蔬菜、甘蔗、槟榔芋、烤烟等。全年居民人均可支配收入30942元，增长6.2%，居民人均生活消费支出22918元，增长7.0%。</w:t>
      </w:r>
    </w:p>
    <w:p w14:paraId="01A853AF">
      <w:pPr>
        <w:ind w:firstLine="565" w:firstLineChars="202"/>
        <w:rPr>
          <w:rFonts w:ascii="宋体" w:hAnsi="宋体"/>
        </w:rPr>
      </w:pPr>
      <w:r>
        <w:rPr>
          <w:rFonts w:hint="eastAsia" w:ascii="宋体" w:hAnsi="宋体"/>
        </w:rPr>
        <w:t>全县土地由耕地、园地、林地、牧草地、居民点及工矿用地、交通用地、水域、未利用土地组成，山地面积388万亩、耕地面积44.2万亩。</w:t>
      </w:r>
    </w:p>
    <w:p w14:paraId="29BC3BFE">
      <w:pPr>
        <w:widowControl/>
        <w:spacing w:line="240" w:lineRule="auto"/>
        <w:jc w:val="left"/>
        <w:rPr>
          <w:rFonts w:ascii="宋体" w:hAnsi="宋体"/>
        </w:rPr>
      </w:pPr>
      <w:r>
        <w:rPr>
          <w:rFonts w:ascii="宋体" w:hAnsi="宋体"/>
        </w:rPr>
        <w:br w:type="page"/>
      </w:r>
    </w:p>
    <w:p w14:paraId="2BEED99B">
      <w:pPr>
        <w:pStyle w:val="2"/>
        <w:numPr>
          <w:ilvl w:val="0"/>
          <w:numId w:val="2"/>
        </w:numPr>
        <w:jc w:val="center"/>
        <w:rPr>
          <w:rFonts w:ascii="宋体" w:hAnsi="宋体"/>
          <w:b/>
          <w:bCs/>
          <w:color w:val="auto"/>
        </w:rPr>
      </w:pPr>
      <w:bookmarkStart w:id="8" w:name="_Toc216791682"/>
      <w:r>
        <w:rPr>
          <w:rFonts w:hint="eastAsia" w:ascii="宋体" w:hAnsi="宋体"/>
          <w:b/>
          <w:bCs/>
          <w:color w:val="auto"/>
        </w:rPr>
        <w:t>发展现状</w:t>
      </w:r>
      <w:bookmarkEnd w:id="8"/>
    </w:p>
    <w:p w14:paraId="0A0EF495">
      <w:pPr>
        <w:pStyle w:val="3"/>
        <w:numPr>
          <w:ilvl w:val="1"/>
          <w:numId w:val="2"/>
        </w:numPr>
        <w:rPr>
          <w:rFonts w:ascii="宋体" w:hAnsi="宋体"/>
          <w:b w:val="0"/>
          <w:color w:val="auto"/>
        </w:rPr>
      </w:pPr>
      <w:bookmarkStart w:id="9" w:name="_Toc216791683"/>
      <w:r>
        <w:rPr>
          <w:rFonts w:hint="eastAsia" w:ascii="宋体" w:hAnsi="宋体"/>
          <w:b w:val="0"/>
          <w:color w:val="auto"/>
        </w:rPr>
        <w:t>“十四五”水利发展成效</w:t>
      </w:r>
      <w:bookmarkEnd w:id="9"/>
    </w:p>
    <w:p w14:paraId="2398A433">
      <w:pPr>
        <w:pStyle w:val="4"/>
        <w:numPr>
          <w:ilvl w:val="2"/>
          <w:numId w:val="2"/>
        </w:numPr>
        <w:rPr>
          <w:rFonts w:ascii="宋体" w:hAnsi="宋体"/>
          <w:b w:val="0"/>
          <w:color w:val="auto"/>
        </w:rPr>
      </w:pPr>
      <w:r>
        <w:rPr>
          <w:rFonts w:hint="eastAsia" w:ascii="宋体" w:hAnsi="宋体"/>
          <w:b w:val="0"/>
          <w:color w:val="auto"/>
        </w:rPr>
        <w:t>防洪排涝体系基本形成，综合防御能力稳步提升</w:t>
      </w:r>
    </w:p>
    <w:p w14:paraId="481BEB20">
      <w:pPr>
        <w:ind w:firstLine="565" w:firstLineChars="202"/>
        <w:rPr>
          <w:rFonts w:ascii="宋体" w:hAnsi="宋体"/>
        </w:rPr>
      </w:pPr>
      <w:r>
        <w:rPr>
          <w:rFonts w:hint="eastAsia" w:ascii="宋体" w:hAnsi="宋体"/>
        </w:rPr>
        <w:t>“十四五”期间，全县防洪减灾能力逐步增强，初步形成了以堤防工程为主、库堤结合的防洪减灾体系。</w:t>
      </w:r>
      <w:bookmarkStart w:id="10" w:name="OLE_LINK24"/>
      <w:bookmarkStart w:id="11" w:name="OLE_LINK25"/>
      <w:r>
        <w:rPr>
          <w:rFonts w:hint="eastAsia" w:ascii="宋体" w:hAnsi="宋体"/>
        </w:rPr>
        <w:t>全县现状</w:t>
      </w:r>
      <w:r>
        <w:rPr>
          <w:rFonts w:ascii="宋体" w:hAnsi="宋体"/>
        </w:rPr>
        <w:t>共有水库52座，总库容1.32亿m</w:t>
      </w:r>
      <w:r>
        <w:rPr>
          <w:rFonts w:ascii="宋体" w:hAnsi="宋体"/>
          <w:vertAlign w:val="superscript"/>
        </w:rPr>
        <w:t>3</w:t>
      </w:r>
      <w:r>
        <w:rPr>
          <w:rFonts w:ascii="宋体" w:hAnsi="宋体"/>
        </w:rPr>
        <w:t>，中型水库防洪库容0.4亿m</w:t>
      </w:r>
      <w:r>
        <w:rPr>
          <w:rFonts w:ascii="宋体" w:hAnsi="宋体"/>
          <w:vertAlign w:val="superscript"/>
        </w:rPr>
        <w:t>3</w:t>
      </w:r>
      <w:r>
        <w:rPr>
          <w:rFonts w:ascii="宋体" w:hAnsi="宋体"/>
        </w:rPr>
        <w:t>，</w:t>
      </w:r>
      <w:bookmarkEnd w:id="10"/>
      <w:bookmarkEnd w:id="11"/>
      <w:r>
        <w:rPr>
          <w:rFonts w:ascii="宋体" w:hAnsi="宋体"/>
        </w:rPr>
        <w:t>江河堤防长度245.7km。中心城区</w:t>
      </w:r>
      <w:r>
        <w:rPr>
          <w:rFonts w:hint="eastAsia" w:ascii="宋体" w:hAnsi="宋体"/>
        </w:rPr>
        <w:t>已</w:t>
      </w:r>
      <w:r>
        <w:rPr>
          <w:rFonts w:ascii="宋体" w:hAnsi="宋体"/>
        </w:rPr>
        <w:t>基本达到</w:t>
      </w:r>
      <w:r>
        <w:rPr>
          <w:rFonts w:hint="eastAsia" w:ascii="宋体" w:hAnsi="宋体"/>
        </w:rPr>
        <w:t>20年</w:t>
      </w:r>
      <w:r>
        <w:rPr>
          <w:rFonts w:ascii="宋体" w:hAnsi="宋体"/>
        </w:rPr>
        <w:t>一遇，各乡镇防洪标准10</w:t>
      </w:r>
      <w:r>
        <w:rPr>
          <w:rFonts w:hint="eastAsia" w:ascii="宋体" w:hAnsi="宋体"/>
        </w:rPr>
        <w:t>～20年</w:t>
      </w:r>
      <w:r>
        <w:rPr>
          <w:rFonts w:ascii="宋体" w:hAnsi="宋体"/>
        </w:rPr>
        <w:t>一遇不等。</w:t>
      </w:r>
    </w:p>
    <w:p w14:paraId="22BC68D3">
      <w:pPr>
        <w:ind w:firstLine="568" w:firstLineChars="202"/>
        <w:rPr>
          <w:rFonts w:ascii="宋体" w:hAnsi="宋体"/>
          <w:b/>
        </w:rPr>
      </w:pPr>
      <w:r>
        <w:rPr>
          <w:rFonts w:hint="eastAsia" w:ascii="宋体" w:hAnsi="宋体"/>
          <w:b/>
        </w:rPr>
        <w:t>（</w:t>
      </w:r>
      <w:r>
        <w:rPr>
          <w:rFonts w:ascii="宋体" w:hAnsi="宋体"/>
          <w:b/>
        </w:rPr>
        <w:t>1）流域防洪工程有序开展</w:t>
      </w:r>
    </w:p>
    <w:p w14:paraId="2069D770">
      <w:pPr>
        <w:ind w:firstLine="565" w:firstLineChars="202"/>
        <w:rPr>
          <w:rFonts w:ascii="宋体" w:hAnsi="宋体"/>
        </w:rPr>
      </w:pPr>
      <w:r>
        <w:rPr>
          <w:rFonts w:hint="eastAsia" w:ascii="宋体" w:hAnsi="宋体"/>
        </w:rPr>
        <w:t>“十四五”期间，完成荣丰水库一</w:t>
      </w:r>
      <w:r>
        <w:rPr>
          <w:rFonts w:ascii="宋体" w:hAnsi="宋体"/>
        </w:rPr>
        <w:t>座中型水库，总库容1180万m</w:t>
      </w:r>
      <w:r>
        <w:rPr>
          <w:rFonts w:ascii="宋体" w:hAnsi="宋体"/>
          <w:vertAlign w:val="superscript"/>
        </w:rPr>
        <w:t>3</w:t>
      </w:r>
      <w:r>
        <w:rPr>
          <w:rFonts w:ascii="宋体" w:hAnsi="宋体"/>
        </w:rPr>
        <w:t>，防洪库容275万m</w:t>
      </w:r>
      <w:r>
        <w:rPr>
          <w:rFonts w:ascii="宋体" w:hAnsi="宋体"/>
          <w:vertAlign w:val="superscript"/>
        </w:rPr>
        <w:t>3</w:t>
      </w:r>
      <w:r>
        <w:rPr>
          <w:rFonts w:ascii="宋体" w:hAnsi="宋体"/>
        </w:rPr>
        <w:t>，通过调洪削峰作用，削减流域洪水，减轻下游城镇段防洪压力，提高了城区防洪能力，结合主要水系干流防洪工程建设堤防（护岸）18.133km，全面提升了防洪能力。有序推进汀江防洪工程（二期）完成了</w:t>
      </w:r>
      <w:r>
        <w:rPr>
          <w:rFonts w:hint="eastAsia" w:ascii="宋体" w:hAnsi="宋体"/>
        </w:rPr>
        <w:t>河田</w:t>
      </w:r>
      <w:r>
        <w:rPr>
          <w:rFonts w:ascii="宋体" w:hAnsi="宋体"/>
        </w:rPr>
        <w:t>堤防建设段，建成堤防长度4.006km。</w:t>
      </w:r>
    </w:p>
    <w:p w14:paraId="5A8685CE">
      <w:pPr>
        <w:ind w:firstLine="568" w:firstLineChars="202"/>
        <w:rPr>
          <w:rFonts w:ascii="宋体" w:hAnsi="宋体"/>
          <w:b/>
        </w:rPr>
      </w:pPr>
      <w:r>
        <w:rPr>
          <w:rFonts w:hint="eastAsia" w:ascii="宋体" w:hAnsi="宋体"/>
          <w:b/>
        </w:rPr>
        <w:t>（</w:t>
      </w:r>
      <w:r>
        <w:rPr>
          <w:rFonts w:ascii="宋体" w:hAnsi="宋体"/>
          <w:b/>
        </w:rPr>
        <w:t>2）中小河流治理稳步推进</w:t>
      </w:r>
    </w:p>
    <w:p w14:paraId="482B8DC4">
      <w:pPr>
        <w:ind w:firstLine="565" w:firstLineChars="202"/>
        <w:rPr>
          <w:rFonts w:ascii="宋体" w:hAnsi="宋体"/>
        </w:rPr>
      </w:pPr>
      <w:r>
        <w:rPr>
          <w:rFonts w:hint="eastAsia" w:ascii="宋体" w:hAnsi="宋体"/>
        </w:rPr>
        <w:t>“十四五”以来，扎实推进中小河流治理项目，累计实</w:t>
      </w:r>
      <w:r>
        <w:rPr>
          <w:rFonts w:ascii="宋体" w:hAnsi="宋体"/>
        </w:rPr>
        <w:t>施</w:t>
      </w:r>
      <w:r>
        <w:rPr>
          <w:rFonts w:hint="eastAsia" w:ascii="宋体" w:hAnsi="宋体"/>
        </w:rPr>
        <w:t>长汀河</w:t>
      </w:r>
      <w:r>
        <w:rPr>
          <w:rFonts w:ascii="宋体" w:hAnsi="宋体"/>
        </w:rPr>
        <w:t>策武工贸新城段等中小河流治理项目5个，治理河长17.168km。通过中小河流治理工程完善了区域防洪体系，提高区域防洪排涝标准，取得良好经济和生态效益。</w:t>
      </w:r>
    </w:p>
    <w:p w14:paraId="52AC0AE9">
      <w:pPr>
        <w:pStyle w:val="4"/>
        <w:numPr>
          <w:ilvl w:val="2"/>
          <w:numId w:val="2"/>
        </w:numPr>
        <w:rPr>
          <w:rFonts w:ascii="宋体" w:hAnsi="宋体"/>
          <w:b w:val="0"/>
          <w:color w:val="auto"/>
        </w:rPr>
      </w:pPr>
      <w:r>
        <w:rPr>
          <w:rFonts w:ascii="宋体" w:hAnsi="宋体"/>
          <w:b w:val="0"/>
          <w:color w:val="auto"/>
        </w:rPr>
        <w:t>节水增效成效持续彰显，供水保障能力持续增强</w:t>
      </w:r>
    </w:p>
    <w:p w14:paraId="215A9400">
      <w:pPr>
        <w:ind w:firstLine="565" w:firstLineChars="202"/>
        <w:rPr>
          <w:rFonts w:ascii="宋体" w:hAnsi="宋体"/>
        </w:rPr>
      </w:pPr>
      <w:r>
        <w:rPr>
          <w:rFonts w:hint="eastAsia" w:ascii="宋体" w:hAnsi="宋体"/>
        </w:rPr>
        <w:t>“十四五”期间，长汀县全面落实最严格水资源管理制</w:t>
      </w:r>
      <w:r>
        <w:rPr>
          <w:rFonts w:ascii="宋体" w:hAnsi="宋体"/>
        </w:rPr>
        <w:t>度，以“三条红线”为刚性约束，以水源、引调水及灌区工程建设和城乡供水一体化项目为支撑、以节水创新为动力、以民生保障为目标，水资源利用效率与保障能力显著提升，水利基础设施短板加速补齐，为幸福</w:t>
      </w:r>
      <w:r>
        <w:rPr>
          <w:rFonts w:hint="eastAsia" w:ascii="宋体" w:hAnsi="宋体"/>
        </w:rPr>
        <w:t>长汀</w:t>
      </w:r>
      <w:r>
        <w:rPr>
          <w:rFonts w:ascii="宋体" w:hAnsi="宋体"/>
        </w:rPr>
        <w:t>筑牢水资源根基。</w:t>
      </w:r>
    </w:p>
    <w:p w14:paraId="2AEC9167">
      <w:pPr>
        <w:ind w:firstLine="568" w:firstLineChars="202"/>
        <w:rPr>
          <w:rFonts w:ascii="宋体" w:hAnsi="宋体"/>
          <w:b/>
        </w:rPr>
      </w:pPr>
      <w:r>
        <w:rPr>
          <w:rFonts w:hint="eastAsia" w:ascii="宋体" w:hAnsi="宋体"/>
          <w:b/>
        </w:rPr>
        <w:t>（</w:t>
      </w:r>
      <w:r>
        <w:rPr>
          <w:rFonts w:ascii="宋体" w:hAnsi="宋体"/>
          <w:b/>
        </w:rPr>
        <w:t>1）水资源刚性管控成效显著</w:t>
      </w:r>
    </w:p>
    <w:p w14:paraId="611704F8">
      <w:pPr>
        <w:ind w:firstLine="565" w:firstLineChars="202"/>
        <w:rPr>
          <w:rFonts w:ascii="宋体" w:hAnsi="宋体"/>
        </w:rPr>
      </w:pPr>
      <w:r>
        <w:rPr>
          <w:rFonts w:hint="eastAsia" w:ascii="宋体" w:hAnsi="宋体"/>
        </w:rPr>
        <w:t>深入落实最严格水资源管理制度，将“三条红线”控制</w:t>
      </w:r>
      <w:r>
        <w:rPr>
          <w:rFonts w:ascii="宋体" w:hAnsi="宋体"/>
        </w:rPr>
        <w:t>指标刚性嵌入发展全局，通过制度、载体和宣传三位一体的组合拳，全面贯彻国家节水行动</w:t>
      </w:r>
      <w:r>
        <w:rPr>
          <w:rFonts w:hint="eastAsia" w:ascii="宋体" w:hAnsi="宋体"/>
        </w:rPr>
        <w:t>，</w:t>
      </w:r>
      <w:r>
        <w:rPr>
          <w:rFonts w:ascii="宋体" w:hAnsi="宋体"/>
        </w:rPr>
        <w:t>并取得显著成效。2024年</w:t>
      </w:r>
      <w:r>
        <w:rPr>
          <w:rFonts w:hint="eastAsia" w:ascii="宋体" w:hAnsi="宋体"/>
        </w:rPr>
        <w:t>长汀县</w:t>
      </w:r>
      <w:r>
        <w:rPr>
          <w:rFonts w:ascii="宋体" w:hAnsi="宋体"/>
        </w:rPr>
        <w:t>总用水量（考核口径）为2.84亿m</w:t>
      </w:r>
      <w:r>
        <w:rPr>
          <w:rFonts w:ascii="宋体" w:hAnsi="宋体"/>
          <w:vertAlign w:val="superscript"/>
        </w:rPr>
        <w:t>3</w:t>
      </w:r>
      <w:r>
        <w:rPr>
          <w:rFonts w:ascii="宋体" w:hAnsi="宋体"/>
        </w:rPr>
        <w:t>，优于省里下达的十四五用水总量控制指标（3.2亿m</w:t>
      </w:r>
      <w:r>
        <w:rPr>
          <w:rFonts w:ascii="宋体" w:hAnsi="宋体"/>
          <w:vertAlign w:val="superscript"/>
        </w:rPr>
        <w:t>3</w:t>
      </w:r>
      <w:r>
        <w:rPr>
          <w:rFonts w:ascii="宋体" w:hAnsi="宋体"/>
        </w:rPr>
        <w:t>），万元GDP用水量为79m</w:t>
      </w:r>
      <w:r>
        <w:rPr>
          <w:rFonts w:ascii="宋体" w:hAnsi="宋体"/>
          <w:vertAlign w:val="superscript"/>
        </w:rPr>
        <w:t>3</w:t>
      </w:r>
      <w:r>
        <w:rPr>
          <w:rFonts w:ascii="宋体" w:hAnsi="宋体"/>
        </w:rPr>
        <w:t>（考核口径），完成上级指标要求，且较2020年下降17.1%。严控取水审批许可和管理，</w:t>
      </w:r>
      <w:r>
        <w:rPr>
          <w:rFonts w:hint="eastAsia" w:ascii="宋体" w:hAnsi="宋体"/>
        </w:rPr>
        <w:t>长汀县</w:t>
      </w:r>
      <w:r>
        <w:rPr>
          <w:rFonts w:ascii="宋体" w:hAnsi="宋体"/>
        </w:rPr>
        <w:t>取用水管理成</w:t>
      </w:r>
      <w:r>
        <w:rPr>
          <w:rFonts w:hint="eastAsia" w:ascii="宋体" w:hAnsi="宋体"/>
        </w:rPr>
        <w:t>效显著。</w:t>
      </w:r>
      <w:r>
        <w:rPr>
          <w:rFonts w:ascii="宋体" w:hAnsi="宋体"/>
        </w:rPr>
        <w:t>2024年，</w:t>
      </w:r>
      <w:r>
        <w:rPr>
          <w:rFonts w:hint="eastAsia" w:ascii="宋体" w:hAnsi="宋体"/>
        </w:rPr>
        <w:t>长汀县</w:t>
      </w:r>
      <w:r>
        <w:rPr>
          <w:rFonts w:ascii="宋体" w:hAnsi="宋体"/>
        </w:rPr>
        <w:t>创新完成全省首单地下水区域水权交易，在全省率先发放“水票”质押贷，为企业发展注入资金，盘活水权资产。结合“世界水日”“中国水周”开展多形式宣传，全社会节水意识显著提升。整体来看，</w:t>
      </w:r>
      <w:r>
        <w:rPr>
          <w:rFonts w:hint="eastAsia" w:ascii="宋体" w:hAnsi="宋体"/>
        </w:rPr>
        <w:t>全县</w:t>
      </w:r>
      <w:r>
        <w:rPr>
          <w:rFonts w:ascii="宋体" w:hAnsi="宋体"/>
        </w:rPr>
        <w:t>已形成了制度完善、载体丰富、公众参与度高的全方位节水格局。</w:t>
      </w:r>
    </w:p>
    <w:p w14:paraId="4B269694">
      <w:pPr>
        <w:ind w:firstLine="568" w:firstLineChars="202"/>
        <w:rPr>
          <w:rFonts w:ascii="宋体" w:hAnsi="宋体"/>
          <w:b/>
        </w:rPr>
      </w:pPr>
      <w:r>
        <w:rPr>
          <w:rFonts w:hint="eastAsia" w:ascii="宋体" w:hAnsi="宋体"/>
          <w:b/>
        </w:rPr>
        <w:t>（</w:t>
      </w:r>
      <w:r>
        <w:rPr>
          <w:rFonts w:ascii="宋体" w:hAnsi="宋体"/>
          <w:b/>
        </w:rPr>
        <w:t>2）水源工程体系加速完善</w:t>
      </w:r>
    </w:p>
    <w:p w14:paraId="126457CF">
      <w:pPr>
        <w:ind w:firstLine="565" w:firstLineChars="202"/>
        <w:rPr>
          <w:rFonts w:ascii="宋体" w:hAnsi="宋体"/>
        </w:rPr>
      </w:pPr>
      <w:r>
        <w:rPr>
          <w:rFonts w:hint="eastAsia" w:ascii="宋体" w:hAnsi="宋体"/>
        </w:rPr>
        <w:t>新建与续建一批水库工程，全县水源储备及调蓄能力得</w:t>
      </w:r>
      <w:r>
        <w:rPr>
          <w:rFonts w:ascii="宋体" w:hAnsi="宋体"/>
        </w:rPr>
        <w:t>到有效提升。目前建成荣丰1座中型水库，并投入运行发挥效益。在小型水库建设方面，</w:t>
      </w:r>
      <w:r>
        <w:rPr>
          <w:rFonts w:hint="eastAsia" w:ascii="宋体" w:hAnsi="宋体"/>
        </w:rPr>
        <w:t>完成</w:t>
      </w:r>
      <w:r>
        <w:rPr>
          <w:rFonts w:ascii="宋体" w:hAnsi="宋体"/>
        </w:rPr>
        <w:t>羊耳坑水库</w:t>
      </w:r>
      <w:r>
        <w:rPr>
          <w:rFonts w:hint="eastAsia" w:ascii="宋体" w:hAnsi="宋体"/>
        </w:rPr>
        <w:t>建设</w:t>
      </w:r>
      <w:r>
        <w:rPr>
          <w:rFonts w:ascii="宋体" w:hAnsi="宋体"/>
        </w:rPr>
        <w:t>、</w:t>
      </w:r>
      <w:r>
        <w:rPr>
          <w:rFonts w:hint="eastAsia" w:ascii="宋体" w:hAnsi="宋体"/>
        </w:rPr>
        <w:t>并</w:t>
      </w:r>
      <w:r>
        <w:rPr>
          <w:rFonts w:ascii="宋体" w:hAnsi="宋体"/>
        </w:rPr>
        <w:t>持续推进桐睦水库工程</w:t>
      </w:r>
      <w:r>
        <w:rPr>
          <w:rFonts w:hint="eastAsia" w:ascii="宋体" w:hAnsi="宋体"/>
        </w:rPr>
        <w:t>建设</w:t>
      </w:r>
      <w:r>
        <w:rPr>
          <w:rFonts w:ascii="宋体" w:hAnsi="宋体"/>
        </w:rPr>
        <w:t>，保障项目顺利推进。</w:t>
      </w:r>
      <w:r>
        <w:rPr>
          <w:rFonts w:hint="eastAsia" w:ascii="宋体" w:hAnsi="宋体"/>
        </w:rPr>
        <w:t>全县</w:t>
      </w:r>
      <w:r>
        <w:rPr>
          <w:rFonts w:ascii="宋体" w:hAnsi="宋体"/>
        </w:rPr>
        <w:t>累计新增供水能力达1252</w:t>
      </w:r>
      <w:r>
        <w:rPr>
          <w:rFonts w:hint="eastAsia" w:ascii="宋体" w:hAnsi="宋体"/>
        </w:rPr>
        <w:t>万</w:t>
      </w:r>
      <w:r>
        <w:rPr>
          <w:rFonts w:ascii="宋体" w:hAnsi="宋体"/>
        </w:rPr>
        <w:t>m</w:t>
      </w:r>
      <w:r>
        <w:rPr>
          <w:rFonts w:ascii="宋体" w:hAnsi="宋体"/>
          <w:vertAlign w:val="superscript"/>
        </w:rPr>
        <w:t>3</w:t>
      </w:r>
      <w:r>
        <w:rPr>
          <w:rFonts w:ascii="宋体" w:hAnsi="宋体"/>
        </w:rPr>
        <w:t>，为城乡供水安全提供了坚实的水源保障。</w:t>
      </w:r>
    </w:p>
    <w:p w14:paraId="2B58EDC3">
      <w:pPr>
        <w:ind w:firstLine="568" w:firstLineChars="202"/>
        <w:rPr>
          <w:rFonts w:ascii="宋体" w:hAnsi="宋体"/>
          <w:b/>
        </w:rPr>
      </w:pPr>
      <w:r>
        <w:rPr>
          <w:rFonts w:hint="eastAsia" w:ascii="宋体" w:hAnsi="宋体"/>
          <w:b/>
        </w:rPr>
        <w:t>（</w:t>
      </w:r>
      <w:r>
        <w:rPr>
          <w:rFonts w:ascii="宋体" w:hAnsi="宋体"/>
          <w:b/>
        </w:rPr>
        <w:t>3）城乡供水一体化纵深推进</w:t>
      </w:r>
    </w:p>
    <w:p w14:paraId="0DA60A90">
      <w:pPr>
        <w:ind w:firstLine="565" w:firstLineChars="202"/>
        <w:rPr>
          <w:rFonts w:ascii="宋体" w:hAnsi="宋体"/>
        </w:rPr>
      </w:pPr>
      <w:r>
        <w:rPr>
          <w:rFonts w:hint="eastAsia" w:ascii="宋体" w:hAnsi="宋体"/>
        </w:rPr>
        <w:t>统筹推进县乡村三级城乡供水一体化项目，“十四五”</w:t>
      </w:r>
      <w:r>
        <w:rPr>
          <w:rFonts w:ascii="宋体" w:hAnsi="宋体"/>
        </w:rPr>
        <w:t>期间投资5.95亿元，完成单村供水</w:t>
      </w:r>
      <w:r>
        <w:rPr>
          <w:rFonts w:hint="eastAsia" w:ascii="宋体" w:hAnsi="宋体"/>
        </w:rPr>
        <w:t>工程</w:t>
      </w:r>
      <w:r>
        <w:rPr>
          <w:rFonts w:ascii="宋体" w:hAnsi="宋体"/>
        </w:rPr>
        <w:t>116处。解决了</w:t>
      </w:r>
      <w:r>
        <w:rPr>
          <w:rFonts w:hint="eastAsia" w:ascii="宋体" w:hAnsi="宋体"/>
        </w:rPr>
        <w:t>长汀偏远</w:t>
      </w:r>
      <w:r>
        <w:rPr>
          <w:rFonts w:ascii="宋体" w:hAnsi="宋体"/>
        </w:rPr>
        <w:t>山村“饮水难”问题。2025年农村自来水普及率达95%，农村规模化工程供水率达70%。</w:t>
      </w:r>
    </w:p>
    <w:p w14:paraId="35EFFD0C">
      <w:pPr>
        <w:ind w:firstLine="568" w:firstLineChars="202"/>
        <w:rPr>
          <w:rFonts w:ascii="宋体" w:hAnsi="宋体"/>
          <w:b/>
        </w:rPr>
      </w:pPr>
      <w:r>
        <w:rPr>
          <w:rFonts w:hint="eastAsia" w:ascii="宋体" w:hAnsi="宋体"/>
          <w:b/>
        </w:rPr>
        <w:t>（</w:t>
      </w:r>
      <w:r>
        <w:rPr>
          <w:rFonts w:ascii="宋体" w:hAnsi="宋体"/>
          <w:b/>
        </w:rPr>
        <w:t>4）灌区建设实现持续改善</w:t>
      </w:r>
    </w:p>
    <w:p w14:paraId="2C6A0860">
      <w:pPr>
        <w:ind w:firstLine="565" w:firstLineChars="202"/>
        <w:rPr>
          <w:rFonts w:ascii="宋体" w:hAnsi="宋体"/>
        </w:rPr>
      </w:pPr>
      <w:r>
        <w:rPr>
          <w:rFonts w:hint="eastAsia" w:ascii="宋体" w:hAnsi="宋体"/>
        </w:rPr>
        <w:t>完成汀南、</w:t>
      </w:r>
      <w:r>
        <w:rPr>
          <w:rFonts w:ascii="宋体" w:hAnsi="宋体"/>
        </w:rPr>
        <w:t>汀东</w:t>
      </w:r>
      <w:r>
        <w:rPr>
          <w:rFonts w:hint="eastAsia" w:ascii="宋体" w:hAnsi="宋体"/>
        </w:rPr>
        <w:t>、</w:t>
      </w:r>
      <w:r>
        <w:rPr>
          <w:rFonts w:ascii="宋体" w:hAnsi="宋体"/>
        </w:rPr>
        <w:t>三洲旱片</w:t>
      </w:r>
      <w:r>
        <w:rPr>
          <w:rFonts w:hint="eastAsia" w:ascii="宋体" w:hAnsi="宋体"/>
        </w:rPr>
        <w:t>3</w:t>
      </w:r>
      <w:r>
        <w:rPr>
          <w:rFonts w:ascii="宋体" w:hAnsi="宋体"/>
        </w:rPr>
        <w:t>个中型灌区续建配套</w:t>
      </w:r>
      <w:r>
        <w:rPr>
          <w:rFonts w:hint="eastAsia" w:ascii="宋体" w:hAnsi="宋体"/>
        </w:rPr>
        <w:t>与现代化</w:t>
      </w:r>
      <w:r>
        <w:rPr>
          <w:rFonts w:ascii="宋体" w:hAnsi="宋体"/>
        </w:rPr>
        <w:t>改造</w:t>
      </w:r>
      <w:r>
        <w:rPr>
          <w:rFonts w:hint="eastAsia" w:ascii="宋体" w:hAnsi="宋体"/>
        </w:rPr>
        <w:t>项目建设，完成</w:t>
      </w:r>
      <w:r>
        <w:rPr>
          <w:rFonts w:ascii="宋体" w:hAnsi="宋体"/>
        </w:rPr>
        <w:t>投资</w:t>
      </w:r>
      <w:r>
        <w:rPr>
          <w:rFonts w:hint="eastAsia" w:ascii="宋体" w:hAnsi="宋体"/>
        </w:rPr>
        <w:t>9064.82万元</w:t>
      </w:r>
      <w:r>
        <w:rPr>
          <w:rFonts w:ascii="宋体" w:hAnsi="宋体"/>
        </w:rPr>
        <w:t>，</w:t>
      </w:r>
      <w:r>
        <w:rPr>
          <w:rFonts w:hint="eastAsia" w:ascii="宋体" w:hAnsi="宋体"/>
        </w:rPr>
        <w:t>恢复灌溉面积</w:t>
      </w:r>
      <w:r>
        <w:rPr>
          <w:rFonts w:ascii="宋体" w:hAnsi="宋体"/>
        </w:rPr>
        <w:t>1.302万亩、改善灌溉</w:t>
      </w:r>
      <w:r>
        <w:rPr>
          <w:rFonts w:hint="eastAsia" w:ascii="宋体" w:hAnsi="宋体"/>
        </w:rPr>
        <w:t>面积</w:t>
      </w:r>
      <w:r>
        <w:rPr>
          <w:rFonts w:ascii="宋体" w:hAnsi="宋体"/>
        </w:rPr>
        <w:t>8.44万亩、改善排涝</w:t>
      </w:r>
      <w:r>
        <w:rPr>
          <w:rFonts w:hint="eastAsia" w:ascii="宋体" w:hAnsi="宋体"/>
        </w:rPr>
        <w:t>面积</w:t>
      </w:r>
      <w:r>
        <w:rPr>
          <w:rFonts w:ascii="宋体" w:hAnsi="宋体"/>
        </w:rPr>
        <w:t>6.69万亩，</w:t>
      </w:r>
      <w:r>
        <w:rPr>
          <w:rFonts w:hint="eastAsia" w:ascii="宋体" w:hAnsi="宋体"/>
        </w:rPr>
        <w:t>新增粮食生产能力</w:t>
      </w:r>
      <w:r>
        <w:rPr>
          <w:rFonts w:ascii="宋体" w:hAnsi="宋体"/>
        </w:rPr>
        <w:t>360.44万千克，新增年节水能力884.08万m</w:t>
      </w:r>
      <w:r>
        <w:rPr>
          <w:rFonts w:ascii="宋体" w:hAnsi="宋体"/>
          <w:vertAlign w:val="superscript"/>
        </w:rPr>
        <w:t>3</w:t>
      </w:r>
      <w:r>
        <w:rPr>
          <w:rFonts w:ascii="宋体" w:hAnsi="宋体"/>
        </w:rPr>
        <w:t>。农田灌溉水有效利用系数达0.588。灌溉保证率提升至90%，为粮食安全夯实根基；同步配套计量设施、推进水价改革，构建农业节水长效机制，推动灌区从“有力保障”迈向“高效管理”。</w:t>
      </w:r>
    </w:p>
    <w:p w14:paraId="41C7FD61">
      <w:pPr>
        <w:pStyle w:val="4"/>
        <w:numPr>
          <w:ilvl w:val="2"/>
          <w:numId w:val="2"/>
        </w:numPr>
        <w:rPr>
          <w:rFonts w:ascii="宋体" w:hAnsi="宋体"/>
          <w:b w:val="0"/>
          <w:color w:val="auto"/>
        </w:rPr>
      </w:pPr>
      <w:r>
        <w:rPr>
          <w:rFonts w:hint="eastAsia" w:ascii="宋体" w:hAnsi="宋体"/>
          <w:b w:val="0"/>
          <w:color w:val="auto"/>
        </w:rPr>
        <w:t>生态环境质量持续向好，水土保持打造全国样板</w:t>
      </w:r>
    </w:p>
    <w:p w14:paraId="415DB5BB">
      <w:pPr>
        <w:ind w:firstLine="565" w:firstLineChars="202"/>
        <w:rPr>
          <w:rFonts w:ascii="宋体" w:hAnsi="宋体"/>
        </w:rPr>
      </w:pPr>
      <w:r>
        <w:rPr>
          <w:rFonts w:hint="eastAsia" w:ascii="宋体" w:hAnsi="宋体"/>
        </w:rPr>
        <w:t>“十四五”期间，长汀县水生态保护与治理取得了显著</w:t>
      </w:r>
      <w:r>
        <w:rPr>
          <w:rFonts w:ascii="宋体" w:hAnsi="宋体"/>
        </w:rPr>
        <w:t>成效，整体呈现“治理有效、水质向好、基础夯实”的态势。省控断面、集中式饮用水水源地水质达标率保持高位；安全生态水系建设、水电站清理整治等工程落地见效，河湖生态流量保障能力提升；水土保持治理面积稳步扩大，为生态文明建设奠定坚实基础。</w:t>
      </w:r>
    </w:p>
    <w:p w14:paraId="4311A1AC">
      <w:pPr>
        <w:ind w:firstLine="568" w:firstLineChars="202"/>
        <w:rPr>
          <w:rFonts w:ascii="宋体" w:hAnsi="宋体"/>
          <w:b/>
        </w:rPr>
      </w:pPr>
      <w:r>
        <w:rPr>
          <w:rFonts w:hint="eastAsia" w:ascii="宋体" w:hAnsi="宋体"/>
          <w:b/>
        </w:rPr>
        <w:t>（</w:t>
      </w:r>
      <w:r>
        <w:rPr>
          <w:rFonts w:ascii="宋体" w:hAnsi="宋体"/>
          <w:b/>
        </w:rPr>
        <w:t>1）水环境质量全域优良且持续提升</w:t>
      </w:r>
    </w:p>
    <w:p w14:paraId="5DE5D1E6">
      <w:pPr>
        <w:ind w:firstLine="565" w:firstLineChars="202"/>
        <w:rPr>
          <w:rFonts w:ascii="宋体" w:hAnsi="宋体"/>
        </w:rPr>
      </w:pPr>
      <w:r>
        <w:rPr>
          <w:rFonts w:ascii="宋体" w:hAnsi="宋体"/>
        </w:rPr>
        <w:t>2024年</w:t>
      </w:r>
      <w:r>
        <w:rPr>
          <w:rFonts w:hint="eastAsia" w:ascii="宋体" w:hAnsi="宋体"/>
        </w:rPr>
        <w:t>长汀县</w:t>
      </w:r>
      <w:r>
        <w:rPr>
          <w:rFonts w:ascii="宋体" w:hAnsi="宋体"/>
        </w:rPr>
        <w:t>10个国省控断面综合水质I-III类优良水质比例为100%，I-II类优质水比例为90%，饮用水水源地水质达标率100%。水质稳定优良。</w:t>
      </w:r>
    </w:p>
    <w:p w14:paraId="54B252C6">
      <w:pPr>
        <w:ind w:firstLine="568" w:firstLineChars="202"/>
        <w:rPr>
          <w:rFonts w:ascii="宋体" w:hAnsi="宋体"/>
          <w:b/>
        </w:rPr>
      </w:pPr>
      <w:r>
        <w:rPr>
          <w:rFonts w:hint="eastAsia" w:ascii="宋体" w:hAnsi="宋体"/>
          <w:b/>
        </w:rPr>
        <w:t>（</w:t>
      </w:r>
      <w:r>
        <w:rPr>
          <w:rFonts w:ascii="宋体" w:hAnsi="宋体"/>
          <w:b/>
        </w:rPr>
        <w:t>2）水生态质量提质增效</w:t>
      </w:r>
    </w:p>
    <w:p w14:paraId="581E572F">
      <w:pPr>
        <w:ind w:firstLine="565" w:firstLineChars="202"/>
        <w:rPr>
          <w:rFonts w:ascii="宋体" w:hAnsi="宋体"/>
        </w:rPr>
      </w:pPr>
      <w:r>
        <w:rPr>
          <w:rFonts w:hint="eastAsia" w:ascii="宋体" w:hAnsi="宋体"/>
        </w:rPr>
        <w:t>实施长汀县官坊河、汀江干流水口段、七里河等3条</w:t>
      </w:r>
      <w:r>
        <w:rPr>
          <w:rFonts w:ascii="宋体" w:hAnsi="宋体"/>
        </w:rPr>
        <w:t>万里</w:t>
      </w:r>
      <w:r>
        <w:rPr>
          <w:rFonts w:hint="eastAsia" w:ascii="宋体" w:hAnsi="宋体"/>
        </w:rPr>
        <w:t>安全生态水系治理项目，</w:t>
      </w:r>
      <w:r>
        <w:rPr>
          <w:rFonts w:ascii="宋体" w:hAnsi="宋体"/>
        </w:rPr>
        <w:t>实现防洪安全与生态建设的有机统一，治理河长28.345km，形成“河畅、水清、岸绿、景美”的河流生态走廊，助力乡村振兴；生物多样性逐步恢复，汀江源国家级自然保护区及汀江大刺鳅国家级水产种质资源保护区，近年来未出现面积缩减的情况，主要保护对象包括大刺鳅、斑鳜、黄颡鱼等珍贵物种。</w:t>
      </w:r>
    </w:p>
    <w:p w14:paraId="1F039D70">
      <w:pPr>
        <w:ind w:firstLine="568" w:firstLineChars="202"/>
        <w:rPr>
          <w:rFonts w:ascii="宋体" w:hAnsi="宋体"/>
          <w:b/>
        </w:rPr>
      </w:pPr>
      <w:r>
        <w:rPr>
          <w:rFonts w:hint="eastAsia" w:ascii="宋体" w:hAnsi="宋体"/>
          <w:b/>
        </w:rPr>
        <w:t>（</w:t>
      </w:r>
      <w:r>
        <w:rPr>
          <w:rFonts w:ascii="宋体" w:hAnsi="宋体"/>
          <w:b/>
        </w:rPr>
        <w:t>3）管控能力不断增强</w:t>
      </w:r>
    </w:p>
    <w:p w14:paraId="7EF8B685">
      <w:pPr>
        <w:ind w:firstLine="565" w:firstLineChars="202"/>
        <w:rPr>
          <w:rFonts w:ascii="宋体" w:hAnsi="宋体"/>
        </w:rPr>
      </w:pPr>
      <w:r>
        <w:rPr>
          <w:rFonts w:hint="eastAsia" w:ascii="宋体" w:hAnsi="宋体"/>
        </w:rPr>
        <w:t>全县流域面积</w:t>
      </w:r>
      <w:r>
        <w:rPr>
          <w:rFonts w:ascii="宋体" w:hAnsi="宋体"/>
        </w:rPr>
        <w:t>50km</w:t>
      </w:r>
      <w:r>
        <w:rPr>
          <w:rFonts w:ascii="宋体" w:hAnsi="宋体"/>
          <w:vertAlign w:val="superscript"/>
        </w:rPr>
        <w:t>2</w:t>
      </w:r>
      <w:r>
        <w:rPr>
          <w:rFonts w:ascii="宋体" w:hAnsi="宋体"/>
        </w:rPr>
        <w:t>以上</w:t>
      </w:r>
      <w:r>
        <w:rPr>
          <w:rFonts w:hint="eastAsia" w:ascii="宋体" w:hAnsi="宋体"/>
        </w:rPr>
        <w:t>26条</w:t>
      </w:r>
      <w:r>
        <w:rPr>
          <w:rFonts w:ascii="宋体" w:hAnsi="宋体"/>
        </w:rPr>
        <w:t>河流划界、河流岸线保护与利用规划工作</w:t>
      </w:r>
      <w:r>
        <w:rPr>
          <w:rFonts w:hint="eastAsia" w:ascii="宋体" w:hAnsi="宋体"/>
        </w:rPr>
        <w:t>、</w:t>
      </w:r>
      <w:r>
        <w:rPr>
          <w:rFonts w:ascii="宋体" w:hAnsi="宋体"/>
        </w:rPr>
        <w:t>1个万人以下千人以上和254个千人以下农村饮用水水源保护范围划定已全部完成、流域面积</w:t>
      </w:r>
      <w:r>
        <w:rPr>
          <w:rFonts w:hint="eastAsia" w:ascii="宋体" w:hAnsi="宋体"/>
        </w:rPr>
        <w:t>20-50</w:t>
      </w:r>
      <w:r>
        <w:rPr>
          <w:rFonts w:ascii="宋体" w:hAnsi="宋体"/>
        </w:rPr>
        <w:t>km</w:t>
      </w:r>
      <w:r>
        <w:rPr>
          <w:rFonts w:ascii="宋体" w:hAnsi="宋体"/>
          <w:vertAlign w:val="superscript"/>
        </w:rPr>
        <w:t>2</w:t>
      </w:r>
      <w:r>
        <w:rPr>
          <w:rFonts w:hint="eastAsia" w:ascii="宋体" w:hAnsi="宋体"/>
        </w:rPr>
        <w:t>以下</w:t>
      </w:r>
      <w:r>
        <w:rPr>
          <w:rFonts w:ascii="宋体" w:hAnsi="宋体"/>
        </w:rPr>
        <w:t>河流</w:t>
      </w:r>
      <w:r>
        <w:rPr>
          <w:rFonts w:hint="eastAsia" w:ascii="宋体" w:hAnsi="宋体"/>
        </w:rPr>
        <w:t>划界</w:t>
      </w:r>
      <w:r>
        <w:rPr>
          <w:rFonts w:ascii="宋体" w:hAnsi="宋体"/>
        </w:rPr>
        <w:t>、</w:t>
      </w:r>
      <w:r>
        <w:rPr>
          <w:rFonts w:hint="eastAsia" w:ascii="宋体" w:hAnsi="宋体"/>
        </w:rPr>
        <w:t>河流岸线保护与利用规划工作已完成6条</w:t>
      </w:r>
      <w:r>
        <w:rPr>
          <w:rFonts w:ascii="宋体" w:hAnsi="宋体"/>
        </w:rPr>
        <w:t>。</w:t>
      </w:r>
      <w:r>
        <w:rPr>
          <w:rFonts w:hint="eastAsia" w:ascii="宋体" w:hAnsi="宋体"/>
        </w:rPr>
        <w:t>长汀县共完成</w:t>
      </w:r>
      <w:r>
        <w:rPr>
          <w:rFonts w:ascii="宋体" w:hAnsi="宋体"/>
        </w:rPr>
        <w:t>43座小水电退出和</w:t>
      </w:r>
      <w:r>
        <w:rPr>
          <w:rFonts w:hint="eastAsia" w:ascii="宋体" w:hAnsi="宋体"/>
        </w:rPr>
        <w:t>8</w:t>
      </w:r>
      <w:r>
        <w:rPr>
          <w:rFonts w:ascii="宋体" w:hAnsi="宋体"/>
        </w:rPr>
        <w:t>8</w:t>
      </w:r>
      <w:r>
        <w:rPr>
          <w:rFonts w:hint="eastAsia" w:ascii="宋体" w:hAnsi="宋体"/>
        </w:rPr>
        <w:t>座水电站</w:t>
      </w:r>
      <w:r>
        <w:rPr>
          <w:rFonts w:ascii="宋体" w:hAnsi="宋体"/>
        </w:rPr>
        <w:t>生态下泄流量设备的安装并100%联入省环保监控平台。</w:t>
      </w:r>
    </w:p>
    <w:p w14:paraId="267EFB10">
      <w:pPr>
        <w:ind w:firstLine="568" w:firstLineChars="202"/>
        <w:rPr>
          <w:rFonts w:ascii="宋体" w:hAnsi="宋体"/>
          <w:b/>
        </w:rPr>
      </w:pPr>
      <w:r>
        <w:rPr>
          <w:rFonts w:hint="eastAsia" w:ascii="宋体" w:hAnsi="宋体"/>
          <w:b/>
        </w:rPr>
        <w:t>（</w:t>
      </w:r>
      <w:r>
        <w:rPr>
          <w:rFonts w:ascii="宋体" w:hAnsi="宋体"/>
          <w:b/>
        </w:rPr>
        <w:t>4）水保“长汀模式”全国品牌效应逐步形成</w:t>
      </w:r>
    </w:p>
    <w:p w14:paraId="7BADCF8F">
      <w:pPr>
        <w:ind w:firstLine="565" w:firstLineChars="202"/>
        <w:rPr>
          <w:rFonts w:ascii="宋体" w:hAnsi="宋体"/>
        </w:rPr>
      </w:pPr>
      <w:r>
        <w:rPr>
          <w:rFonts w:hint="eastAsia" w:ascii="宋体" w:hAnsi="宋体"/>
        </w:rPr>
        <w:t>“十四五”期间，长汀县以开展全国水土保持高质量先行区建设为抓手，牵头实施精准治理、监管保障、质量提升、发展示范、制度创新、科技促进等“六大工程”项目113个，累计投资17.9亿元，完成水土流失综合治理和生态恢复面积72.7万亩，减少减轻水土流失面积2.96万亩，水土保持率从2000年底的93.22%提升至2024年底的93.69%，推动全县水土保持高质量取得明显成效。水土流失治理实现提质增效，预防监管能力得到强化提升，体制机制改革实现多点突破，绿色产业发展激发全新动能，“长汀经验”推广彰显成效。长汀县获评全国首批国家水土保持示范县，罗河地小流域治理被评为国家水土保持示范工程。</w:t>
      </w:r>
    </w:p>
    <w:p w14:paraId="62BAC5B5">
      <w:pPr>
        <w:ind w:firstLine="565" w:firstLineChars="202"/>
        <w:rPr>
          <w:rFonts w:ascii="宋体" w:hAnsi="宋体"/>
        </w:rPr>
      </w:pPr>
      <w:r>
        <w:rPr>
          <w:rFonts w:hint="eastAsia" w:ascii="宋体" w:hAnsi="宋体"/>
        </w:rPr>
        <w:t>同时，深入探索水土保持生态产品价值转换机制，率先完成全国水土保持碳汇试点研究，实现全国首单水土保持项目碳汇交易、全国首单跨省碳汇交易以及全省首单水土保持生态产品价值转化交易，拓展“两山”转换路径，为全国开展水土保持生态产品价值转化起到了典型示范作用。新时代“长汀经验”在全国进一步推广应用，并入选联合国《生物多样性公约》生态修复典型案例和第十四届国际数字地球会议可持续发展示范案例，在全球宣传推广。</w:t>
      </w:r>
    </w:p>
    <w:p w14:paraId="38AA41F9">
      <w:pPr>
        <w:pStyle w:val="4"/>
        <w:numPr>
          <w:ilvl w:val="2"/>
          <w:numId w:val="2"/>
        </w:numPr>
        <w:rPr>
          <w:rFonts w:ascii="宋体" w:hAnsi="宋体"/>
          <w:b w:val="0"/>
          <w:color w:val="auto"/>
        </w:rPr>
      </w:pPr>
      <w:r>
        <w:rPr>
          <w:rFonts w:hint="eastAsia" w:ascii="宋体" w:hAnsi="宋体"/>
          <w:b w:val="0"/>
          <w:color w:val="auto"/>
        </w:rPr>
        <w:t>幸福河湖建设开创新篇，文旅经济联动成效显著</w:t>
      </w:r>
    </w:p>
    <w:p w14:paraId="4E89E527">
      <w:pPr>
        <w:ind w:firstLine="565" w:firstLineChars="202"/>
        <w:rPr>
          <w:rFonts w:ascii="宋体" w:hAnsi="宋体"/>
        </w:rPr>
      </w:pPr>
      <w:r>
        <w:rPr>
          <w:rFonts w:hint="eastAsia" w:ascii="宋体" w:hAnsi="宋体"/>
        </w:rPr>
        <w:t>“十四五”期间，长汀县深入贯彻习近平总书记关于建设造福人民的幸福河的重要指示精神，全面落实水利部、财</w:t>
      </w:r>
      <w:r>
        <w:rPr>
          <w:rFonts w:ascii="宋体" w:hAnsi="宋体"/>
        </w:rPr>
        <w:t>政部等六部门联合印发的《关于全面推进幸福河湖建设的意见》（水河湖〔2024〕344号），多措并举积极开展幸福河湖建设，不断探索水文化建设和发展水经济。</w:t>
      </w:r>
    </w:p>
    <w:p w14:paraId="5708E320">
      <w:pPr>
        <w:ind w:firstLine="568" w:firstLineChars="202"/>
        <w:rPr>
          <w:rFonts w:ascii="宋体" w:hAnsi="宋体"/>
          <w:b/>
        </w:rPr>
      </w:pPr>
      <w:r>
        <w:rPr>
          <w:rFonts w:hint="eastAsia" w:ascii="宋体" w:hAnsi="宋体"/>
          <w:b/>
        </w:rPr>
        <w:t>（</w:t>
      </w:r>
      <w:r>
        <w:rPr>
          <w:rFonts w:ascii="宋体" w:hAnsi="宋体"/>
          <w:b/>
        </w:rPr>
        <w:t>1）步入幸福河湖建设新阶段</w:t>
      </w:r>
    </w:p>
    <w:p w14:paraId="1E19BEF8">
      <w:pPr>
        <w:ind w:firstLine="565" w:firstLineChars="202"/>
        <w:rPr>
          <w:rFonts w:ascii="宋体" w:hAnsi="宋体"/>
        </w:rPr>
      </w:pPr>
      <w:r>
        <w:rPr>
          <w:rFonts w:ascii="宋体" w:hAnsi="宋体"/>
        </w:rPr>
        <w:t>2025年3月</w:t>
      </w:r>
      <w:r>
        <w:rPr>
          <w:rFonts w:hint="eastAsia" w:ascii="宋体" w:hAnsi="宋体"/>
        </w:rPr>
        <w:t>，</w:t>
      </w:r>
      <w:r>
        <w:rPr>
          <w:rFonts w:ascii="宋体" w:hAnsi="宋体"/>
        </w:rPr>
        <w:t>成立</w:t>
      </w:r>
      <w:r>
        <w:rPr>
          <w:rFonts w:hint="eastAsia" w:ascii="宋体" w:hAnsi="宋体"/>
        </w:rPr>
        <w:t>长汀县</w:t>
      </w:r>
      <w:r>
        <w:rPr>
          <w:rFonts w:ascii="宋体" w:hAnsi="宋体"/>
        </w:rPr>
        <w:t>幸福河湖促进会，由</w:t>
      </w:r>
      <w:r>
        <w:rPr>
          <w:rFonts w:hint="eastAsia" w:ascii="宋体" w:hAnsi="宋体"/>
        </w:rPr>
        <w:t>长汀县</w:t>
      </w:r>
      <w:r>
        <w:rPr>
          <w:rFonts w:ascii="宋体" w:hAnsi="宋体"/>
        </w:rPr>
        <w:t>水利局主管，该促进会汇聚了全</w:t>
      </w:r>
      <w:r>
        <w:rPr>
          <w:rFonts w:hint="eastAsia" w:ascii="宋体" w:hAnsi="宋体"/>
        </w:rPr>
        <w:t>县</w:t>
      </w:r>
      <w:r>
        <w:rPr>
          <w:rFonts w:ascii="宋体" w:hAnsi="宋体"/>
        </w:rPr>
        <w:t>河湖领域的管理者、研究者、实践者及涉水企事业单位等</w:t>
      </w:r>
      <w:r>
        <w:rPr>
          <w:rFonts w:hint="eastAsia" w:ascii="宋体" w:hAnsi="宋体"/>
        </w:rPr>
        <w:t>多方力量。2025年8月，根据龙岩市</w:t>
      </w:r>
      <w:r>
        <w:rPr>
          <w:rFonts w:ascii="宋体" w:hAnsi="宋体"/>
        </w:rPr>
        <w:t>组织制定的《龙岩市幸福河湖建设实施方案（2025—2030年）》</w:t>
      </w:r>
      <w:r>
        <w:rPr>
          <w:rFonts w:hint="eastAsia" w:ascii="宋体" w:hAnsi="宋体"/>
        </w:rPr>
        <w:t>，规划</w:t>
      </w:r>
      <w:r>
        <w:rPr>
          <w:rFonts w:ascii="宋体" w:hAnsi="宋体"/>
        </w:rPr>
        <w:t>了</w:t>
      </w:r>
      <w:r>
        <w:rPr>
          <w:rFonts w:hint="eastAsia" w:ascii="宋体" w:hAnsi="宋体"/>
        </w:rPr>
        <w:t>《福建省</w:t>
      </w:r>
      <w:r>
        <w:rPr>
          <w:rFonts w:ascii="宋体" w:hAnsi="宋体"/>
        </w:rPr>
        <w:t>濯田河</w:t>
      </w:r>
      <w:r>
        <w:rPr>
          <w:rFonts w:hint="eastAsia" w:ascii="宋体" w:hAnsi="宋体"/>
        </w:rPr>
        <w:t>幸福</w:t>
      </w:r>
      <w:r>
        <w:rPr>
          <w:rFonts w:ascii="宋体" w:hAnsi="宋体"/>
        </w:rPr>
        <w:t>河湖</w:t>
      </w:r>
      <w:r>
        <w:rPr>
          <w:rFonts w:hint="eastAsia" w:ascii="宋体" w:hAnsi="宋体"/>
        </w:rPr>
        <w:t>建设</w:t>
      </w:r>
      <w:r>
        <w:rPr>
          <w:rFonts w:ascii="宋体" w:hAnsi="宋体"/>
        </w:rPr>
        <w:t>项目实施方案</w:t>
      </w:r>
      <w:r>
        <w:rPr>
          <w:rFonts w:hint="eastAsia" w:ascii="宋体" w:hAnsi="宋体"/>
        </w:rPr>
        <w:t>》，</w:t>
      </w:r>
      <w:r>
        <w:rPr>
          <w:rFonts w:ascii="宋体" w:hAnsi="宋体"/>
        </w:rPr>
        <w:t>2022~2024年濯田河平均幸福指数为82.3，其建设目标为五星。旨在持续增强人民群众的获得感、幸福感和安全感。</w:t>
      </w:r>
    </w:p>
    <w:p w14:paraId="5CBFEDAF">
      <w:pPr>
        <w:ind w:firstLine="568" w:firstLineChars="202"/>
        <w:rPr>
          <w:rFonts w:ascii="宋体" w:hAnsi="宋体"/>
          <w:b/>
        </w:rPr>
      </w:pPr>
      <w:r>
        <w:rPr>
          <w:rFonts w:hint="eastAsia" w:ascii="宋体" w:hAnsi="宋体"/>
          <w:b/>
        </w:rPr>
        <w:t>（</w:t>
      </w:r>
      <w:r>
        <w:rPr>
          <w:rFonts w:ascii="宋体" w:hAnsi="宋体"/>
          <w:b/>
        </w:rPr>
        <w:t>2）水文化建设已初见雏形</w:t>
      </w:r>
    </w:p>
    <w:p w14:paraId="4A0E3840">
      <w:pPr>
        <w:ind w:firstLine="565" w:firstLineChars="202"/>
        <w:rPr>
          <w:rFonts w:ascii="宋体" w:hAnsi="宋体"/>
        </w:rPr>
      </w:pPr>
      <w:r>
        <w:rPr>
          <w:rFonts w:hint="eastAsia" w:ascii="宋体" w:hAnsi="宋体"/>
        </w:rPr>
        <w:t>全县持续推进水文旅融合项目建设，通过“水利</w:t>
      </w:r>
      <w:r>
        <w:rPr>
          <w:rFonts w:ascii="宋体" w:hAnsi="宋体"/>
        </w:rPr>
        <w:t>+非遗+研学+生态”四链同构，把客家古渡、红军渡口、绿色堤岸串珠成线，推出“一江两岸”水文化研学走廊，打造“</w:t>
      </w:r>
      <w:r>
        <w:rPr>
          <w:rFonts w:hint="eastAsia" w:ascii="宋体" w:hAnsi="宋体"/>
        </w:rPr>
        <w:t>生态红韵客家水脉</w:t>
      </w:r>
      <w:r>
        <w:rPr>
          <w:rFonts w:ascii="宋体" w:hAnsi="宋体"/>
        </w:rPr>
        <w:t>”沉浸式演艺，形成“以水彰文、以文促旅、以旅兴业”的立体经济模式，为老区振兴注入汩汩“文化水动能”。</w:t>
      </w:r>
      <w:r>
        <w:rPr>
          <w:rFonts w:hint="eastAsia" w:ascii="宋体" w:hAnsi="宋体"/>
        </w:rPr>
        <w:t>2</w:t>
      </w:r>
      <w:r>
        <w:rPr>
          <w:rFonts w:ascii="宋体" w:hAnsi="宋体"/>
        </w:rPr>
        <w:t>023</w:t>
      </w:r>
      <w:r>
        <w:rPr>
          <w:rFonts w:hint="eastAsia" w:ascii="宋体" w:hAnsi="宋体"/>
        </w:rPr>
        <w:t>年</w:t>
      </w:r>
      <w:r>
        <w:rPr>
          <w:rFonts w:ascii="宋体" w:hAnsi="宋体"/>
        </w:rPr>
        <w:t>，</w:t>
      </w:r>
      <w:r>
        <w:rPr>
          <w:rFonts w:hint="eastAsia" w:ascii="宋体" w:hAnsi="宋体"/>
        </w:rPr>
        <w:t>羊牯乡</w:t>
      </w:r>
      <w:r>
        <w:rPr>
          <w:rFonts w:ascii="宋体" w:hAnsi="宋体"/>
        </w:rPr>
        <w:t>被</w:t>
      </w:r>
      <w:r>
        <w:rPr>
          <w:rFonts w:hint="eastAsia" w:ascii="宋体" w:hAnsi="宋体"/>
        </w:rPr>
        <w:t>国际</w:t>
      </w:r>
      <w:r>
        <w:rPr>
          <w:rFonts w:ascii="宋体" w:hAnsi="宋体"/>
        </w:rPr>
        <w:t>水利部评</w:t>
      </w:r>
      <w:r>
        <w:rPr>
          <w:rFonts w:hint="eastAsia" w:ascii="宋体" w:hAnsi="宋体"/>
        </w:rPr>
        <w:t>为“</w:t>
      </w:r>
      <w:r>
        <w:rPr>
          <w:rFonts w:ascii="宋体" w:hAnsi="宋体"/>
        </w:rPr>
        <w:t>国家</w:t>
      </w:r>
      <w:r>
        <w:rPr>
          <w:rFonts w:hint="eastAsia" w:ascii="宋体" w:hAnsi="宋体"/>
        </w:rPr>
        <w:t>级</w:t>
      </w:r>
      <w:r>
        <w:rPr>
          <w:rFonts w:ascii="宋体" w:hAnsi="宋体"/>
        </w:rPr>
        <w:t>水利风景区</w:t>
      </w:r>
      <w:r>
        <w:rPr>
          <w:rFonts w:hint="eastAsia" w:ascii="宋体" w:hAnsi="宋体"/>
        </w:rPr>
        <w:t>”，积极开发“汀江水</w:t>
      </w:r>
      <w:r>
        <w:rPr>
          <w:rFonts w:ascii="宋体" w:hAnsi="宋体"/>
        </w:rPr>
        <w:t>+龙华山”特色资源，促进水利风景区总体布局进一步完善，水文化、水</w:t>
      </w:r>
      <w:r>
        <w:rPr>
          <w:rFonts w:hint="eastAsia" w:ascii="宋体" w:hAnsi="宋体"/>
        </w:rPr>
        <w:t>生态与文旅产业的深度融合，正为长汀</w:t>
      </w:r>
      <w:r>
        <w:rPr>
          <w:rFonts w:ascii="宋体" w:hAnsi="宋体"/>
        </w:rPr>
        <w:t>高质量发展注入源源不断的“水动力”。</w:t>
      </w:r>
    </w:p>
    <w:p w14:paraId="1E90DBC0">
      <w:pPr>
        <w:ind w:firstLine="568" w:firstLineChars="202"/>
        <w:rPr>
          <w:rFonts w:ascii="宋体" w:hAnsi="宋体"/>
          <w:b/>
        </w:rPr>
      </w:pPr>
      <w:r>
        <w:rPr>
          <w:rFonts w:hint="eastAsia" w:ascii="宋体" w:hAnsi="宋体"/>
          <w:b/>
        </w:rPr>
        <w:t>（</w:t>
      </w:r>
      <w:r>
        <w:rPr>
          <w:rFonts w:ascii="宋体" w:hAnsi="宋体"/>
          <w:b/>
        </w:rPr>
        <w:t>3）多措并举探索水经济实现路径</w:t>
      </w:r>
    </w:p>
    <w:p w14:paraId="7860E0B9">
      <w:pPr>
        <w:ind w:firstLine="565" w:firstLineChars="202"/>
        <w:rPr>
          <w:rFonts w:ascii="宋体" w:hAnsi="宋体"/>
        </w:rPr>
      </w:pPr>
      <w:r>
        <w:rPr>
          <w:rFonts w:hint="eastAsia" w:ascii="宋体" w:hAnsi="宋体"/>
        </w:rPr>
        <w:t>长汀县在水经济发展中积极探索水权交易机制。创新“河湖</w:t>
      </w:r>
      <w:r>
        <w:rPr>
          <w:rFonts w:ascii="宋体" w:hAnsi="宋体"/>
        </w:rPr>
        <w:t>+”“水利+”经济融合发展模式，推动汀江两岸自然和人文景观深度融合，实现“水美资源”向“水美经济”的有效转化。长汀在全省完成首单水生态产品价值转化交易——长汀县汀江河（城区段）河道文旅类开发特许经营权交易，首单地下水区域水权交易，发放全市首单“水票”质押贷等一系列举措，为企业发展注入资金，盘活水权资产，实现绿水青山向金山银山转换。</w:t>
      </w:r>
    </w:p>
    <w:p w14:paraId="5DBD1044">
      <w:pPr>
        <w:ind w:firstLine="565" w:firstLineChars="202"/>
        <w:rPr>
          <w:rFonts w:ascii="宋体" w:hAnsi="宋体"/>
        </w:rPr>
      </w:pPr>
      <w:r>
        <w:rPr>
          <w:rFonts w:ascii="宋体" w:hAnsi="宋体"/>
        </w:rPr>
        <w:t>2023年12月，全国首单水土保持项目碳汇交易在长汀完成，水金融创新转化社会经济效益愈加凸显；与市中级人民法院联合印发《关于在破坏生态环境造成水土流失刑事案件中开展生态修复适用水土保持碳汇赔偿机制的工作指引（试行）》，在全国首创适用水土保持碳汇赔偿机制，并在全省推广。</w:t>
      </w:r>
    </w:p>
    <w:p w14:paraId="00CCE3AA">
      <w:pPr>
        <w:pStyle w:val="4"/>
        <w:numPr>
          <w:ilvl w:val="2"/>
          <w:numId w:val="2"/>
        </w:numPr>
        <w:rPr>
          <w:rFonts w:ascii="宋体" w:hAnsi="宋体"/>
          <w:b w:val="0"/>
          <w:color w:val="auto"/>
        </w:rPr>
      </w:pPr>
      <w:r>
        <w:rPr>
          <w:rFonts w:hint="eastAsia" w:ascii="宋体" w:hAnsi="宋体"/>
          <w:b w:val="0"/>
          <w:color w:val="auto"/>
        </w:rPr>
        <w:t>智慧水利体系初步成型，水利管理能力智慧赋能</w:t>
      </w:r>
    </w:p>
    <w:p w14:paraId="3850B651">
      <w:pPr>
        <w:ind w:firstLine="565" w:firstLineChars="202"/>
        <w:rPr>
          <w:rFonts w:ascii="宋体" w:hAnsi="宋体"/>
        </w:rPr>
      </w:pPr>
      <w:r>
        <w:rPr>
          <w:rFonts w:hint="eastAsia" w:ascii="宋体" w:hAnsi="宋体"/>
        </w:rPr>
        <w:t>“十四五”期间，长汀县水利局在“十三五”</w:t>
      </w:r>
      <w:r>
        <w:rPr>
          <w:rFonts w:ascii="宋体" w:hAnsi="宋体"/>
        </w:rPr>
        <w:t>基础上积极推进信息化项目实施建设，推进水利感知设施建设，通信网络完善，智慧云平台及系统建设，阶段性提升</w:t>
      </w:r>
      <w:r>
        <w:rPr>
          <w:rFonts w:hint="eastAsia" w:ascii="宋体" w:hAnsi="宋体"/>
        </w:rPr>
        <w:t>长汀县</w:t>
      </w:r>
      <w:r>
        <w:rPr>
          <w:rFonts w:ascii="宋体" w:hAnsi="宋体"/>
        </w:rPr>
        <w:t>整体水利智慧化水平。</w:t>
      </w:r>
    </w:p>
    <w:p w14:paraId="0B6F07B6">
      <w:pPr>
        <w:ind w:firstLine="568" w:firstLineChars="202"/>
        <w:rPr>
          <w:rFonts w:ascii="宋体" w:hAnsi="宋体"/>
          <w:b/>
        </w:rPr>
      </w:pPr>
      <w:r>
        <w:rPr>
          <w:rFonts w:hint="eastAsia" w:ascii="宋体" w:hAnsi="宋体"/>
          <w:b/>
        </w:rPr>
        <w:t>（</w:t>
      </w:r>
      <w:r>
        <w:rPr>
          <w:rFonts w:ascii="宋体" w:hAnsi="宋体"/>
          <w:b/>
        </w:rPr>
        <w:t>1）扎实强化水利感知监测能力</w:t>
      </w:r>
    </w:p>
    <w:p w14:paraId="28E41F02">
      <w:pPr>
        <w:ind w:firstLine="565" w:firstLineChars="202"/>
        <w:rPr>
          <w:rFonts w:ascii="宋体" w:hAnsi="宋体"/>
        </w:rPr>
      </w:pPr>
      <w:r>
        <w:rPr>
          <w:rFonts w:hint="eastAsia" w:ascii="宋体" w:hAnsi="宋体"/>
        </w:rPr>
        <w:t>在感知监测方面，不断完善水利前端监测感知体系，优</w:t>
      </w:r>
      <w:r>
        <w:rPr>
          <w:rFonts w:ascii="宋体" w:hAnsi="宋体"/>
        </w:rPr>
        <w:t>化监测布点，健全监测要素，现已初步实现重点河段、重要水库、低洼地带等主要区域的水情、雨情及视频监测。持续</w:t>
      </w:r>
      <w:r>
        <w:rPr>
          <w:rFonts w:hint="eastAsia" w:ascii="宋体" w:hAnsi="宋体"/>
        </w:rPr>
        <w:t>推进城乡供水一体化与灌区续建配套及现代化改造，水厂、</w:t>
      </w:r>
      <w:r>
        <w:rPr>
          <w:rFonts w:ascii="宋体" w:hAnsi="宋体"/>
        </w:rPr>
        <w:t>灌区等工程信息化水平不断提升，现已实现规模以上取水户在线监测全覆盖，加强用水大户取用水量监测能力。此外</w:t>
      </w:r>
      <w:r>
        <w:rPr>
          <w:rFonts w:hint="eastAsia" w:ascii="宋体" w:hAnsi="宋体"/>
        </w:rPr>
        <w:t>县区内</w:t>
      </w:r>
      <w:r>
        <w:rPr>
          <w:rFonts w:ascii="宋体" w:hAnsi="宋体"/>
        </w:rPr>
        <w:t>深入开展水电站清理整治工作，均已装设生态流量监测装置，监测数据接入省级监管平台</w:t>
      </w:r>
      <w:r>
        <w:rPr>
          <w:rFonts w:hint="eastAsia" w:ascii="宋体" w:hAnsi="宋体"/>
        </w:rPr>
        <w:t>，</w:t>
      </w:r>
      <w:r>
        <w:rPr>
          <w:rFonts w:ascii="宋体" w:hAnsi="宋体"/>
        </w:rPr>
        <w:t>显著提升生态下泄流量的精准感知及远程监管能力。</w:t>
      </w:r>
    </w:p>
    <w:p w14:paraId="528659E8">
      <w:pPr>
        <w:ind w:firstLine="568" w:firstLineChars="202"/>
        <w:rPr>
          <w:rFonts w:ascii="宋体" w:hAnsi="宋体"/>
          <w:b/>
        </w:rPr>
      </w:pPr>
      <w:r>
        <w:rPr>
          <w:rFonts w:hint="eastAsia" w:ascii="宋体" w:hAnsi="宋体"/>
          <w:b/>
        </w:rPr>
        <w:t>（</w:t>
      </w:r>
      <w:r>
        <w:rPr>
          <w:rFonts w:ascii="宋体" w:hAnsi="宋体"/>
          <w:b/>
        </w:rPr>
        <w:t>2）长效筑牢水利通信网络支撑</w:t>
      </w:r>
    </w:p>
    <w:p w14:paraId="0733EC61">
      <w:pPr>
        <w:ind w:firstLine="565" w:firstLineChars="202"/>
        <w:rPr>
          <w:rFonts w:ascii="宋体" w:hAnsi="宋体"/>
        </w:rPr>
      </w:pPr>
      <w:r>
        <w:rPr>
          <w:rFonts w:hint="eastAsia" w:ascii="宋体" w:hAnsi="宋体"/>
        </w:rPr>
        <w:t>在通信网络方面，长汀县依托</w:t>
      </w:r>
      <w:r>
        <w:rPr>
          <w:rFonts w:ascii="宋体" w:hAnsi="宋体"/>
        </w:rPr>
        <w:t>龙岩市</w:t>
      </w:r>
      <w:r>
        <w:rPr>
          <w:rFonts w:hint="eastAsia" w:ascii="宋体" w:hAnsi="宋体"/>
        </w:rPr>
        <w:t>电子政务外网实现</w:t>
      </w:r>
      <w:r>
        <w:rPr>
          <w:rFonts w:ascii="宋体" w:hAnsi="宋体"/>
        </w:rPr>
        <w:t>县级与省、市级水行政主管部门全面贯通，为各类水利信息的跨层级、跨部门高速交换传输提供了稳定可靠的通信环境，偏远地区升级部署北斗三代卫星通道，确保极端条件下通信的稳定性。同时</w:t>
      </w:r>
      <w:r>
        <w:rPr>
          <w:rFonts w:hint="eastAsia" w:ascii="宋体" w:hAnsi="宋体"/>
        </w:rPr>
        <w:t>长汀县</w:t>
      </w:r>
      <w:r>
        <w:rPr>
          <w:rFonts w:ascii="宋体" w:hAnsi="宋体"/>
        </w:rPr>
        <w:t>已基本建成防汛专网、水安视频监控专网等信息传输通道，有效保障县级与上下级水利管理部门之间网络互联互通与信息共享。</w:t>
      </w:r>
    </w:p>
    <w:p w14:paraId="6E000992">
      <w:pPr>
        <w:ind w:firstLine="568" w:firstLineChars="202"/>
        <w:rPr>
          <w:rFonts w:ascii="宋体" w:hAnsi="宋体"/>
          <w:b/>
        </w:rPr>
      </w:pPr>
      <w:r>
        <w:rPr>
          <w:rFonts w:hint="eastAsia" w:ascii="宋体" w:hAnsi="宋体"/>
          <w:b/>
        </w:rPr>
        <w:t>（</w:t>
      </w:r>
      <w:r>
        <w:rPr>
          <w:rFonts w:ascii="宋体" w:hAnsi="宋体"/>
          <w:b/>
        </w:rPr>
        <w:t>3）持续夯实系统运行环境基座</w:t>
      </w:r>
    </w:p>
    <w:p w14:paraId="6F666CAA">
      <w:pPr>
        <w:ind w:firstLine="565" w:firstLineChars="202"/>
        <w:rPr>
          <w:rFonts w:ascii="宋体" w:hAnsi="宋体"/>
        </w:rPr>
      </w:pPr>
      <w:r>
        <w:rPr>
          <w:rFonts w:hint="eastAsia" w:ascii="宋体" w:hAnsi="宋体"/>
        </w:rPr>
        <w:t>在运行环境方面，长汀县</w:t>
      </w:r>
      <w:r>
        <w:rPr>
          <w:rFonts w:ascii="宋体" w:hAnsi="宋体"/>
        </w:rPr>
        <w:t>紧跟</w:t>
      </w:r>
      <w:r>
        <w:rPr>
          <w:rFonts w:hint="eastAsia" w:ascii="宋体" w:hAnsi="宋体"/>
        </w:rPr>
        <w:t>龙岩</w:t>
      </w:r>
      <w:r>
        <w:rPr>
          <w:rFonts w:ascii="宋体" w:hAnsi="宋体"/>
        </w:rPr>
        <w:t>市高质量发展步伐，升级改造硬件设备，建设数据机房、服务器、网络交换及安全设备等配套设施，初步满足信息化业务应用设备部署与计算存储要求</w:t>
      </w:r>
      <w:r>
        <w:rPr>
          <w:rFonts w:hint="eastAsia" w:ascii="宋体" w:hAnsi="宋体"/>
        </w:rPr>
        <w:t>，同时建设有高清视频会商系统，</w:t>
      </w:r>
      <w:r>
        <w:rPr>
          <w:rFonts w:ascii="宋体" w:hAnsi="宋体"/>
        </w:rPr>
        <w:t>建成与</w:t>
      </w:r>
      <w:r>
        <w:rPr>
          <w:rFonts w:hint="eastAsia" w:ascii="宋体" w:hAnsi="宋体"/>
        </w:rPr>
        <w:t>省</w:t>
      </w:r>
      <w:r>
        <w:rPr>
          <w:rFonts w:ascii="宋体" w:hAnsi="宋体"/>
        </w:rPr>
        <w:t>、市、县水利局视频会商通道。</w:t>
      </w:r>
    </w:p>
    <w:p w14:paraId="4763B104">
      <w:pPr>
        <w:ind w:firstLine="568" w:firstLineChars="202"/>
        <w:rPr>
          <w:rFonts w:ascii="宋体" w:hAnsi="宋体"/>
          <w:b/>
        </w:rPr>
      </w:pPr>
      <w:r>
        <w:rPr>
          <w:rFonts w:hint="eastAsia" w:ascii="宋体" w:hAnsi="宋体"/>
          <w:b/>
        </w:rPr>
        <w:t>（</w:t>
      </w:r>
      <w:r>
        <w:rPr>
          <w:rFonts w:ascii="宋体" w:hAnsi="宋体"/>
          <w:b/>
        </w:rPr>
        <w:t>4）动态完善智能业务应用系统</w:t>
      </w:r>
    </w:p>
    <w:p w14:paraId="5DB33B2A">
      <w:pPr>
        <w:ind w:firstLine="565" w:firstLineChars="202"/>
        <w:rPr>
          <w:rFonts w:ascii="宋体" w:hAnsi="宋体"/>
        </w:rPr>
      </w:pPr>
      <w:r>
        <w:rPr>
          <w:rFonts w:hint="eastAsia" w:ascii="宋体" w:hAnsi="宋体"/>
        </w:rPr>
        <w:t>在应用系统建设方面，长汀县依托省级、</w:t>
      </w:r>
      <w:r>
        <w:rPr>
          <w:rFonts w:ascii="宋体" w:hAnsi="宋体"/>
        </w:rPr>
        <w:t>市级</w:t>
      </w:r>
      <w:r>
        <w:rPr>
          <w:rFonts w:hint="eastAsia" w:ascii="宋体" w:hAnsi="宋体"/>
        </w:rPr>
        <w:t>应用系统平台，</w:t>
      </w:r>
      <w:r>
        <w:rPr>
          <w:rFonts w:ascii="宋体" w:hAnsi="宋体"/>
        </w:rPr>
        <w:t>建设水土保持信息管理平台、灌区农业水价综合管理平台等实现对各类监测数据监视和统计功能，可初步满足县级水行政主管部门管理需求</w:t>
      </w:r>
      <w:r>
        <w:rPr>
          <w:rFonts w:hint="eastAsia" w:ascii="宋体" w:hAnsi="宋体"/>
        </w:rPr>
        <w:t>。</w:t>
      </w:r>
    </w:p>
    <w:p w14:paraId="22DA9C1C">
      <w:pPr>
        <w:pStyle w:val="4"/>
        <w:numPr>
          <w:ilvl w:val="2"/>
          <w:numId w:val="2"/>
        </w:numPr>
        <w:rPr>
          <w:rFonts w:ascii="宋体" w:hAnsi="宋体"/>
          <w:b w:val="0"/>
          <w:color w:val="auto"/>
        </w:rPr>
      </w:pPr>
      <w:r>
        <w:rPr>
          <w:rFonts w:ascii="宋体" w:hAnsi="宋体"/>
          <w:b w:val="0"/>
          <w:color w:val="auto"/>
        </w:rPr>
        <w:t>制度法治体系逐步健全，监管责任效能不断升级</w:t>
      </w:r>
    </w:p>
    <w:p w14:paraId="37A3B5EA">
      <w:pPr>
        <w:ind w:firstLine="565" w:firstLineChars="202"/>
        <w:rPr>
          <w:rFonts w:ascii="宋体" w:hAnsi="宋体"/>
        </w:rPr>
      </w:pPr>
      <w:r>
        <w:rPr>
          <w:rFonts w:hint="eastAsia" w:ascii="宋体" w:hAnsi="宋体"/>
        </w:rPr>
        <w:t>“十四五”期间，长汀县以河湖长制为抓手，聚焦水利治理关键领域，聚力联动、创新机制、提质增效，有力推进河湖长制工作全面落实，推动各项工作取得显著成效。</w:t>
      </w:r>
    </w:p>
    <w:p w14:paraId="1E86A063">
      <w:pPr>
        <w:ind w:firstLine="568" w:firstLineChars="202"/>
        <w:rPr>
          <w:rFonts w:ascii="宋体" w:hAnsi="宋体"/>
          <w:b/>
        </w:rPr>
      </w:pPr>
      <w:r>
        <w:rPr>
          <w:rFonts w:hint="eastAsia" w:ascii="宋体" w:hAnsi="宋体"/>
          <w:b/>
        </w:rPr>
        <w:t>（</w:t>
      </w:r>
      <w:r>
        <w:rPr>
          <w:rFonts w:ascii="宋体" w:hAnsi="宋体"/>
          <w:b/>
        </w:rPr>
        <w:t>1）创新体制机制</w:t>
      </w:r>
    </w:p>
    <w:p w14:paraId="14F44320">
      <w:pPr>
        <w:ind w:firstLine="565" w:firstLineChars="202"/>
        <w:rPr>
          <w:rFonts w:ascii="宋体" w:hAnsi="宋体"/>
        </w:rPr>
      </w:pPr>
      <w:r>
        <w:rPr>
          <w:rFonts w:hint="eastAsia" w:ascii="宋体" w:hAnsi="宋体"/>
        </w:rPr>
        <w:t>在河湖管护方面，深耕河长制创新实践，通过清单化推进并纳入大督查、启动县级机构编制单设、打造“党建</w:t>
      </w:r>
      <w:r>
        <w:rPr>
          <w:rFonts w:ascii="宋体" w:hAnsi="宋体"/>
        </w:rPr>
        <w:t>+河长制”融合模式、“姜公护河”等特色载体。深入实施河湖长制，开展流域国省控断面水环境提升等专项整治攻坚，政协“委员河长”积极参与河湖管护，老兵河长等民间河长和志愿服 务队伍爱河护河作用充分发挥。长汀县作为“河长证”管理创新试点，在全省率先为 708 名河长正式颁发“河长证”，进一步调动河长治水护河的积极性。</w:t>
      </w:r>
    </w:p>
    <w:p w14:paraId="279C6C5E">
      <w:pPr>
        <w:ind w:firstLine="568" w:firstLineChars="202"/>
        <w:rPr>
          <w:rFonts w:ascii="宋体" w:hAnsi="宋体"/>
          <w:b/>
        </w:rPr>
      </w:pPr>
      <w:r>
        <w:rPr>
          <w:rFonts w:hint="eastAsia" w:ascii="宋体" w:hAnsi="宋体"/>
          <w:b/>
        </w:rPr>
        <w:t>（</w:t>
      </w:r>
      <w:r>
        <w:rPr>
          <w:rFonts w:ascii="宋体" w:hAnsi="宋体"/>
          <w:b/>
        </w:rPr>
        <w:t>2）法治引领</w:t>
      </w:r>
    </w:p>
    <w:p w14:paraId="40E08FA2">
      <w:pPr>
        <w:ind w:firstLine="565" w:firstLineChars="202"/>
        <w:rPr>
          <w:rFonts w:ascii="宋体" w:hAnsi="宋体"/>
        </w:rPr>
      </w:pPr>
      <w:r>
        <w:rPr>
          <w:rFonts w:hint="eastAsia" w:ascii="宋体" w:hAnsi="宋体"/>
        </w:rPr>
        <w:t>龙岩市颁布的《龙岩市实施河长制条例》，《龙岩市汀江保护条例》《龙岩市长汀水土流失区生态文明建设促进条例》等地方性条例，为河湖管护保驾护航，进一步加强流域水生态环境保护法制化进程。长汀县颁布全国首个水土保持空间管控命令，依法严格人为水土流失监管、科学推进水土流失综合防治，有效落实国土空间规划和用途管制要求。推动水利执法体制机制改革，明确水行政主管部门与综合执法机构职责分工，建立健全协作配合机制，提升水利监管和执法效能，长汀县河田镇非法采砂案件被评为全省水行政执法优秀案卷。</w:t>
      </w:r>
    </w:p>
    <w:p w14:paraId="4578C0B6">
      <w:pPr>
        <w:ind w:firstLine="568" w:firstLineChars="202"/>
        <w:rPr>
          <w:rFonts w:ascii="宋体" w:hAnsi="宋体"/>
          <w:b/>
        </w:rPr>
      </w:pPr>
      <w:r>
        <w:rPr>
          <w:rFonts w:hint="eastAsia" w:ascii="宋体" w:hAnsi="宋体"/>
          <w:b/>
        </w:rPr>
        <w:t>（</w:t>
      </w:r>
      <w:r>
        <w:rPr>
          <w:rFonts w:ascii="宋体" w:hAnsi="宋体"/>
          <w:b/>
        </w:rPr>
        <w:t>3）持续夯实河道管理基础</w:t>
      </w:r>
    </w:p>
    <w:p w14:paraId="44742D9D">
      <w:pPr>
        <w:ind w:firstLine="565" w:firstLineChars="202"/>
        <w:rPr>
          <w:rFonts w:ascii="宋体" w:hAnsi="宋体"/>
        </w:rPr>
      </w:pPr>
      <w:r>
        <w:rPr>
          <w:rFonts w:hint="eastAsia" w:ascii="宋体" w:hAnsi="宋体"/>
        </w:rPr>
        <w:t>实行山区河道管理名录管理。组织各乡镇水利工作站、河长制办公室对山区河道逐条摸排，建立台账，纳入山区河道名录管理，明确“四个责任人”，并向社会公布河道名录和责任人名单。开展河道管理线划界及复核工作。全县流域面积</w:t>
      </w:r>
      <w:r>
        <w:rPr>
          <w:rFonts w:ascii="宋体" w:hAnsi="宋体"/>
        </w:rPr>
        <w:t xml:space="preserve"> 50km2 以上26条河流划界、河流岸线保护与利用规划工作已全部完成、流域面积20-50km2以下河流划界、河流岸线保护与利用规划工作已完成6条。创新审批模式，实行水利建设项目“1+N”“N+1”审批模式，变“串联”为“并联”，不断提升项目审批效率，2024年办结94件，满意率 100%。</w:t>
      </w:r>
    </w:p>
    <w:p w14:paraId="5994BF60">
      <w:pPr>
        <w:pStyle w:val="3"/>
        <w:numPr>
          <w:ilvl w:val="1"/>
          <w:numId w:val="2"/>
        </w:numPr>
        <w:rPr>
          <w:rFonts w:ascii="宋体" w:hAnsi="宋体"/>
          <w:b w:val="0"/>
          <w:color w:val="auto"/>
        </w:rPr>
      </w:pPr>
      <w:bookmarkStart w:id="12" w:name="_Toc216791684"/>
      <w:r>
        <w:rPr>
          <w:rFonts w:hint="eastAsia" w:ascii="宋体" w:hAnsi="宋体"/>
          <w:b w:val="0"/>
          <w:color w:val="auto"/>
        </w:rPr>
        <w:t>“十四五”规划指标完成情况</w:t>
      </w:r>
      <w:bookmarkEnd w:id="12"/>
    </w:p>
    <w:p w14:paraId="7B2A6751">
      <w:pPr>
        <w:ind w:firstLine="425" w:firstLineChars="152"/>
        <w:rPr>
          <w:rFonts w:ascii="宋体" w:hAnsi="宋体"/>
        </w:rPr>
      </w:pPr>
      <w:r>
        <w:rPr>
          <w:rFonts w:hint="eastAsia" w:ascii="宋体" w:hAnsi="宋体"/>
        </w:rPr>
        <w:t>“十四五”期间，全县水利工作在县委、县政府的正确领导下，在省、市水利主管部门的大力支持和指导下，坚持“节水优先、空间均衡、系统治理、两手发力”的治水方针，准确把握“水利工程补短板、水利行业强监管”的水利改革发展总基调，加快水利建设、深化水利改革、强化水利法制，科学规划、统筹安排，着力完善防洪排涝安全体系、水资源安全保障体系、水生态安全保障体系，长汀县城区基本达到</w:t>
      </w:r>
      <w:r>
        <w:rPr>
          <w:rFonts w:ascii="宋体" w:hAnsi="宋体"/>
        </w:rPr>
        <w:t>20年一遇防洪标准，各乡镇镇区段基本实现 10 年一遇防洪标准，基本建成较为完善的山洪灾害防治体系；新建一批水源工程及农村饮水安全工程，新增可供水能</w:t>
      </w:r>
      <w:r>
        <w:rPr>
          <w:rFonts w:hint="eastAsia" w:ascii="宋体" w:hAnsi="宋体"/>
        </w:rPr>
        <w:t>力超</w:t>
      </w:r>
      <w:r>
        <w:rPr>
          <w:rFonts w:ascii="宋体" w:hAnsi="宋体"/>
        </w:rPr>
        <w:t>1252万m</w:t>
      </w:r>
      <w:r>
        <w:rPr>
          <w:rFonts w:ascii="宋体" w:hAnsi="宋体"/>
          <w:vertAlign w:val="superscript"/>
        </w:rPr>
        <w:t>3</w:t>
      </w:r>
      <w:r>
        <w:rPr>
          <w:rFonts w:ascii="宋体" w:hAnsi="宋体"/>
        </w:rPr>
        <w:t>，用水总量控制在3.2亿m³以内，万元工业增加值用水量小于15m³/万元；开展万里安全生态水系、水土流失治理等一系列建设项目，县域饮用水水源地水质达标率100%，建成长汀县灌区农业水价综合管理平台，进一步提高水治理和水管理能力，取得了显著的成绩、实现了重要转变和跨越，为全县经济社会的发展做出了重大贡献。</w:t>
      </w:r>
    </w:p>
    <w:p w14:paraId="74E16794">
      <w:pPr>
        <w:ind w:firstLine="565" w:firstLineChars="202"/>
        <w:rPr>
          <w:rFonts w:ascii="宋体" w:hAnsi="宋体"/>
        </w:rPr>
      </w:pPr>
      <w:r>
        <w:rPr>
          <w:rFonts w:hint="eastAsia" w:ascii="宋体" w:hAnsi="宋体"/>
        </w:rPr>
        <w:t>长汀县“十四五”水安全保障规划共规划</w:t>
      </w:r>
      <w:r>
        <w:rPr>
          <w:rFonts w:ascii="宋体" w:hAnsi="宋体"/>
        </w:rPr>
        <w:t>152个项目，“十四五”期间共完成24个项目，占比15.79%：其中防洪减灾类完成13个项目、供水安全保障类完成4个项目、水生态安全保障类完成3个项目、水文化建设类提升完成1个项目、水利信息化安全保障类完成3个项目。“十四五”期间</w:t>
      </w:r>
      <w:r>
        <w:rPr>
          <w:rFonts w:hint="eastAsia" w:ascii="宋体" w:hAnsi="宋体"/>
        </w:rPr>
        <w:t>,</w:t>
      </w:r>
      <w:r>
        <w:rPr>
          <w:rFonts w:ascii="宋体" w:hAnsi="宋体"/>
        </w:rPr>
        <w:t>长汀县积极推进水利工程建设，</w:t>
      </w:r>
      <w:r>
        <w:rPr>
          <w:rFonts w:hint="eastAsia" w:ascii="宋体" w:hAnsi="宋体"/>
        </w:rPr>
        <w:t>但</w:t>
      </w:r>
      <w:r>
        <w:rPr>
          <w:rFonts w:ascii="宋体" w:hAnsi="宋体"/>
        </w:rPr>
        <w:t>由于政策导向的频繁调整</w:t>
      </w:r>
      <w:r>
        <w:rPr>
          <w:rFonts w:hint="eastAsia" w:ascii="宋体" w:hAnsi="宋体"/>
        </w:rPr>
        <w:t>，</w:t>
      </w:r>
      <w:r>
        <w:rPr>
          <w:rFonts w:ascii="宋体" w:hAnsi="宋体"/>
        </w:rPr>
        <w:t>资金多集中于大型骨干工程，对中小型供水工程、老旧管网改造等民生领域的投入相对不足</w:t>
      </w:r>
      <w:r>
        <w:rPr>
          <w:rFonts w:hint="eastAsia" w:ascii="MS Mincho" w:hAnsi="MS Mincho" w:eastAsia="MS Mincho" w:cs="MS Mincho"/>
        </w:rPr>
        <w:t>‌</w:t>
      </w:r>
      <w:r>
        <w:rPr>
          <w:rFonts w:hint="eastAsia" w:ascii="宋体" w:hAnsi="宋体"/>
        </w:rPr>
        <w:t>等</w:t>
      </w:r>
      <w:r>
        <w:rPr>
          <w:rFonts w:ascii="宋体" w:hAnsi="宋体"/>
        </w:rPr>
        <w:t>原因，导致规划项目完成</w:t>
      </w:r>
      <w:r>
        <w:rPr>
          <w:rFonts w:hint="eastAsia" w:ascii="宋体" w:hAnsi="宋体"/>
        </w:rPr>
        <w:t>率较低</w:t>
      </w:r>
      <w:r>
        <w:rPr>
          <w:rFonts w:ascii="宋体" w:hAnsi="宋体"/>
        </w:rPr>
        <w:t>。</w:t>
      </w:r>
    </w:p>
    <w:p w14:paraId="4BB0A100">
      <w:pPr>
        <w:ind w:firstLine="425" w:firstLineChars="152"/>
        <w:rPr>
          <w:rFonts w:ascii="宋体" w:hAnsi="宋体"/>
        </w:rPr>
      </w:pPr>
      <w:r>
        <w:rPr>
          <w:rFonts w:hint="eastAsia" w:ascii="宋体" w:hAnsi="宋体"/>
        </w:rPr>
        <w:t>“十四五”期间，长汀县规划指标</w:t>
      </w:r>
      <w:r>
        <w:rPr>
          <w:rFonts w:ascii="宋体" w:hAnsi="宋体"/>
        </w:rPr>
        <w:t>23项，其中约束性指标9项，预期性目标14项，至2025年底，</w:t>
      </w:r>
      <w:r>
        <w:rPr>
          <w:rFonts w:hint="eastAsia" w:ascii="宋体" w:hAnsi="宋体"/>
        </w:rPr>
        <w:t>除</w:t>
      </w:r>
      <w:r>
        <w:rPr>
          <w:rFonts w:ascii="宋体" w:hAnsi="宋体"/>
        </w:rPr>
        <w:t>城区防洪标准外预期基本完成。</w:t>
      </w:r>
    </w:p>
    <w:tbl>
      <w:tblPr>
        <w:tblStyle w:val="30"/>
        <w:tblW w:w="5211" w:type="pct"/>
        <w:tblInd w:w="0" w:type="dxa"/>
        <w:tblLayout w:type="autofit"/>
        <w:tblCellMar>
          <w:top w:w="0" w:type="dxa"/>
          <w:left w:w="108" w:type="dxa"/>
          <w:bottom w:w="0" w:type="dxa"/>
          <w:right w:w="108" w:type="dxa"/>
        </w:tblCellMar>
      </w:tblPr>
      <w:tblGrid>
        <w:gridCol w:w="866"/>
        <w:gridCol w:w="472"/>
        <w:gridCol w:w="2431"/>
        <w:gridCol w:w="1461"/>
        <w:gridCol w:w="876"/>
        <w:gridCol w:w="1959"/>
        <w:gridCol w:w="817"/>
      </w:tblGrid>
      <w:tr w14:paraId="5B91ABAF">
        <w:tblPrEx>
          <w:tblCellMar>
            <w:top w:w="0" w:type="dxa"/>
            <w:left w:w="108" w:type="dxa"/>
            <w:bottom w:w="0" w:type="dxa"/>
            <w:right w:w="108" w:type="dxa"/>
          </w:tblCellMar>
        </w:tblPrEx>
        <w:trPr>
          <w:trHeight w:val="600" w:hRule="atLeast"/>
        </w:trPr>
        <w:tc>
          <w:tcPr>
            <w:tcW w:w="5000" w:type="pct"/>
            <w:gridSpan w:val="7"/>
            <w:tcBorders>
              <w:top w:val="nil"/>
              <w:left w:val="nil"/>
              <w:bottom w:val="single" w:color="auto" w:sz="4" w:space="0"/>
              <w:right w:val="nil"/>
            </w:tcBorders>
            <w:noWrap/>
            <w:vAlign w:val="center"/>
          </w:tcPr>
          <w:p w14:paraId="5BF1853F">
            <w:pPr>
              <w:widowControl/>
              <w:spacing w:line="240" w:lineRule="auto"/>
              <w:jc w:val="center"/>
              <w:rPr>
                <w:rFonts w:ascii="宋体" w:hAnsi="宋体" w:cs="宋体"/>
                <w:b/>
                <w:bCs/>
                <w:color w:val="000000"/>
                <w:kern w:val="0"/>
                <w:szCs w:val="28"/>
              </w:rPr>
            </w:pPr>
            <w:r>
              <w:rPr>
                <w:rFonts w:hint="eastAsia" w:ascii="宋体" w:hAnsi="宋体" w:cs="宋体"/>
                <w:b/>
                <w:bCs/>
                <w:color w:val="000000"/>
                <w:kern w:val="0"/>
                <w:szCs w:val="28"/>
              </w:rPr>
              <w:t>“十四五”规划指标完成情况</w:t>
            </w:r>
          </w:p>
        </w:tc>
      </w:tr>
      <w:tr w14:paraId="5FC45D39">
        <w:tblPrEx>
          <w:tblCellMar>
            <w:top w:w="0" w:type="dxa"/>
            <w:left w:w="108" w:type="dxa"/>
            <w:bottom w:w="0" w:type="dxa"/>
            <w:right w:w="108" w:type="dxa"/>
          </w:tblCellMar>
        </w:tblPrEx>
        <w:trPr>
          <w:trHeight w:val="480" w:hRule="atLeast"/>
        </w:trPr>
        <w:tc>
          <w:tcPr>
            <w:tcW w:w="492" w:type="pct"/>
            <w:tcBorders>
              <w:top w:val="nil"/>
              <w:left w:val="single" w:color="auto" w:sz="4" w:space="0"/>
              <w:bottom w:val="single" w:color="auto" w:sz="4" w:space="0"/>
              <w:right w:val="single" w:color="auto" w:sz="4" w:space="0"/>
            </w:tcBorders>
            <w:vAlign w:val="center"/>
          </w:tcPr>
          <w:p w14:paraId="7E7444B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指标体系</w:t>
            </w:r>
          </w:p>
        </w:tc>
        <w:tc>
          <w:tcPr>
            <w:tcW w:w="270" w:type="pct"/>
            <w:tcBorders>
              <w:top w:val="nil"/>
              <w:left w:val="nil"/>
              <w:bottom w:val="single" w:color="auto" w:sz="4" w:space="0"/>
              <w:right w:val="single" w:color="auto" w:sz="4" w:space="0"/>
            </w:tcBorders>
            <w:vAlign w:val="center"/>
          </w:tcPr>
          <w:p w14:paraId="4D7C3EA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序号</w:t>
            </w:r>
          </w:p>
        </w:tc>
        <w:tc>
          <w:tcPr>
            <w:tcW w:w="1373" w:type="pct"/>
            <w:tcBorders>
              <w:top w:val="nil"/>
              <w:left w:val="nil"/>
              <w:bottom w:val="single" w:color="auto" w:sz="4" w:space="0"/>
              <w:right w:val="single" w:color="auto" w:sz="4" w:space="0"/>
            </w:tcBorders>
            <w:vAlign w:val="center"/>
          </w:tcPr>
          <w:p w14:paraId="327B519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项目</w:t>
            </w:r>
          </w:p>
        </w:tc>
        <w:tc>
          <w:tcPr>
            <w:tcW w:w="827" w:type="pct"/>
            <w:tcBorders>
              <w:top w:val="nil"/>
              <w:left w:val="nil"/>
              <w:bottom w:val="single" w:color="auto" w:sz="4" w:space="0"/>
              <w:right w:val="single" w:color="auto" w:sz="4" w:space="0"/>
            </w:tcBorders>
            <w:vAlign w:val="center"/>
          </w:tcPr>
          <w:p w14:paraId="3FF538E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“十四五”规划目标</w:t>
            </w:r>
          </w:p>
        </w:tc>
        <w:tc>
          <w:tcPr>
            <w:tcW w:w="497" w:type="pct"/>
            <w:tcBorders>
              <w:top w:val="nil"/>
              <w:left w:val="nil"/>
              <w:bottom w:val="single" w:color="auto" w:sz="4" w:space="0"/>
              <w:right w:val="single" w:color="auto" w:sz="4" w:space="0"/>
            </w:tcBorders>
            <w:vAlign w:val="center"/>
          </w:tcPr>
          <w:p w14:paraId="3D94370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指标属性</w:t>
            </w:r>
          </w:p>
        </w:tc>
        <w:tc>
          <w:tcPr>
            <w:tcW w:w="1107" w:type="pct"/>
            <w:tcBorders>
              <w:top w:val="nil"/>
              <w:left w:val="nil"/>
              <w:bottom w:val="single" w:color="auto" w:sz="4" w:space="0"/>
              <w:right w:val="single" w:color="auto" w:sz="4" w:space="0"/>
            </w:tcBorders>
            <w:vAlign w:val="center"/>
          </w:tcPr>
          <w:p w14:paraId="7A10DEB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完成值</w:t>
            </w:r>
          </w:p>
        </w:tc>
        <w:tc>
          <w:tcPr>
            <w:tcW w:w="419" w:type="pct"/>
            <w:tcBorders>
              <w:top w:val="nil"/>
              <w:left w:val="nil"/>
              <w:bottom w:val="single" w:color="auto" w:sz="4" w:space="0"/>
              <w:right w:val="single" w:color="auto" w:sz="4" w:space="0"/>
            </w:tcBorders>
            <w:vAlign w:val="center"/>
          </w:tcPr>
          <w:p w14:paraId="743CE90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完成情况</w:t>
            </w:r>
          </w:p>
        </w:tc>
      </w:tr>
      <w:tr w14:paraId="7CD9D684">
        <w:tblPrEx>
          <w:tblCellMar>
            <w:top w:w="0" w:type="dxa"/>
            <w:left w:w="108" w:type="dxa"/>
            <w:bottom w:w="0" w:type="dxa"/>
            <w:right w:w="108" w:type="dxa"/>
          </w:tblCellMar>
        </w:tblPrEx>
        <w:trPr>
          <w:trHeight w:val="399" w:hRule="atLeast"/>
        </w:trPr>
        <w:tc>
          <w:tcPr>
            <w:tcW w:w="492" w:type="pct"/>
            <w:vMerge w:val="restart"/>
            <w:tcBorders>
              <w:top w:val="nil"/>
              <w:left w:val="single" w:color="auto" w:sz="4" w:space="0"/>
              <w:bottom w:val="single" w:color="auto" w:sz="4" w:space="0"/>
              <w:right w:val="single" w:color="auto" w:sz="4" w:space="0"/>
            </w:tcBorders>
            <w:vAlign w:val="center"/>
          </w:tcPr>
          <w:p w14:paraId="0B39500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水旱灾害防御目标</w:t>
            </w:r>
          </w:p>
        </w:tc>
        <w:tc>
          <w:tcPr>
            <w:tcW w:w="270" w:type="pct"/>
            <w:tcBorders>
              <w:top w:val="nil"/>
              <w:left w:val="nil"/>
              <w:bottom w:val="single" w:color="auto" w:sz="4" w:space="0"/>
              <w:right w:val="single" w:color="auto" w:sz="4" w:space="0"/>
            </w:tcBorders>
            <w:noWrap/>
            <w:vAlign w:val="center"/>
          </w:tcPr>
          <w:p w14:paraId="30BF6A0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1373" w:type="pct"/>
            <w:tcBorders>
              <w:top w:val="nil"/>
              <w:left w:val="nil"/>
              <w:bottom w:val="single" w:color="auto" w:sz="4" w:space="0"/>
              <w:right w:val="single" w:color="auto" w:sz="4" w:space="0"/>
            </w:tcBorders>
            <w:vAlign w:val="center"/>
          </w:tcPr>
          <w:p w14:paraId="3A53F18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城区防洪标准</w:t>
            </w:r>
          </w:p>
        </w:tc>
        <w:tc>
          <w:tcPr>
            <w:tcW w:w="827" w:type="pct"/>
            <w:tcBorders>
              <w:top w:val="nil"/>
              <w:left w:val="nil"/>
              <w:bottom w:val="single" w:color="auto" w:sz="4" w:space="0"/>
              <w:right w:val="single" w:color="auto" w:sz="4" w:space="0"/>
            </w:tcBorders>
            <w:noWrap/>
            <w:vAlign w:val="center"/>
          </w:tcPr>
          <w:p w14:paraId="41649C9B">
            <w:pPr>
              <w:widowControl/>
              <w:spacing w:line="240" w:lineRule="auto"/>
              <w:jc w:val="center"/>
              <w:rPr>
                <w:rFonts w:ascii="宋体" w:hAnsi="宋体" w:cs="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0年一遇</w:t>
            </w:r>
          </w:p>
        </w:tc>
        <w:tc>
          <w:tcPr>
            <w:tcW w:w="497" w:type="pct"/>
            <w:tcBorders>
              <w:top w:val="nil"/>
              <w:left w:val="nil"/>
              <w:bottom w:val="single" w:color="auto" w:sz="4" w:space="0"/>
              <w:right w:val="single" w:color="auto" w:sz="4" w:space="0"/>
            </w:tcBorders>
            <w:noWrap/>
            <w:vAlign w:val="center"/>
          </w:tcPr>
          <w:p w14:paraId="4BD8CFB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57A6289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基本达到20年一遇</w:t>
            </w:r>
          </w:p>
        </w:tc>
        <w:tc>
          <w:tcPr>
            <w:tcW w:w="419" w:type="pct"/>
            <w:tcBorders>
              <w:top w:val="nil"/>
              <w:left w:val="nil"/>
              <w:bottom w:val="single" w:color="auto" w:sz="4" w:space="0"/>
              <w:right w:val="single" w:color="auto" w:sz="4" w:space="0"/>
            </w:tcBorders>
            <w:noWrap/>
            <w:vAlign w:val="center"/>
          </w:tcPr>
          <w:p w14:paraId="1C6F81F8">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未完成</w:t>
            </w:r>
          </w:p>
        </w:tc>
      </w:tr>
      <w:tr w14:paraId="2D95DCFE">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4C077479">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550C1CC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1373" w:type="pct"/>
            <w:tcBorders>
              <w:top w:val="nil"/>
              <w:left w:val="nil"/>
              <w:bottom w:val="single" w:color="auto" w:sz="4" w:space="0"/>
              <w:right w:val="single" w:color="auto" w:sz="4" w:space="0"/>
            </w:tcBorders>
            <w:vAlign w:val="center"/>
          </w:tcPr>
          <w:p w14:paraId="4CB9ABF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重点乡镇防洪标准</w:t>
            </w:r>
          </w:p>
        </w:tc>
        <w:tc>
          <w:tcPr>
            <w:tcW w:w="827" w:type="pct"/>
            <w:tcBorders>
              <w:top w:val="nil"/>
              <w:left w:val="nil"/>
              <w:bottom w:val="single" w:color="auto" w:sz="4" w:space="0"/>
              <w:right w:val="single" w:color="auto" w:sz="4" w:space="0"/>
            </w:tcBorders>
            <w:noWrap/>
            <w:vAlign w:val="center"/>
          </w:tcPr>
          <w:p w14:paraId="0A06946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20年一遇</w:t>
            </w:r>
          </w:p>
        </w:tc>
        <w:tc>
          <w:tcPr>
            <w:tcW w:w="497" w:type="pct"/>
            <w:tcBorders>
              <w:top w:val="nil"/>
              <w:left w:val="nil"/>
              <w:bottom w:val="single" w:color="auto" w:sz="4" w:space="0"/>
              <w:right w:val="single" w:color="auto" w:sz="4" w:space="0"/>
            </w:tcBorders>
            <w:noWrap/>
            <w:vAlign w:val="center"/>
          </w:tcPr>
          <w:p w14:paraId="3978B27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6663B17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20年一遇</w:t>
            </w:r>
          </w:p>
        </w:tc>
        <w:tc>
          <w:tcPr>
            <w:tcW w:w="419" w:type="pct"/>
            <w:tcBorders>
              <w:top w:val="nil"/>
              <w:left w:val="nil"/>
              <w:bottom w:val="single" w:color="auto" w:sz="4" w:space="0"/>
              <w:right w:val="single" w:color="auto" w:sz="4" w:space="0"/>
            </w:tcBorders>
            <w:noWrap/>
            <w:vAlign w:val="center"/>
          </w:tcPr>
          <w:p w14:paraId="199CC09C">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1D997CAC">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694BB837">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18E6FBD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3</w:t>
            </w:r>
          </w:p>
        </w:tc>
        <w:tc>
          <w:tcPr>
            <w:tcW w:w="1373" w:type="pct"/>
            <w:tcBorders>
              <w:top w:val="nil"/>
              <w:left w:val="nil"/>
              <w:bottom w:val="single" w:color="auto" w:sz="4" w:space="0"/>
              <w:right w:val="single" w:color="auto" w:sz="4" w:space="0"/>
            </w:tcBorders>
            <w:vAlign w:val="center"/>
          </w:tcPr>
          <w:p w14:paraId="7057084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一般乡镇防洪标准</w:t>
            </w:r>
          </w:p>
        </w:tc>
        <w:tc>
          <w:tcPr>
            <w:tcW w:w="827" w:type="pct"/>
            <w:tcBorders>
              <w:top w:val="nil"/>
              <w:left w:val="nil"/>
              <w:bottom w:val="single" w:color="auto" w:sz="4" w:space="0"/>
              <w:right w:val="single" w:color="auto" w:sz="4" w:space="0"/>
            </w:tcBorders>
            <w:noWrap/>
            <w:vAlign w:val="center"/>
          </w:tcPr>
          <w:p w14:paraId="55E5114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10年一遇</w:t>
            </w:r>
          </w:p>
        </w:tc>
        <w:tc>
          <w:tcPr>
            <w:tcW w:w="497" w:type="pct"/>
            <w:tcBorders>
              <w:top w:val="nil"/>
              <w:left w:val="nil"/>
              <w:bottom w:val="single" w:color="auto" w:sz="4" w:space="0"/>
              <w:right w:val="single" w:color="auto" w:sz="4" w:space="0"/>
            </w:tcBorders>
            <w:noWrap/>
            <w:vAlign w:val="center"/>
          </w:tcPr>
          <w:p w14:paraId="4FD41B3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1725120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10年一遇</w:t>
            </w:r>
          </w:p>
        </w:tc>
        <w:tc>
          <w:tcPr>
            <w:tcW w:w="419" w:type="pct"/>
            <w:tcBorders>
              <w:top w:val="nil"/>
              <w:left w:val="nil"/>
              <w:bottom w:val="single" w:color="auto" w:sz="4" w:space="0"/>
              <w:right w:val="single" w:color="auto" w:sz="4" w:space="0"/>
            </w:tcBorders>
            <w:noWrap/>
            <w:vAlign w:val="center"/>
          </w:tcPr>
          <w:p w14:paraId="04326D58">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674AE983">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245092B3">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4218AA0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4</w:t>
            </w:r>
          </w:p>
        </w:tc>
        <w:tc>
          <w:tcPr>
            <w:tcW w:w="1373" w:type="pct"/>
            <w:tcBorders>
              <w:top w:val="nil"/>
              <w:left w:val="nil"/>
              <w:bottom w:val="single" w:color="auto" w:sz="4" w:space="0"/>
              <w:right w:val="single" w:color="auto" w:sz="4" w:space="0"/>
            </w:tcBorders>
            <w:vAlign w:val="center"/>
          </w:tcPr>
          <w:p w14:paraId="4740AA6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城区排涝标准</w:t>
            </w:r>
          </w:p>
        </w:tc>
        <w:tc>
          <w:tcPr>
            <w:tcW w:w="827" w:type="pct"/>
            <w:tcBorders>
              <w:top w:val="nil"/>
              <w:left w:val="nil"/>
              <w:bottom w:val="single" w:color="auto" w:sz="4" w:space="0"/>
              <w:right w:val="single" w:color="auto" w:sz="4" w:space="0"/>
            </w:tcBorders>
            <w:noWrap/>
            <w:vAlign w:val="center"/>
          </w:tcPr>
          <w:p w14:paraId="16D74BE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10年一遇</w:t>
            </w:r>
          </w:p>
        </w:tc>
        <w:tc>
          <w:tcPr>
            <w:tcW w:w="497" w:type="pct"/>
            <w:tcBorders>
              <w:top w:val="nil"/>
              <w:left w:val="nil"/>
              <w:bottom w:val="single" w:color="auto" w:sz="4" w:space="0"/>
              <w:right w:val="single" w:color="auto" w:sz="4" w:space="0"/>
            </w:tcBorders>
            <w:noWrap/>
            <w:vAlign w:val="center"/>
          </w:tcPr>
          <w:p w14:paraId="5C86AB4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35650FD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10年一遇</w:t>
            </w:r>
          </w:p>
        </w:tc>
        <w:tc>
          <w:tcPr>
            <w:tcW w:w="419" w:type="pct"/>
            <w:tcBorders>
              <w:top w:val="nil"/>
              <w:left w:val="nil"/>
              <w:bottom w:val="single" w:color="auto" w:sz="4" w:space="0"/>
              <w:right w:val="single" w:color="auto" w:sz="4" w:space="0"/>
            </w:tcBorders>
            <w:noWrap/>
            <w:vAlign w:val="center"/>
          </w:tcPr>
          <w:p w14:paraId="011D9788">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373FB04E">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3FED2DC5">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0901A21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5</w:t>
            </w:r>
          </w:p>
        </w:tc>
        <w:tc>
          <w:tcPr>
            <w:tcW w:w="1373" w:type="pct"/>
            <w:tcBorders>
              <w:top w:val="nil"/>
              <w:left w:val="nil"/>
              <w:bottom w:val="single" w:color="auto" w:sz="4" w:space="0"/>
              <w:right w:val="single" w:color="auto" w:sz="4" w:space="0"/>
            </w:tcBorders>
            <w:vAlign w:val="center"/>
          </w:tcPr>
          <w:p w14:paraId="1EB3A5F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乡镇排涝标准</w:t>
            </w:r>
          </w:p>
        </w:tc>
        <w:tc>
          <w:tcPr>
            <w:tcW w:w="827" w:type="pct"/>
            <w:tcBorders>
              <w:top w:val="nil"/>
              <w:left w:val="nil"/>
              <w:bottom w:val="single" w:color="auto" w:sz="4" w:space="0"/>
              <w:right w:val="single" w:color="auto" w:sz="4" w:space="0"/>
            </w:tcBorders>
            <w:noWrap/>
            <w:vAlign w:val="center"/>
          </w:tcPr>
          <w:p w14:paraId="6CF3DB1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5年一遇</w:t>
            </w:r>
          </w:p>
        </w:tc>
        <w:tc>
          <w:tcPr>
            <w:tcW w:w="497" w:type="pct"/>
            <w:tcBorders>
              <w:top w:val="nil"/>
              <w:left w:val="nil"/>
              <w:bottom w:val="single" w:color="auto" w:sz="4" w:space="0"/>
              <w:right w:val="single" w:color="auto" w:sz="4" w:space="0"/>
            </w:tcBorders>
            <w:noWrap/>
            <w:vAlign w:val="center"/>
          </w:tcPr>
          <w:p w14:paraId="6229B93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75B2FFC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5年一遇</w:t>
            </w:r>
          </w:p>
        </w:tc>
        <w:tc>
          <w:tcPr>
            <w:tcW w:w="419" w:type="pct"/>
            <w:tcBorders>
              <w:top w:val="nil"/>
              <w:left w:val="nil"/>
              <w:bottom w:val="single" w:color="auto" w:sz="4" w:space="0"/>
              <w:right w:val="single" w:color="auto" w:sz="4" w:space="0"/>
            </w:tcBorders>
            <w:noWrap/>
            <w:vAlign w:val="center"/>
          </w:tcPr>
          <w:p w14:paraId="6F0BEAE8">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0FA79B12">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215B7B14">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4D8D607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6</w:t>
            </w:r>
          </w:p>
        </w:tc>
        <w:tc>
          <w:tcPr>
            <w:tcW w:w="1373" w:type="pct"/>
            <w:tcBorders>
              <w:top w:val="nil"/>
              <w:left w:val="nil"/>
              <w:bottom w:val="single" w:color="auto" w:sz="4" w:space="0"/>
              <w:right w:val="single" w:color="auto" w:sz="4" w:space="0"/>
            </w:tcBorders>
            <w:vAlign w:val="center"/>
          </w:tcPr>
          <w:p w14:paraId="43BAA9E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病险水库数量</w:t>
            </w:r>
          </w:p>
        </w:tc>
        <w:tc>
          <w:tcPr>
            <w:tcW w:w="827" w:type="pct"/>
            <w:tcBorders>
              <w:top w:val="nil"/>
              <w:left w:val="nil"/>
              <w:bottom w:val="single" w:color="auto" w:sz="4" w:space="0"/>
              <w:right w:val="single" w:color="auto" w:sz="4" w:space="0"/>
            </w:tcBorders>
            <w:noWrap/>
            <w:vAlign w:val="center"/>
          </w:tcPr>
          <w:p w14:paraId="6B1488E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0</w:t>
            </w:r>
          </w:p>
        </w:tc>
        <w:tc>
          <w:tcPr>
            <w:tcW w:w="497" w:type="pct"/>
            <w:tcBorders>
              <w:top w:val="nil"/>
              <w:left w:val="nil"/>
              <w:bottom w:val="single" w:color="auto" w:sz="4" w:space="0"/>
              <w:right w:val="single" w:color="auto" w:sz="4" w:space="0"/>
            </w:tcBorders>
            <w:noWrap/>
            <w:vAlign w:val="center"/>
          </w:tcPr>
          <w:p w14:paraId="0DD540D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49263F9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0</w:t>
            </w:r>
          </w:p>
        </w:tc>
        <w:tc>
          <w:tcPr>
            <w:tcW w:w="419" w:type="pct"/>
            <w:tcBorders>
              <w:top w:val="nil"/>
              <w:left w:val="nil"/>
              <w:bottom w:val="single" w:color="auto" w:sz="4" w:space="0"/>
              <w:right w:val="single" w:color="auto" w:sz="4" w:space="0"/>
            </w:tcBorders>
            <w:noWrap/>
            <w:vAlign w:val="center"/>
          </w:tcPr>
          <w:p w14:paraId="5B63685D">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27A57494">
        <w:tblPrEx>
          <w:tblCellMar>
            <w:top w:w="0" w:type="dxa"/>
            <w:left w:w="108" w:type="dxa"/>
            <w:bottom w:w="0" w:type="dxa"/>
            <w:right w:w="108" w:type="dxa"/>
          </w:tblCellMar>
        </w:tblPrEx>
        <w:trPr>
          <w:trHeight w:val="399" w:hRule="atLeast"/>
        </w:trPr>
        <w:tc>
          <w:tcPr>
            <w:tcW w:w="492" w:type="pct"/>
            <w:vMerge w:val="restart"/>
            <w:tcBorders>
              <w:top w:val="nil"/>
              <w:left w:val="single" w:color="auto" w:sz="4" w:space="0"/>
              <w:bottom w:val="single" w:color="auto" w:sz="4" w:space="0"/>
              <w:right w:val="single" w:color="auto" w:sz="4" w:space="0"/>
            </w:tcBorders>
            <w:vAlign w:val="center"/>
          </w:tcPr>
          <w:p w14:paraId="2BF4A88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水资源节约集约化利用与优化配置目标</w:t>
            </w:r>
          </w:p>
        </w:tc>
        <w:tc>
          <w:tcPr>
            <w:tcW w:w="270" w:type="pct"/>
            <w:tcBorders>
              <w:top w:val="nil"/>
              <w:left w:val="nil"/>
              <w:bottom w:val="single" w:color="auto" w:sz="4" w:space="0"/>
              <w:right w:val="single" w:color="auto" w:sz="4" w:space="0"/>
            </w:tcBorders>
            <w:noWrap/>
            <w:vAlign w:val="center"/>
          </w:tcPr>
          <w:p w14:paraId="63F121B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7</w:t>
            </w:r>
          </w:p>
        </w:tc>
        <w:tc>
          <w:tcPr>
            <w:tcW w:w="1373" w:type="pct"/>
            <w:tcBorders>
              <w:top w:val="nil"/>
              <w:left w:val="nil"/>
              <w:bottom w:val="single" w:color="auto" w:sz="4" w:space="0"/>
              <w:right w:val="single" w:color="auto" w:sz="4" w:space="0"/>
            </w:tcBorders>
            <w:vAlign w:val="center"/>
          </w:tcPr>
          <w:p w14:paraId="34A78D4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用水总量</w:t>
            </w:r>
          </w:p>
        </w:tc>
        <w:tc>
          <w:tcPr>
            <w:tcW w:w="827" w:type="pct"/>
            <w:tcBorders>
              <w:top w:val="nil"/>
              <w:left w:val="nil"/>
              <w:bottom w:val="single" w:color="auto" w:sz="4" w:space="0"/>
              <w:right w:val="single" w:color="auto" w:sz="4" w:space="0"/>
            </w:tcBorders>
            <w:noWrap/>
            <w:vAlign w:val="center"/>
          </w:tcPr>
          <w:p w14:paraId="1AE392D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&lt;3.64亿m³</w:t>
            </w:r>
          </w:p>
        </w:tc>
        <w:tc>
          <w:tcPr>
            <w:tcW w:w="497" w:type="pct"/>
            <w:tcBorders>
              <w:top w:val="nil"/>
              <w:left w:val="nil"/>
              <w:bottom w:val="single" w:color="auto" w:sz="4" w:space="0"/>
              <w:right w:val="single" w:color="auto" w:sz="4" w:space="0"/>
            </w:tcBorders>
            <w:noWrap/>
            <w:vAlign w:val="center"/>
          </w:tcPr>
          <w:p w14:paraId="2784345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15D8D45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3.2亿m³</w:t>
            </w:r>
          </w:p>
        </w:tc>
        <w:tc>
          <w:tcPr>
            <w:tcW w:w="419" w:type="pct"/>
            <w:tcBorders>
              <w:top w:val="nil"/>
              <w:left w:val="nil"/>
              <w:bottom w:val="single" w:color="auto" w:sz="4" w:space="0"/>
              <w:right w:val="single" w:color="auto" w:sz="4" w:space="0"/>
            </w:tcBorders>
            <w:noWrap/>
            <w:vAlign w:val="center"/>
          </w:tcPr>
          <w:p w14:paraId="3A569BD8">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68A1DA68">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117613B5">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79DEB43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8</w:t>
            </w:r>
          </w:p>
        </w:tc>
        <w:tc>
          <w:tcPr>
            <w:tcW w:w="1373" w:type="pct"/>
            <w:tcBorders>
              <w:top w:val="nil"/>
              <w:left w:val="nil"/>
              <w:bottom w:val="single" w:color="auto" w:sz="4" w:space="0"/>
              <w:right w:val="single" w:color="auto" w:sz="4" w:space="0"/>
            </w:tcBorders>
            <w:vAlign w:val="center"/>
          </w:tcPr>
          <w:p w14:paraId="6FB5457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万元GDP用水量</w:t>
            </w:r>
          </w:p>
        </w:tc>
        <w:tc>
          <w:tcPr>
            <w:tcW w:w="827" w:type="pct"/>
            <w:tcBorders>
              <w:top w:val="nil"/>
              <w:left w:val="nil"/>
              <w:bottom w:val="single" w:color="auto" w:sz="4" w:space="0"/>
              <w:right w:val="single" w:color="auto" w:sz="4" w:space="0"/>
            </w:tcBorders>
            <w:noWrap/>
            <w:vAlign w:val="center"/>
          </w:tcPr>
          <w:p w14:paraId="18363D1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&lt;80m³/万元</w:t>
            </w:r>
          </w:p>
        </w:tc>
        <w:tc>
          <w:tcPr>
            <w:tcW w:w="497" w:type="pct"/>
            <w:tcBorders>
              <w:top w:val="nil"/>
              <w:left w:val="nil"/>
              <w:bottom w:val="single" w:color="auto" w:sz="4" w:space="0"/>
              <w:right w:val="single" w:color="auto" w:sz="4" w:space="0"/>
            </w:tcBorders>
            <w:noWrap/>
            <w:vAlign w:val="center"/>
          </w:tcPr>
          <w:p w14:paraId="73D2A65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73447BF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79m³/万元</w:t>
            </w:r>
          </w:p>
        </w:tc>
        <w:tc>
          <w:tcPr>
            <w:tcW w:w="419" w:type="pct"/>
            <w:tcBorders>
              <w:top w:val="nil"/>
              <w:left w:val="nil"/>
              <w:bottom w:val="single" w:color="auto" w:sz="4" w:space="0"/>
              <w:right w:val="single" w:color="auto" w:sz="4" w:space="0"/>
            </w:tcBorders>
            <w:noWrap/>
            <w:vAlign w:val="center"/>
          </w:tcPr>
          <w:p w14:paraId="2555D38F">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74E23873">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2444B03C">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7A29A93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w:t>
            </w:r>
          </w:p>
        </w:tc>
        <w:tc>
          <w:tcPr>
            <w:tcW w:w="1373" w:type="pct"/>
            <w:tcBorders>
              <w:top w:val="nil"/>
              <w:left w:val="nil"/>
              <w:bottom w:val="single" w:color="auto" w:sz="4" w:space="0"/>
              <w:right w:val="single" w:color="auto" w:sz="4" w:space="0"/>
            </w:tcBorders>
            <w:vAlign w:val="center"/>
          </w:tcPr>
          <w:p w14:paraId="2B4D7E6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万元工业增加值用水量</w:t>
            </w:r>
          </w:p>
        </w:tc>
        <w:tc>
          <w:tcPr>
            <w:tcW w:w="827" w:type="pct"/>
            <w:tcBorders>
              <w:top w:val="nil"/>
              <w:left w:val="nil"/>
              <w:bottom w:val="single" w:color="auto" w:sz="4" w:space="0"/>
              <w:right w:val="single" w:color="auto" w:sz="4" w:space="0"/>
            </w:tcBorders>
            <w:noWrap/>
            <w:vAlign w:val="center"/>
          </w:tcPr>
          <w:p w14:paraId="56F6B33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&lt;40m³/万元</w:t>
            </w:r>
          </w:p>
        </w:tc>
        <w:tc>
          <w:tcPr>
            <w:tcW w:w="497" w:type="pct"/>
            <w:tcBorders>
              <w:top w:val="nil"/>
              <w:left w:val="nil"/>
              <w:bottom w:val="single" w:color="auto" w:sz="4" w:space="0"/>
              <w:right w:val="single" w:color="auto" w:sz="4" w:space="0"/>
            </w:tcBorders>
            <w:noWrap/>
            <w:vAlign w:val="center"/>
          </w:tcPr>
          <w:p w14:paraId="5147477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368D4FF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15m³/万元</w:t>
            </w:r>
          </w:p>
        </w:tc>
        <w:tc>
          <w:tcPr>
            <w:tcW w:w="419" w:type="pct"/>
            <w:tcBorders>
              <w:top w:val="nil"/>
              <w:left w:val="nil"/>
              <w:bottom w:val="single" w:color="auto" w:sz="4" w:space="0"/>
              <w:right w:val="single" w:color="auto" w:sz="4" w:space="0"/>
            </w:tcBorders>
            <w:noWrap/>
            <w:vAlign w:val="center"/>
          </w:tcPr>
          <w:p w14:paraId="66415EE4">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47A98D14">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259C9C00">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0419682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w:t>
            </w:r>
          </w:p>
        </w:tc>
        <w:tc>
          <w:tcPr>
            <w:tcW w:w="1373" w:type="pct"/>
            <w:tcBorders>
              <w:top w:val="nil"/>
              <w:left w:val="nil"/>
              <w:bottom w:val="single" w:color="auto" w:sz="4" w:space="0"/>
              <w:right w:val="single" w:color="auto" w:sz="4" w:space="0"/>
            </w:tcBorders>
            <w:vAlign w:val="center"/>
          </w:tcPr>
          <w:p w14:paraId="5DBE0DF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农田灌溉水利用系数</w:t>
            </w:r>
          </w:p>
        </w:tc>
        <w:tc>
          <w:tcPr>
            <w:tcW w:w="827" w:type="pct"/>
            <w:tcBorders>
              <w:top w:val="nil"/>
              <w:left w:val="nil"/>
              <w:bottom w:val="single" w:color="auto" w:sz="4" w:space="0"/>
              <w:right w:val="single" w:color="auto" w:sz="4" w:space="0"/>
            </w:tcBorders>
            <w:noWrap/>
            <w:vAlign w:val="center"/>
          </w:tcPr>
          <w:p w14:paraId="5F2B90F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&gt;0.</w:t>
            </w:r>
            <w:r>
              <w:rPr>
                <w:rFonts w:ascii="宋体" w:hAnsi="宋体" w:cs="宋体"/>
                <w:color w:val="000000"/>
                <w:kern w:val="0"/>
                <w:sz w:val="20"/>
                <w:szCs w:val="20"/>
              </w:rPr>
              <w:t>6</w:t>
            </w:r>
          </w:p>
        </w:tc>
        <w:tc>
          <w:tcPr>
            <w:tcW w:w="497" w:type="pct"/>
            <w:tcBorders>
              <w:top w:val="nil"/>
              <w:left w:val="nil"/>
              <w:bottom w:val="single" w:color="auto" w:sz="4" w:space="0"/>
              <w:right w:val="single" w:color="auto" w:sz="4" w:space="0"/>
            </w:tcBorders>
            <w:noWrap/>
            <w:vAlign w:val="center"/>
          </w:tcPr>
          <w:p w14:paraId="2565C08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4B96EE1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0.588</w:t>
            </w:r>
          </w:p>
        </w:tc>
        <w:tc>
          <w:tcPr>
            <w:tcW w:w="419" w:type="pct"/>
            <w:tcBorders>
              <w:top w:val="nil"/>
              <w:left w:val="nil"/>
              <w:bottom w:val="single" w:color="auto" w:sz="4" w:space="0"/>
              <w:right w:val="single" w:color="auto" w:sz="4" w:space="0"/>
            </w:tcBorders>
            <w:noWrap/>
            <w:vAlign w:val="center"/>
          </w:tcPr>
          <w:p w14:paraId="78394218">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2118AAC8">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4E960391">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6C13C09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11</w:t>
            </w:r>
          </w:p>
        </w:tc>
        <w:tc>
          <w:tcPr>
            <w:tcW w:w="1373" w:type="pct"/>
            <w:tcBorders>
              <w:top w:val="nil"/>
              <w:left w:val="nil"/>
              <w:bottom w:val="single" w:color="auto" w:sz="4" w:space="0"/>
              <w:right w:val="single" w:color="auto" w:sz="4" w:space="0"/>
            </w:tcBorders>
            <w:vAlign w:val="center"/>
          </w:tcPr>
          <w:p w14:paraId="4CCF744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新增农田有效灌溉面积</w:t>
            </w:r>
          </w:p>
        </w:tc>
        <w:tc>
          <w:tcPr>
            <w:tcW w:w="827" w:type="pct"/>
            <w:tcBorders>
              <w:top w:val="nil"/>
              <w:left w:val="nil"/>
              <w:bottom w:val="single" w:color="auto" w:sz="4" w:space="0"/>
              <w:right w:val="single" w:color="auto" w:sz="4" w:space="0"/>
            </w:tcBorders>
            <w:noWrap/>
            <w:vAlign w:val="center"/>
          </w:tcPr>
          <w:p w14:paraId="4DACE6DD">
            <w:pPr>
              <w:widowControl/>
              <w:spacing w:line="240" w:lineRule="auto"/>
              <w:jc w:val="center"/>
              <w:rPr>
                <w:rFonts w:ascii="宋体" w:hAnsi="宋体" w:cs="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万亩</w:t>
            </w:r>
          </w:p>
        </w:tc>
        <w:tc>
          <w:tcPr>
            <w:tcW w:w="497" w:type="pct"/>
            <w:tcBorders>
              <w:top w:val="nil"/>
              <w:left w:val="nil"/>
              <w:bottom w:val="single" w:color="auto" w:sz="4" w:space="0"/>
              <w:right w:val="single" w:color="auto" w:sz="4" w:space="0"/>
            </w:tcBorders>
            <w:noWrap/>
            <w:vAlign w:val="center"/>
          </w:tcPr>
          <w:p w14:paraId="7D219E0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0DB8420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1.302万亩</w:t>
            </w:r>
          </w:p>
        </w:tc>
        <w:tc>
          <w:tcPr>
            <w:tcW w:w="419" w:type="pct"/>
            <w:tcBorders>
              <w:top w:val="nil"/>
              <w:left w:val="nil"/>
              <w:bottom w:val="single" w:color="auto" w:sz="4" w:space="0"/>
              <w:right w:val="single" w:color="auto" w:sz="4" w:space="0"/>
            </w:tcBorders>
            <w:noWrap/>
            <w:vAlign w:val="center"/>
          </w:tcPr>
          <w:p w14:paraId="70CA6F31">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w:t>
            </w:r>
          </w:p>
        </w:tc>
      </w:tr>
      <w:tr w14:paraId="465FE08D">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4A5C776C">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585E4FF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12</w:t>
            </w:r>
          </w:p>
        </w:tc>
        <w:tc>
          <w:tcPr>
            <w:tcW w:w="1373" w:type="pct"/>
            <w:tcBorders>
              <w:top w:val="nil"/>
              <w:left w:val="nil"/>
              <w:bottom w:val="single" w:color="auto" w:sz="4" w:space="0"/>
              <w:right w:val="single" w:color="auto" w:sz="4" w:space="0"/>
            </w:tcBorders>
            <w:vAlign w:val="center"/>
          </w:tcPr>
          <w:p w14:paraId="352F6A0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新增节水灌溉面积</w:t>
            </w:r>
          </w:p>
        </w:tc>
        <w:tc>
          <w:tcPr>
            <w:tcW w:w="827" w:type="pct"/>
            <w:tcBorders>
              <w:top w:val="nil"/>
              <w:left w:val="nil"/>
              <w:bottom w:val="single" w:color="auto" w:sz="4" w:space="0"/>
              <w:right w:val="single" w:color="auto" w:sz="4" w:space="0"/>
            </w:tcBorders>
            <w:noWrap/>
            <w:vAlign w:val="center"/>
          </w:tcPr>
          <w:p w14:paraId="7702CB67">
            <w:pPr>
              <w:widowControl/>
              <w:spacing w:line="240" w:lineRule="auto"/>
              <w:jc w:val="center"/>
              <w:rPr>
                <w:rFonts w:ascii="宋体" w:hAnsi="宋体" w:cs="宋体"/>
                <w:color w:val="000000"/>
                <w:kern w:val="0"/>
                <w:sz w:val="20"/>
                <w:szCs w:val="20"/>
              </w:rPr>
            </w:pPr>
            <w:r>
              <w:rPr>
                <w:rFonts w:ascii="宋体" w:hAnsi="宋体" w:cs="宋体"/>
                <w:color w:val="000000"/>
                <w:kern w:val="0"/>
                <w:sz w:val="20"/>
                <w:szCs w:val="20"/>
              </w:rPr>
              <w:t>12</w:t>
            </w:r>
            <w:r>
              <w:rPr>
                <w:rFonts w:hint="eastAsia" w:ascii="宋体" w:hAnsi="宋体" w:cs="宋体"/>
                <w:color w:val="000000"/>
                <w:kern w:val="0"/>
                <w:sz w:val="20"/>
                <w:szCs w:val="20"/>
              </w:rPr>
              <w:t>万亩</w:t>
            </w:r>
          </w:p>
        </w:tc>
        <w:tc>
          <w:tcPr>
            <w:tcW w:w="497" w:type="pct"/>
            <w:tcBorders>
              <w:top w:val="nil"/>
              <w:left w:val="nil"/>
              <w:bottom w:val="single" w:color="auto" w:sz="4" w:space="0"/>
              <w:right w:val="single" w:color="auto" w:sz="4" w:space="0"/>
            </w:tcBorders>
            <w:noWrap/>
            <w:vAlign w:val="center"/>
          </w:tcPr>
          <w:p w14:paraId="4142383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24734AF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7.84万亩</w:t>
            </w:r>
          </w:p>
        </w:tc>
        <w:tc>
          <w:tcPr>
            <w:tcW w:w="419" w:type="pct"/>
            <w:tcBorders>
              <w:top w:val="nil"/>
              <w:left w:val="nil"/>
              <w:bottom w:val="single" w:color="auto" w:sz="4" w:space="0"/>
              <w:right w:val="single" w:color="auto" w:sz="4" w:space="0"/>
            </w:tcBorders>
            <w:noWrap/>
            <w:vAlign w:val="center"/>
          </w:tcPr>
          <w:p w14:paraId="760F5C96">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w:t>
            </w:r>
          </w:p>
        </w:tc>
      </w:tr>
      <w:tr w14:paraId="4F10262B">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67365703">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2AB50D7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13</w:t>
            </w:r>
          </w:p>
        </w:tc>
        <w:tc>
          <w:tcPr>
            <w:tcW w:w="1373" w:type="pct"/>
            <w:tcBorders>
              <w:top w:val="nil"/>
              <w:left w:val="nil"/>
              <w:bottom w:val="single" w:color="auto" w:sz="4" w:space="0"/>
              <w:right w:val="single" w:color="auto" w:sz="4" w:space="0"/>
            </w:tcBorders>
            <w:vAlign w:val="center"/>
          </w:tcPr>
          <w:p w14:paraId="7ED2865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新增供水能力</w:t>
            </w:r>
          </w:p>
        </w:tc>
        <w:tc>
          <w:tcPr>
            <w:tcW w:w="827" w:type="pct"/>
            <w:tcBorders>
              <w:top w:val="nil"/>
              <w:left w:val="nil"/>
              <w:bottom w:val="single" w:color="auto" w:sz="4" w:space="0"/>
              <w:right w:val="single" w:color="auto" w:sz="4" w:space="0"/>
            </w:tcBorders>
            <w:noWrap/>
            <w:vAlign w:val="center"/>
          </w:tcPr>
          <w:p w14:paraId="6D7897F6">
            <w:pPr>
              <w:widowControl/>
              <w:spacing w:line="240" w:lineRule="auto"/>
              <w:jc w:val="center"/>
              <w:rPr>
                <w:rFonts w:ascii="宋体" w:hAnsi="宋体" w:cs="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000万m³</w:t>
            </w:r>
          </w:p>
        </w:tc>
        <w:tc>
          <w:tcPr>
            <w:tcW w:w="497" w:type="pct"/>
            <w:tcBorders>
              <w:top w:val="nil"/>
              <w:left w:val="nil"/>
              <w:bottom w:val="single" w:color="auto" w:sz="4" w:space="0"/>
              <w:right w:val="single" w:color="auto" w:sz="4" w:space="0"/>
            </w:tcBorders>
            <w:noWrap/>
            <w:vAlign w:val="center"/>
          </w:tcPr>
          <w:p w14:paraId="466AA8F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04E1A5B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1252万m³</w:t>
            </w:r>
          </w:p>
        </w:tc>
        <w:tc>
          <w:tcPr>
            <w:tcW w:w="419" w:type="pct"/>
            <w:tcBorders>
              <w:top w:val="nil"/>
              <w:left w:val="nil"/>
              <w:bottom w:val="single" w:color="auto" w:sz="4" w:space="0"/>
              <w:right w:val="single" w:color="auto" w:sz="4" w:space="0"/>
            </w:tcBorders>
            <w:noWrap/>
            <w:vAlign w:val="center"/>
          </w:tcPr>
          <w:p w14:paraId="5F9E181E">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w:t>
            </w:r>
          </w:p>
        </w:tc>
      </w:tr>
      <w:tr w14:paraId="21C27D78">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39950F58">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267A870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14</w:t>
            </w:r>
          </w:p>
        </w:tc>
        <w:tc>
          <w:tcPr>
            <w:tcW w:w="1373" w:type="pct"/>
            <w:tcBorders>
              <w:top w:val="nil"/>
              <w:left w:val="nil"/>
              <w:bottom w:val="single" w:color="auto" w:sz="4" w:space="0"/>
              <w:right w:val="single" w:color="auto" w:sz="4" w:space="0"/>
            </w:tcBorders>
            <w:vAlign w:val="center"/>
          </w:tcPr>
          <w:p w14:paraId="4599D14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城乡供水保证率</w:t>
            </w:r>
          </w:p>
        </w:tc>
        <w:tc>
          <w:tcPr>
            <w:tcW w:w="827" w:type="pct"/>
            <w:tcBorders>
              <w:top w:val="nil"/>
              <w:left w:val="nil"/>
              <w:bottom w:val="single" w:color="auto" w:sz="4" w:space="0"/>
              <w:right w:val="single" w:color="auto" w:sz="4" w:space="0"/>
            </w:tcBorders>
            <w:noWrap/>
            <w:vAlign w:val="center"/>
          </w:tcPr>
          <w:p w14:paraId="38FE9F8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95%</w:t>
            </w:r>
          </w:p>
        </w:tc>
        <w:tc>
          <w:tcPr>
            <w:tcW w:w="497" w:type="pct"/>
            <w:tcBorders>
              <w:top w:val="nil"/>
              <w:left w:val="nil"/>
              <w:bottom w:val="single" w:color="auto" w:sz="4" w:space="0"/>
              <w:right w:val="single" w:color="auto" w:sz="4" w:space="0"/>
            </w:tcBorders>
            <w:noWrap/>
            <w:vAlign w:val="center"/>
          </w:tcPr>
          <w:p w14:paraId="1B3AFF3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415DE6E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95%</w:t>
            </w:r>
          </w:p>
        </w:tc>
        <w:tc>
          <w:tcPr>
            <w:tcW w:w="419" w:type="pct"/>
            <w:tcBorders>
              <w:top w:val="nil"/>
              <w:left w:val="nil"/>
              <w:bottom w:val="single" w:color="auto" w:sz="4" w:space="0"/>
              <w:right w:val="single" w:color="auto" w:sz="4" w:space="0"/>
            </w:tcBorders>
            <w:noWrap/>
            <w:vAlign w:val="center"/>
          </w:tcPr>
          <w:p w14:paraId="4A6F0FEB">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390AB0BB">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3D5428EE">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60B2FF1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15</w:t>
            </w:r>
          </w:p>
        </w:tc>
        <w:tc>
          <w:tcPr>
            <w:tcW w:w="1373" w:type="pct"/>
            <w:tcBorders>
              <w:top w:val="nil"/>
              <w:left w:val="nil"/>
              <w:bottom w:val="single" w:color="auto" w:sz="4" w:space="0"/>
              <w:right w:val="single" w:color="auto" w:sz="4" w:space="0"/>
            </w:tcBorders>
            <w:vAlign w:val="center"/>
          </w:tcPr>
          <w:p w14:paraId="4DF1CE6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农村自来水普及率</w:t>
            </w:r>
          </w:p>
        </w:tc>
        <w:tc>
          <w:tcPr>
            <w:tcW w:w="827" w:type="pct"/>
            <w:tcBorders>
              <w:top w:val="nil"/>
              <w:left w:val="nil"/>
              <w:bottom w:val="single" w:color="auto" w:sz="4" w:space="0"/>
              <w:right w:val="single" w:color="auto" w:sz="4" w:space="0"/>
            </w:tcBorders>
            <w:noWrap/>
            <w:vAlign w:val="center"/>
          </w:tcPr>
          <w:p w14:paraId="5088419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95%</w:t>
            </w:r>
          </w:p>
        </w:tc>
        <w:tc>
          <w:tcPr>
            <w:tcW w:w="497" w:type="pct"/>
            <w:tcBorders>
              <w:top w:val="nil"/>
              <w:left w:val="nil"/>
              <w:bottom w:val="single" w:color="auto" w:sz="4" w:space="0"/>
              <w:right w:val="single" w:color="auto" w:sz="4" w:space="0"/>
            </w:tcBorders>
            <w:noWrap/>
            <w:vAlign w:val="center"/>
          </w:tcPr>
          <w:p w14:paraId="16487D6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7600439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95%</w:t>
            </w:r>
          </w:p>
        </w:tc>
        <w:tc>
          <w:tcPr>
            <w:tcW w:w="419" w:type="pct"/>
            <w:tcBorders>
              <w:top w:val="nil"/>
              <w:left w:val="nil"/>
              <w:bottom w:val="single" w:color="auto" w:sz="4" w:space="0"/>
              <w:right w:val="single" w:color="auto" w:sz="4" w:space="0"/>
            </w:tcBorders>
            <w:noWrap/>
            <w:vAlign w:val="center"/>
          </w:tcPr>
          <w:p w14:paraId="032EE4C3">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604128FB">
        <w:tblPrEx>
          <w:tblCellMar>
            <w:top w:w="0" w:type="dxa"/>
            <w:left w:w="108" w:type="dxa"/>
            <w:bottom w:w="0" w:type="dxa"/>
            <w:right w:w="108" w:type="dxa"/>
          </w:tblCellMar>
        </w:tblPrEx>
        <w:trPr>
          <w:trHeight w:val="399" w:hRule="atLeast"/>
        </w:trPr>
        <w:tc>
          <w:tcPr>
            <w:tcW w:w="492" w:type="pct"/>
            <w:vMerge w:val="restart"/>
            <w:tcBorders>
              <w:top w:val="nil"/>
              <w:left w:val="single" w:color="auto" w:sz="4" w:space="0"/>
              <w:bottom w:val="single" w:color="auto" w:sz="4" w:space="0"/>
              <w:right w:val="single" w:color="auto" w:sz="4" w:space="0"/>
            </w:tcBorders>
            <w:vAlign w:val="center"/>
          </w:tcPr>
          <w:p w14:paraId="6A2ACFF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水资源防护和河湖健康保障目标</w:t>
            </w:r>
          </w:p>
        </w:tc>
        <w:tc>
          <w:tcPr>
            <w:tcW w:w="270" w:type="pct"/>
            <w:tcBorders>
              <w:top w:val="nil"/>
              <w:left w:val="nil"/>
              <w:bottom w:val="single" w:color="auto" w:sz="4" w:space="0"/>
              <w:right w:val="single" w:color="auto" w:sz="4" w:space="0"/>
            </w:tcBorders>
            <w:noWrap/>
            <w:vAlign w:val="center"/>
          </w:tcPr>
          <w:p w14:paraId="077A673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16</w:t>
            </w:r>
          </w:p>
        </w:tc>
        <w:tc>
          <w:tcPr>
            <w:tcW w:w="1373" w:type="pct"/>
            <w:tcBorders>
              <w:top w:val="nil"/>
              <w:left w:val="nil"/>
              <w:bottom w:val="single" w:color="auto" w:sz="4" w:space="0"/>
              <w:right w:val="single" w:color="auto" w:sz="4" w:space="0"/>
            </w:tcBorders>
            <w:vAlign w:val="center"/>
          </w:tcPr>
          <w:p w14:paraId="7DD6934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水土流失面积</w:t>
            </w:r>
          </w:p>
        </w:tc>
        <w:tc>
          <w:tcPr>
            <w:tcW w:w="827" w:type="pct"/>
            <w:tcBorders>
              <w:top w:val="nil"/>
              <w:left w:val="nil"/>
              <w:bottom w:val="single" w:color="auto" w:sz="4" w:space="0"/>
              <w:right w:val="single" w:color="auto" w:sz="4" w:space="0"/>
            </w:tcBorders>
            <w:noWrap/>
            <w:vAlign w:val="center"/>
          </w:tcPr>
          <w:p w14:paraId="2BDDE78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&lt;30万亩</w:t>
            </w:r>
          </w:p>
        </w:tc>
        <w:tc>
          <w:tcPr>
            <w:tcW w:w="497" w:type="pct"/>
            <w:tcBorders>
              <w:top w:val="nil"/>
              <w:left w:val="nil"/>
              <w:bottom w:val="single" w:color="auto" w:sz="4" w:space="0"/>
              <w:right w:val="single" w:color="auto" w:sz="4" w:space="0"/>
            </w:tcBorders>
            <w:noWrap/>
            <w:vAlign w:val="center"/>
          </w:tcPr>
          <w:p w14:paraId="7B074DD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6242860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30万亩</w:t>
            </w:r>
          </w:p>
        </w:tc>
        <w:tc>
          <w:tcPr>
            <w:tcW w:w="419" w:type="pct"/>
            <w:tcBorders>
              <w:top w:val="nil"/>
              <w:left w:val="nil"/>
              <w:bottom w:val="single" w:color="auto" w:sz="4" w:space="0"/>
              <w:right w:val="single" w:color="auto" w:sz="4" w:space="0"/>
            </w:tcBorders>
            <w:noWrap/>
            <w:vAlign w:val="center"/>
          </w:tcPr>
          <w:p w14:paraId="2D1D8341">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1C283C7B">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3ECE1341">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02C577F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17</w:t>
            </w:r>
          </w:p>
        </w:tc>
        <w:tc>
          <w:tcPr>
            <w:tcW w:w="1373" w:type="pct"/>
            <w:tcBorders>
              <w:top w:val="nil"/>
              <w:left w:val="nil"/>
              <w:bottom w:val="single" w:color="auto" w:sz="4" w:space="0"/>
              <w:right w:val="single" w:color="auto" w:sz="4" w:space="0"/>
            </w:tcBorders>
            <w:vAlign w:val="center"/>
          </w:tcPr>
          <w:p w14:paraId="6C96E51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县域饮用水水源地水质达标率</w:t>
            </w:r>
          </w:p>
        </w:tc>
        <w:tc>
          <w:tcPr>
            <w:tcW w:w="827" w:type="pct"/>
            <w:tcBorders>
              <w:top w:val="nil"/>
              <w:left w:val="nil"/>
              <w:bottom w:val="single" w:color="auto" w:sz="4" w:space="0"/>
              <w:right w:val="single" w:color="auto" w:sz="4" w:space="0"/>
            </w:tcBorders>
            <w:noWrap/>
            <w:vAlign w:val="center"/>
          </w:tcPr>
          <w:p w14:paraId="73DE7D7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100%</w:t>
            </w:r>
          </w:p>
        </w:tc>
        <w:tc>
          <w:tcPr>
            <w:tcW w:w="497" w:type="pct"/>
            <w:tcBorders>
              <w:top w:val="nil"/>
              <w:left w:val="nil"/>
              <w:bottom w:val="single" w:color="auto" w:sz="4" w:space="0"/>
              <w:right w:val="single" w:color="auto" w:sz="4" w:space="0"/>
            </w:tcBorders>
            <w:noWrap/>
            <w:vAlign w:val="center"/>
          </w:tcPr>
          <w:p w14:paraId="3980294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04BD5E8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100%</w:t>
            </w:r>
          </w:p>
        </w:tc>
        <w:tc>
          <w:tcPr>
            <w:tcW w:w="419" w:type="pct"/>
            <w:tcBorders>
              <w:top w:val="nil"/>
              <w:left w:val="nil"/>
              <w:bottom w:val="single" w:color="auto" w:sz="4" w:space="0"/>
              <w:right w:val="single" w:color="auto" w:sz="4" w:space="0"/>
            </w:tcBorders>
            <w:noWrap/>
            <w:vAlign w:val="center"/>
          </w:tcPr>
          <w:p w14:paraId="6FE0BFBA">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5DC315C7">
        <w:tblPrEx>
          <w:tblCellMar>
            <w:top w:w="0" w:type="dxa"/>
            <w:left w:w="108" w:type="dxa"/>
            <w:bottom w:w="0" w:type="dxa"/>
            <w:right w:w="108" w:type="dxa"/>
          </w:tblCellMar>
        </w:tblPrEx>
        <w:trPr>
          <w:trHeight w:val="552" w:hRule="atLeast"/>
        </w:trPr>
        <w:tc>
          <w:tcPr>
            <w:tcW w:w="492" w:type="pct"/>
            <w:vMerge w:val="continue"/>
            <w:tcBorders>
              <w:top w:val="nil"/>
              <w:left w:val="single" w:color="auto" w:sz="4" w:space="0"/>
              <w:bottom w:val="single" w:color="auto" w:sz="4" w:space="0"/>
              <w:right w:val="single" w:color="auto" w:sz="4" w:space="0"/>
            </w:tcBorders>
            <w:vAlign w:val="center"/>
          </w:tcPr>
          <w:p w14:paraId="4EA5028A">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2B5F496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18</w:t>
            </w:r>
          </w:p>
        </w:tc>
        <w:tc>
          <w:tcPr>
            <w:tcW w:w="1373" w:type="pct"/>
            <w:tcBorders>
              <w:top w:val="nil"/>
              <w:left w:val="nil"/>
              <w:bottom w:val="single" w:color="auto" w:sz="4" w:space="0"/>
              <w:right w:val="single" w:color="auto" w:sz="4" w:space="0"/>
            </w:tcBorders>
            <w:vAlign w:val="center"/>
          </w:tcPr>
          <w:p w14:paraId="018F525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万里安全生态水系及农村水系综合整治河长</w:t>
            </w:r>
          </w:p>
        </w:tc>
        <w:tc>
          <w:tcPr>
            <w:tcW w:w="827" w:type="pct"/>
            <w:tcBorders>
              <w:top w:val="nil"/>
              <w:left w:val="nil"/>
              <w:bottom w:val="single" w:color="auto" w:sz="4" w:space="0"/>
              <w:right w:val="single" w:color="auto" w:sz="4" w:space="0"/>
            </w:tcBorders>
            <w:noWrap/>
            <w:vAlign w:val="center"/>
          </w:tcPr>
          <w:p w14:paraId="7256218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&gt;50km</w:t>
            </w:r>
          </w:p>
        </w:tc>
        <w:tc>
          <w:tcPr>
            <w:tcW w:w="497" w:type="pct"/>
            <w:tcBorders>
              <w:top w:val="nil"/>
              <w:left w:val="nil"/>
              <w:bottom w:val="single" w:color="auto" w:sz="4" w:space="0"/>
              <w:right w:val="single" w:color="auto" w:sz="4" w:space="0"/>
            </w:tcBorders>
            <w:noWrap/>
            <w:vAlign w:val="center"/>
          </w:tcPr>
          <w:p w14:paraId="6D52118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0077AF2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143.285km</w:t>
            </w:r>
          </w:p>
        </w:tc>
        <w:tc>
          <w:tcPr>
            <w:tcW w:w="419" w:type="pct"/>
            <w:tcBorders>
              <w:top w:val="nil"/>
              <w:left w:val="nil"/>
              <w:bottom w:val="single" w:color="auto" w:sz="4" w:space="0"/>
              <w:right w:val="single" w:color="auto" w:sz="4" w:space="0"/>
            </w:tcBorders>
            <w:noWrap/>
            <w:vAlign w:val="center"/>
          </w:tcPr>
          <w:p w14:paraId="0A86504B">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53041DBC">
        <w:tblPrEx>
          <w:tblCellMar>
            <w:top w:w="0" w:type="dxa"/>
            <w:left w:w="108" w:type="dxa"/>
            <w:bottom w:w="0" w:type="dxa"/>
            <w:right w:w="108" w:type="dxa"/>
          </w:tblCellMar>
        </w:tblPrEx>
        <w:trPr>
          <w:trHeight w:val="399" w:hRule="atLeast"/>
        </w:trPr>
        <w:tc>
          <w:tcPr>
            <w:tcW w:w="492" w:type="pct"/>
            <w:vMerge w:val="restart"/>
            <w:tcBorders>
              <w:top w:val="nil"/>
              <w:left w:val="single" w:color="auto" w:sz="4" w:space="0"/>
              <w:bottom w:val="single" w:color="auto" w:sz="4" w:space="0"/>
              <w:right w:val="single" w:color="auto" w:sz="4" w:space="0"/>
            </w:tcBorders>
            <w:vAlign w:val="center"/>
          </w:tcPr>
          <w:p w14:paraId="2027520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水文化提升目标</w:t>
            </w:r>
          </w:p>
        </w:tc>
        <w:tc>
          <w:tcPr>
            <w:tcW w:w="270" w:type="pct"/>
            <w:tcBorders>
              <w:top w:val="nil"/>
              <w:left w:val="nil"/>
              <w:bottom w:val="single" w:color="auto" w:sz="4" w:space="0"/>
              <w:right w:val="single" w:color="auto" w:sz="4" w:space="0"/>
            </w:tcBorders>
            <w:noWrap/>
            <w:vAlign w:val="center"/>
          </w:tcPr>
          <w:p w14:paraId="1F832A9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19</w:t>
            </w:r>
          </w:p>
        </w:tc>
        <w:tc>
          <w:tcPr>
            <w:tcW w:w="1373" w:type="pct"/>
            <w:tcBorders>
              <w:top w:val="nil"/>
              <w:left w:val="nil"/>
              <w:bottom w:val="single" w:color="auto" w:sz="4" w:space="0"/>
              <w:right w:val="single" w:color="auto" w:sz="4" w:space="0"/>
            </w:tcBorders>
            <w:vAlign w:val="center"/>
          </w:tcPr>
          <w:p w14:paraId="0605BE5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汀江滨江风景带长度</w:t>
            </w:r>
          </w:p>
        </w:tc>
        <w:tc>
          <w:tcPr>
            <w:tcW w:w="827" w:type="pct"/>
            <w:tcBorders>
              <w:top w:val="nil"/>
              <w:left w:val="nil"/>
              <w:bottom w:val="single" w:color="auto" w:sz="4" w:space="0"/>
              <w:right w:val="single" w:color="auto" w:sz="4" w:space="0"/>
            </w:tcBorders>
            <w:noWrap/>
            <w:vAlign w:val="center"/>
          </w:tcPr>
          <w:p w14:paraId="2564077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&gt;10km</w:t>
            </w:r>
          </w:p>
        </w:tc>
        <w:tc>
          <w:tcPr>
            <w:tcW w:w="497" w:type="pct"/>
            <w:tcBorders>
              <w:top w:val="nil"/>
              <w:left w:val="nil"/>
              <w:bottom w:val="single" w:color="auto" w:sz="4" w:space="0"/>
              <w:right w:val="single" w:color="auto" w:sz="4" w:space="0"/>
            </w:tcBorders>
            <w:noWrap/>
            <w:vAlign w:val="center"/>
          </w:tcPr>
          <w:p w14:paraId="0980383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16F9DF8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&gt;10km</w:t>
            </w:r>
          </w:p>
        </w:tc>
        <w:tc>
          <w:tcPr>
            <w:tcW w:w="419" w:type="pct"/>
            <w:tcBorders>
              <w:top w:val="nil"/>
              <w:left w:val="nil"/>
              <w:bottom w:val="single" w:color="auto" w:sz="4" w:space="0"/>
              <w:right w:val="single" w:color="auto" w:sz="4" w:space="0"/>
            </w:tcBorders>
            <w:noWrap/>
            <w:vAlign w:val="center"/>
          </w:tcPr>
          <w:p w14:paraId="0B017C24">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67799970">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5FF59906">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6BFC725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20</w:t>
            </w:r>
          </w:p>
        </w:tc>
        <w:tc>
          <w:tcPr>
            <w:tcW w:w="1373" w:type="pct"/>
            <w:tcBorders>
              <w:top w:val="nil"/>
              <w:left w:val="nil"/>
              <w:bottom w:val="single" w:color="auto" w:sz="4" w:space="0"/>
              <w:right w:val="single" w:color="auto" w:sz="4" w:space="0"/>
            </w:tcBorders>
            <w:vAlign w:val="center"/>
          </w:tcPr>
          <w:p w14:paraId="4EBA5FE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水利风景区数量</w:t>
            </w:r>
          </w:p>
        </w:tc>
        <w:tc>
          <w:tcPr>
            <w:tcW w:w="827" w:type="pct"/>
            <w:tcBorders>
              <w:top w:val="nil"/>
              <w:left w:val="nil"/>
              <w:bottom w:val="single" w:color="auto" w:sz="4" w:space="0"/>
              <w:right w:val="single" w:color="auto" w:sz="4" w:space="0"/>
            </w:tcBorders>
            <w:noWrap/>
            <w:vAlign w:val="center"/>
          </w:tcPr>
          <w:p w14:paraId="5EFEBA1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&gt;4个</w:t>
            </w:r>
          </w:p>
        </w:tc>
        <w:tc>
          <w:tcPr>
            <w:tcW w:w="497" w:type="pct"/>
            <w:tcBorders>
              <w:top w:val="nil"/>
              <w:left w:val="nil"/>
              <w:bottom w:val="single" w:color="auto" w:sz="4" w:space="0"/>
              <w:right w:val="single" w:color="auto" w:sz="4" w:space="0"/>
            </w:tcBorders>
            <w:noWrap/>
            <w:vAlign w:val="center"/>
          </w:tcPr>
          <w:p w14:paraId="6D372BD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预期性</w:t>
            </w:r>
          </w:p>
        </w:tc>
        <w:tc>
          <w:tcPr>
            <w:tcW w:w="1107" w:type="pct"/>
            <w:tcBorders>
              <w:top w:val="nil"/>
              <w:left w:val="nil"/>
              <w:bottom w:val="single" w:color="auto" w:sz="4" w:space="0"/>
              <w:right w:val="single" w:color="auto" w:sz="4" w:space="0"/>
            </w:tcBorders>
            <w:noWrap/>
            <w:vAlign w:val="center"/>
          </w:tcPr>
          <w:p w14:paraId="789A15F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1个</w:t>
            </w:r>
          </w:p>
        </w:tc>
        <w:tc>
          <w:tcPr>
            <w:tcW w:w="419" w:type="pct"/>
            <w:tcBorders>
              <w:top w:val="nil"/>
              <w:left w:val="nil"/>
              <w:bottom w:val="single" w:color="auto" w:sz="4" w:space="0"/>
              <w:right w:val="single" w:color="auto" w:sz="4" w:space="0"/>
            </w:tcBorders>
            <w:noWrap/>
            <w:vAlign w:val="center"/>
          </w:tcPr>
          <w:p w14:paraId="4A48D754">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6CA3BEDB">
        <w:tblPrEx>
          <w:tblCellMar>
            <w:top w:w="0" w:type="dxa"/>
            <w:left w:w="108" w:type="dxa"/>
            <w:bottom w:w="0" w:type="dxa"/>
            <w:right w:w="108" w:type="dxa"/>
          </w:tblCellMar>
        </w:tblPrEx>
        <w:trPr>
          <w:trHeight w:val="399" w:hRule="atLeast"/>
        </w:trPr>
        <w:tc>
          <w:tcPr>
            <w:tcW w:w="492" w:type="pct"/>
            <w:vMerge w:val="restart"/>
            <w:tcBorders>
              <w:top w:val="nil"/>
              <w:left w:val="single" w:color="auto" w:sz="4" w:space="0"/>
              <w:bottom w:val="single" w:color="auto" w:sz="4" w:space="0"/>
              <w:right w:val="single" w:color="auto" w:sz="4" w:space="0"/>
            </w:tcBorders>
            <w:vAlign w:val="center"/>
          </w:tcPr>
          <w:p w14:paraId="3F005B6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涉水事务监管目标</w:t>
            </w:r>
          </w:p>
        </w:tc>
        <w:tc>
          <w:tcPr>
            <w:tcW w:w="270" w:type="pct"/>
            <w:tcBorders>
              <w:top w:val="nil"/>
              <w:left w:val="nil"/>
              <w:bottom w:val="single" w:color="auto" w:sz="4" w:space="0"/>
              <w:right w:val="single" w:color="auto" w:sz="4" w:space="0"/>
            </w:tcBorders>
            <w:noWrap/>
            <w:vAlign w:val="center"/>
          </w:tcPr>
          <w:p w14:paraId="0BBFE9C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21</w:t>
            </w:r>
          </w:p>
        </w:tc>
        <w:tc>
          <w:tcPr>
            <w:tcW w:w="1373" w:type="pct"/>
            <w:tcBorders>
              <w:top w:val="nil"/>
              <w:left w:val="nil"/>
              <w:bottom w:val="single" w:color="auto" w:sz="4" w:space="0"/>
              <w:right w:val="single" w:color="auto" w:sz="4" w:space="0"/>
            </w:tcBorders>
            <w:vAlign w:val="center"/>
          </w:tcPr>
          <w:p w14:paraId="5C77F27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取用水在线监控率</w:t>
            </w:r>
          </w:p>
        </w:tc>
        <w:tc>
          <w:tcPr>
            <w:tcW w:w="827" w:type="pct"/>
            <w:tcBorders>
              <w:top w:val="nil"/>
              <w:left w:val="nil"/>
              <w:bottom w:val="single" w:color="auto" w:sz="4" w:space="0"/>
              <w:right w:val="single" w:color="auto" w:sz="4" w:space="0"/>
            </w:tcBorders>
            <w:noWrap/>
            <w:vAlign w:val="center"/>
          </w:tcPr>
          <w:p w14:paraId="009EDA5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95%</w:t>
            </w:r>
          </w:p>
        </w:tc>
        <w:tc>
          <w:tcPr>
            <w:tcW w:w="497" w:type="pct"/>
            <w:tcBorders>
              <w:top w:val="nil"/>
              <w:left w:val="nil"/>
              <w:bottom w:val="single" w:color="auto" w:sz="4" w:space="0"/>
              <w:right w:val="single" w:color="auto" w:sz="4" w:space="0"/>
            </w:tcBorders>
            <w:noWrap/>
            <w:vAlign w:val="center"/>
          </w:tcPr>
          <w:p w14:paraId="692BEEA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556FB12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95%</w:t>
            </w:r>
          </w:p>
        </w:tc>
        <w:tc>
          <w:tcPr>
            <w:tcW w:w="419" w:type="pct"/>
            <w:tcBorders>
              <w:top w:val="nil"/>
              <w:left w:val="nil"/>
              <w:bottom w:val="single" w:color="auto" w:sz="4" w:space="0"/>
              <w:right w:val="single" w:color="auto" w:sz="4" w:space="0"/>
            </w:tcBorders>
            <w:noWrap/>
            <w:vAlign w:val="center"/>
          </w:tcPr>
          <w:p w14:paraId="38ECB9E1">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13BFD2A2">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60DDDAC2">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3A1E206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22</w:t>
            </w:r>
          </w:p>
        </w:tc>
        <w:tc>
          <w:tcPr>
            <w:tcW w:w="1373" w:type="pct"/>
            <w:tcBorders>
              <w:top w:val="nil"/>
              <w:left w:val="nil"/>
              <w:bottom w:val="single" w:color="auto" w:sz="4" w:space="0"/>
              <w:right w:val="single" w:color="auto" w:sz="4" w:space="0"/>
            </w:tcBorders>
            <w:vAlign w:val="center"/>
          </w:tcPr>
          <w:p w14:paraId="30CE577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主要河道生态流量监测率</w:t>
            </w:r>
          </w:p>
        </w:tc>
        <w:tc>
          <w:tcPr>
            <w:tcW w:w="827" w:type="pct"/>
            <w:tcBorders>
              <w:top w:val="nil"/>
              <w:left w:val="nil"/>
              <w:bottom w:val="single" w:color="auto" w:sz="4" w:space="0"/>
              <w:right w:val="single" w:color="auto" w:sz="4" w:space="0"/>
            </w:tcBorders>
            <w:noWrap/>
            <w:vAlign w:val="center"/>
          </w:tcPr>
          <w:p w14:paraId="76FEBC6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100%</w:t>
            </w:r>
          </w:p>
        </w:tc>
        <w:tc>
          <w:tcPr>
            <w:tcW w:w="497" w:type="pct"/>
            <w:tcBorders>
              <w:top w:val="nil"/>
              <w:left w:val="nil"/>
              <w:bottom w:val="single" w:color="auto" w:sz="4" w:space="0"/>
              <w:right w:val="single" w:color="auto" w:sz="4" w:space="0"/>
            </w:tcBorders>
            <w:noWrap/>
            <w:vAlign w:val="center"/>
          </w:tcPr>
          <w:p w14:paraId="258EE0D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7555342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100%</w:t>
            </w:r>
          </w:p>
        </w:tc>
        <w:tc>
          <w:tcPr>
            <w:tcW w:w="419" w:type="pct"/>
            <w:tcBorders>
              <w:top w:val="nil"/>
              <w:left w:val="nil"/>
              <w:bottom w:val="single" w:color="auto" w:sz="4" w:space="0"/>
              <w:right w:val="single" w:color="auto" w:sz="4" w:space="0"/>
            </w:tcBorders>
            <w:noWrap/>
            <w:vAlign w:val="center"/>
          </w:tcPr>
          <w:p w14:paraId="60BED35F">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r w14:paraId="660A08CF">
        <w:tblPrEx>
          <w:tblCellMar>
            <w:top w:w="0" w:type="dxa"/>
            <w:left w:w="108" w:type="dxa"/>
            <w:bottom w:w="0" w:type="dxa"/>
            <w:right w:w="108" w:type="dxa"/>
          </w:tblCellMar>
        </w:tblPrEx>
        <w:trPr>
          <w:trHeight w:val="399" w:hRule="atLeast"/>
        </w:trPr>
        <w:tc>
          <w:tcPr>
            <w:tcW w:w="492" w:type="pct"/>
            <w:vMerge w:val="continue"/>
            <w:tcBorders>
              <w:top w:val="nil"/>
              <w:left w:val="single" w:color="auto" w:sz="4" w:space="0"/>
              <w:bottom w:val="single" w:color="auto" w:sz="4" w:space="0"/>
              <w:right w:val="single" w:color="auto" w:sz="4" w:space="0"/>
            </w:tcBorders>
            <w:vAlign w:val="center"/>
          </w:tcPr>
          <w:p w14:paraId="410052A4">
            <w:pPr>
              <w:widowControl/>
              <w:spacing w:line="240" w:lineRule="auto"/>
              <w:jc w:val="left"/>
              <w:rPr>
                <w:rFonts w:ascii="宋体" w:hAnsi="宋体" w:cs="宋体"/>
                <w:color w:val="000000"/>
                <w:kern w:val="0"/>
                <w:sz w:val="20"/>
                <w:szCs w:val="20"/>
              </w:rPr>
            </w:pPr>
          </w:p>
        </w:tc>
        <w:tc>
          <w:tcPr>
            <w:tcW w:w="270" w:type="pct"/>
            <w:tcBorders>
              <w:top w:val="nil"/>
              <w:left w:val="nil"/>
              <w:bottom w:val="single" w:color="auto" w:sz="4" w:space="0"/>
              <w:right w:val="single" w:color="auto" w:sz="4" w:space="0"/>
            </w:tcBorders>
            <w:noWrap/>
            <w:vAlign w:val="center"/>
          </w:tcPr>
          <w:p w14:paraId="446F237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23</w:t>
            </w:r>
          </w:p>
        </w:tc>
        <w:tc>
          <w:tcPr>
            <w:tcW w:w="1373" w:type="pct"/>
            <w:tcBorders>
              <w:top w:val="nil"/>
              <w:left w:val="nil"/>
              <w:bottom w:val="single" w:color="auto" w:sz="4" w:space="0"/>
              <w:right w:val="single" w:color="auto" w:sz="4" w:space="0"/>
            </w:tcBorders>
            <w:vAlign w:val="center"/>
          </w:tcPr>
          <w:p w14:paraId="76B137F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主要水功能区水质监测率</w:t>
            </w:r>
          </w:p>
        </w:tc>
        <w:tc>
          <w:tcPr>
            <w:tcW w:w="827" w:type="pct"/>
            <w:tcBorders>
              <w:top w:val="nil"/>
              <w:left w:val="nil"/>
              <w:bottom w:val="single" w:color="auto" w:sz="4" w:space="0"/>
              <w:right w:val="single" w:color="auto" w:sz="4" w:space="0"/>
            </w:tcBorders>
            <w:noWrap/>
            <w:vAlign w:val="center"/>
          </w:tcPr>
          <w:p w14:paraId="07BC07F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100%</w:t>
            </w:r>
          </w:p>
        </w:tc>
        <w:tc>
          <w:tcPr>
            <w:tcW w:w="497" w:type="pct"/>
            <w:tcBorders>
              <w:top w:val="nil"/>
              <w:left w:val="nil"/>
              <w:bottom w:val="single" w:color="auto" w:sz="4" w:space="0"/>
              <w:right w:val="single" w:color="auto" w:sz="4" w:space="0"/>
            </w:tcBorders>
            <w:noWrap/>
            <w:vAlign w:val="center"/>
          </w:tcPr>
          <w:p w14:paraId="538A92D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约束性</w:t>
            </w:r>
          </w:p>
        </w:tc>
        <w:tc>
          <w:tcPr>
            <w:tcW w:w="1107" w:type="pct"/>
            <w:tcBorders>
              <w:top w:val="nil"/>
              <w:left w:val="nil"/>
              <w:bottom w:val="single" w:color="auto" w:sz="4" w:space="0"/>
              <w:right w:val="single" w:color="auto" w:sz="4" w:space="0"/>
            </w:tcBorders>
            <w:noWrap/>
            <w:vAlign w:val="center"/>
          </w:tcPr>
          <w:p w14:paraId="062FB1C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100%</w:t>
            </w:r>
          </w:p>
        </w:tc>
        <w:tc>
          <w:tcPr>
            <w:tcW w:w="419" w:type="pct"/>
            <w:tcBorders>
              <w:top w:val="nil"/>
              <w:left w:val="nil"/>
              <w:bottom w:val="single" w:color="auto" w:sz="4" w:space="0"/>
              <w:right w:val="single" w:color="auto" w:sz="4" w:space="0"/>
            </w:tcBorders>
            <w:noWrap/>
            <w:vAlign w:val="center"/>
          </w:tcPr>
          <w:p w14:paraId="6EC3BBD7">
            <w:pPr>
              <w:widowControl/>
              <w:spacing w:line="240" w:lineRule="auto"/>
              <w:jc w:val="center"/>
              <w:rPr>
                <w:rFonts w:ascii="等线" w:hAnsi="等线" w:eastAsia="等线" w:cs="宋体"/>
                <w:color w:val="000000"/>
                <w:kern w:val="0"/>
                <w:sz w:val="20"/>
                <w:szCs w:val="20"/>
              </w:rPr>
            </w:pPr>
            <w:r>
              <w:rPr>
                <w:rFonts w:hint="eastAsia" w:ascii="等线" w:hAnsi="等线" w:eastAsia="等线" w:cs="宋体"/>
                <w:color w:val="000000"/>
                <w:kern w:val="0"/>
                <w:sz w:val="20"/>
                <w:szCs w:val="20"/>
              </w:rPr>
              <w:t>完成</w:t>
            </w:r>
          </w:p>
        </w:tc>
      </w:tr>
    </w:tbl>
    <w:p w14:paraId="7178700E">
      <w:pPr>
        <w:pStyle w:val="3"/>
        <w:numPr>
          <w:ilvl w:val="1"/>
          <w:numId w:val="2"/>
        </w:numPr>
        <w:rPr>
          <w:rFonts w:ascii="宋体" w:hAnsi="宋体"/>
          <w:b w:val="0"/>
          <w:color w:val="auto"/>
        </w:rPr>
      </w:pPr>
      <w:bookmarkStart w:id="13" w:name="_Toc216791685"/>
      <w:r>
        <w:rPr>
          <w:rFonts w:hint="eastAsia" w:ascii="宋体" w:hAnsi="宋体"/>
          <w:b w:val="0"/>
          <w:color w:val="auto"/>
        </w:rPr>
        <w:t>存在问题</w:t>
      </w:r>
      <w:bookmarkEnd w:id="13"/>
    </w:p>
    <w:p w14:paraId="346FCDDC">
      <w:pPr>
        <w:pStyle w:val="4"/>
        <w:numPr>
          <w:ilvl w:val="2"/>
          <w:numId w:val="2"/>
        </w:numPr>
        <w:rPr>
          <w:rFonts w:ascii="宋体" w:hAnsi="宋体"/>
          <w:b w:val="0"/>
          <w:color w:val="auto"/>
        </w:rPr>
      </w:pPr>
      <w:r>
        <w:rPr>
          <w:rFonts w:ascii="宋体" w:hAnsi="宋体"/>
          <w:b w:val="0"/>
          <w:color w:val="auto"/>
        </w:rPr>
        <w:t>防洪排涝减灾能力仍需强化</w:t>
      </w:r>
    </w:p>
    <w:p w14:paraId="403945AB">
      <w:pPr>
        <w:ind w:firstLine="568" w:firstLineChars="202"/>
        <w:rPr>
          <w:rFonts w:ascii="宋体" w:hAnsi="宋体"/>
          <w:b/>
        </w:rPr>
      </w:pPr>
      <w:r>
        <w:rPr>
          <w:rFonts w:hint="eastAsia" w:ascii="宋体" w:hAnsi="宋体"/>
          <w:b/>
        </w:rPr>
        <w:t>（</w:t>
      </w:r>
      <w:r>
        <w:rPr>
          <w:rFonts w:ascii="宋体" w:hAnsi="宋体"/>
          <w:b/>
        </w:rPr>
        <w:t>1）防洪工程体系尚不完善</w:t>
      </w:r>
    </w:p>
    <w:p w14:paraId="7032754E">
      <w:pPr>
        <w:ind w:firstLine="565" w:firstLineChars="202"/>
        <w:rPr>
          <w:rFonts w:ascii="宋体" w:hAnsi="宋体"/>
        </w:rPr>
      </w:pPr>
      <w:r>
        <w:rPr>
          <w:rFonts w:hint="eastAsia" w:ascii="宋体" w:hAnsi="宋体"/>
        </w:rPr>
        <w:t>长汀县全县水库</w:t>
      </w:r>
      <w:r>
        <w:rPr>
          <w:rFonts w:ascii="宋体" w:hAnsi="宋体"/>
        </w:rPr>
        <w:t>总库容1.32亿m</w:t>
      </w:r>
      <w:r>
        <w:rPr>
          <w:rFonts w:ascii="宋体" w:hAnsi="宋体"/>
          <w:vertAlign w:val="superscript"/>
        </w:rPr>
        <w:t>3</w:t>
      </w:r>
      <w:r>
        <w:rPr>
          <w:rFonts w:ascii="宋体" w:hAnsi="宋体"/>
        </w:rPr>
        <w:t>，中型水库防洪库容0.4亿m</w:t>
      </w:r>
      <w:r>
        <w:rPr>
          <w:rFonts w:ascii="宋体" w:hAnsi="宋体"/>
          <w:vertAlign w:val="superscript"/>
        </w:rPr>
        <w:t>3</w:t>
      </w:r>
      <w:r>
        <w:rPr>
          <w:rFonts w:ascii="宋体" w:hAnsi="宋体"/>
        </w:rPr>
        <w:t>，</w:t>
      </w:r>
      <w:r>
        <w:rPr>
          <w:rFonts w:hint="eastAsia" w:ascii="宋体" w:hAnsi="宋体"/>
        </w:rPr>
        <w:t>占比</w:t>
      </w:r>
      <w:r>
        <w:rPr>
          <w:rFonts w:ascii="宋体" w:hAnsi="宋体"/>
        </w:rPr>
        <w:t>小，防洪库容较小。已建水库多位于支流上游，集雨面积较小，主要功能多为供水、灌溉、发电等，洪水调蓄能力弱，主要干支流缺乏控制性水库工程，洪水调蓄能力不足。</w:t>
      </w:r>
      <w:r>
        <w:rPr>
          <w:rFonts w:hint="eastAsia" w:ascii="宋体" w:hAnsi="宋体"/>
        </w:rPr>
        <w:t>长汀县</w:t>
      </w:r>
      <w:r>
        <w:rPr>
          <w:rFonts w:ascii="宋体" w:hAnsi="宋体"/>
        </w:rPr>
        <w:t>河流众多，河道纵坡大，降雨易成灾，部分新城区、开发区、乡镇和重点农田保护区堤防未闭合甚至未设防，部分堤防标准较低，综合配套设施不够健全，以堤坝为主的河道防洪体系尚未完全形成。城区受居民区和道路标高、房屋拆迁、排涝等因素限制，部分河段仍存在不达标</w:t>
      </w:r>
      <w:r>
        <w:rPr>
          <w:rFonts w:hint="eastAsia" w:ascii="宋体" w:hAnsi="宋体"/>
        </w:rPr>
        <w:t>情况，城镇防洪隐患仍然存在，抵御洪水的能力有待提升。</w:t>
      </w:r>
    </w:p>
    <w:p w14:paraId="5ACB166A">
      <w:pPr>
        <w:ind w:firstLine="568" w:firstLineChars="202"/>
        <w:rPr>
          <w:rFonts w:ascii="宋体" w:hAnsi="宋体"/>
          <w:b/>
        </w:rPr>
      </w:pPr>
      <w:r>
        <w:rPr>
          <w:rFonts w:hint="eastAsia" w:ascii="宋体" w:hAnsi="宋体"/>
          <w:b/>
        </w:rPr>
        <w:t>（</w:t>
      </w:r>
      <w:r>
        <w:rPr>
          <w:rFonts w:ascii="宋体" w:hAnsi="宋体"/>
          <w:b/>
        </w:rPr>
        <w:t>2）山洪灾害潜在威胁大</w:t>
      </w:r>
    </w:p>
    <w:p w14:paraId="3C27BBB2">
      <w:pPr>
        <w:ind w:firstLine="565" w:firstLineChars="202"/>
        <w:rPr>
          <w:rFonts w:ascii="宋体" w:hAnsi="宋体"/>
        </w:rPr>
      </w:pPr>
      <w:r>
        <w:rPr>
          <w:rFonts w:hint="eastAsia" w:ascii="宋体" w:hAnsi="宋体"/>
        </w:rPr>
        <w:t>全县山洪灾害易发区预警预报系统已基本建成，可有效</w:t>
      </w:r>
      <w:r>
        <w:rPr>
          <w:rFonts w:ascii="宋体" w:hAnsi="宋体"/>
        </w:rPr>
        <w:t>应对气候变化和山洪灾害。但由于山洪灾害点多面广、突发性强，严重危害山区人民群众生命财产安全。受全球气候变化影响，近年来极端暴雨洪水时间和影响程度均呈增长趋势，加之山区生产、旅游等活动叠加，山洪灾害防御形势愈加复杂严峻。</w:t>
      </w:r>
    </w:p>
    <w:p w14:paraId="5B5877AD">
      <w:pPr>
        <w:ind w:firstLine="568" w:firstLineChars="202"/>
        <w:rPr>
          <w:rFonts w:ascii="宋体" w:hAnsi="宋体"/>
          <w:b/>
        </w:rPr>
      </w:pPr>
      <w:r>
        <w:rPr>
          <w:rFonts w:hint="eastAsia" w:ascii="宋体" w:hAnsi="宋体"/>
          <w:b/>
        </w:rPr>
        <w:t>（</w:t>
      </w:r>
      <w:r>
        <w:rPr>
          <w:rFonts w:ascii="宋体" w:hAnsi="宋体"/>
          <w:b/>
        </w:rPr>
        <w:t>3）城镇防洪排涝压力大</w:t>
      </w:r>
    </w:p>
    <w:p w14:paraId="0B420AFE">
      <w:pPr>
        <w:ind w:firstLine="565" w:firstLineChars="202"/>
        <w:rPr>
          <w:rFonts w:ascii="宋体" w:hAnsi="宋体"/>
        </w:rPr>
      </w:pPr>
      <w:r>
        <w:rPr>
          <w:rFonts w:hint="eastAsia" w:ascii="宋体" w:hAnsi="宋体"/>
        </w:rPr>
        <w:t>随着城市化进程的加快，许多原为农村的区域逐步转为</w:t>
      </w:r>
      <w:r>
        <w:rPr>
          <w:rFonts w:ascii="宋体" w:hAnsi="宋体"/>
        </w:rPr>
        <w:t>城市，如城市拓展区、规划新区等，按原要求建设的防洪排涝体系已不能适应城市发展的需要</w:t>
      </w:r>
      <w:r>
        <w:rPr>
          <w:rFonts w:hint="eastAsia" w:ascii="宋体" w:hAnsi="宋体"/>
        </w:rPr>
        <w:t>，</w:t>
      </w:r>
      <w:r>
        <w:rPr>
          <w:rFonts w:ascii="宋体" w:hAnsi="宋体"/>
        </w:rPr>
        <w:t>需按城市要求加快防洪排涝体系建设和标准提升工作。</w:t>
      </w:r>
      <w:r>
        <w:rPr>
          <w:rFonts w:hint="eastAsia" w:ascii="宋体" w:hAnsi="宋体"/>
        </w:rPr>
        <w:t>长汀县城区</w:t>
      </w:r>
      <w:r>
        <w:rPr>
          <w:rFonts w:ascii="宋体" w:hAnsi="宋体"/>
        </w:rPr>
        <w:t>，仍然存在防洪体系不健全问题，有待进一步完善。以往防洪排涝工程建设中以堤防建设为主，排涝设施建设较少，排涝等综合配套设施不够健全，</w:t>
      </w:r>
      <w:r>
        <w:rPr>
          <w:rFonts w:hint="eastAsia" w:ascii="宋体" w:hAnsi="宋体"/>
        </w:rPr>
        <w:t>城区</w:t>
      </w:r>
      <w:r>
        <w:rPr>
          <w:rFonts w:ascii="宋体" w:hAnsi="宋体"/>
        </w:rPr>
        <w:t>现有</w:t>
      </w:r>
      <w:r>
        <w:rPr>
          <w:rFonts w:hint="eastAsia" w:ascii="宋体" w:hAnsi="宋体"/>
        </w:rPr>
        <w:t>4座</w:t>
      </w:r>
      <w:r>
        <w:rPr>
          <w:rFonts w:ascii="宋体" w:hAnsi="宋体"/>
        </w:rPr>
        <w:t>排涝泵站尚未形成较为完善的排涝体系，排涝能力偏低。</w:t>
      </w:r>
    </w:p>
    <w:p w14:paraId="7FAC6525">
      <w:pPr>
        <w:pStyle w:val="4"/>
        <w:numPr>
          <w:ilvl w:val="2"/>
          <w:numId w:val="2"/>
        </w:numPr>
        <w:rPr>
          <w:rFonts w:ascii="宋体" w:hAnsi="宋体"/>
          <w:b w:val="0"/>
          <w:color w:val="auto"/>
        </w:rPr>
      </w:pPr>
      <w:r>
        <w:rPr>
          <w:rFonts w:ascii="宋体" w:hAnsi="宋体"/>
          <w:b w:val="0"/>
          <w:color w:val="auto"/>
        </w:rPr>
        <w:t>水资源配置格局待优化升级</w:t>
      </w:r>
    </w:p>
    <w:p w14:paraId="77274D6A">
      <w:pPr>
        <w:ind w:firstLine="568" w:firstLineChars="202"/>
        <w:rPr>
          <w:rFonts w:ascii="宋体" w:hAnsi="宋体"/>
          <w:b/>
        </w:rPr>
      </w:pPr>
      <w:r>
        <w:rPr>
          <w:rFonts w:hint="eastAsia" w:ascii="宋体" w:hAnsi="宋体"/>
          <w:b/>
        </w:rPr>
        <w:t>（</w:t>
      </w:r>
      <w:r>
        <w:rPr>
          <w:rFonts w:ascii="宋体" w:hAnsi="宋体"/>
          <w:b/>
        </w:rPr>
        <w:t>1）</w:t>
      </w:r>
      <w:r>
        <w:rPr>
          <w:rFonts w:hint="eastAsia" w:ascii="宋体" w:hAnsi="宋体"/>
          <w:b/>
        </w:rPr>
        <w:t>统筹调配能力不足</w:t>
      </w:r>
    </w:p>
    <w:p w14:paraId="22E3B754">
      <w:pPr>
        <w:ind w:firstLine="565" w:firstLineChars="202"/>
        <w:rPr>
          <w:rFonts w:ascii="宋体" w:hAnsi="宋体"/>
        </w:rPr>
      </w:pPr>
      <w:r>
        <w:rPr>
          <w:rFonts w:hint="eastAsia" w:ascii="宋体" w:hAnsi="宋体"/>
        </w:rPr>
        <w:t>长汀县地形比降大，河流源短流急，径流快速出境，本地来水难以有效留存。水系割裂，时空分布不均，部分区域（北部</w:t>
      </w:r>
      <w:r>
        <w:rPr>
          <w:rFonts w:ascii="宋体" w:hAnsi="宋体"/>
        </w:rPr>
        <w:t>片区、河田策武新区</w:t>
      </w:r>
      <w:r>
        <w:rPr>
          <w:rFonts w:hint="eastAsia" w:ascii="宋体" w:hAnsi="宋体"/>
        </w:rPr>
        <w:t>）</w:t>
      </w:r>
      <w:r>
        <w:rPr>
          <w:rFonts w:ascii="宋体" w:hAnsi="宋体"/>
        </w:rPr>
        <w:t>水资源不足。全</w:t>
      </w:r>
      <w:r>
        <w:rPr>
          <w:rFonts w:hint="eastAsia" w:ascii="宋体" w:hAnsi="宋体"/>
        </w:rPr>
        <w:t>县</w:t>
      </w:r>
      <w:r>
        <w:rPr>
          <w:rFonts w:ascii="宋体" w:hAnsi="宋体"/>
        </w:rPr>
        <w:t>小型蓄水工程较少，缺乏骨干调蓄与统筹调配工程，“看得见水、存不住水”的矛盾依旧存在。</w:t>
      </w:r>
      <w:r>
        <w:rPr>
          <w:rFonts w:hint="eastAsia" w:ascii="宋体" w:hAnsi="宋体"/>
        </w:rPr>
        <w:t>北部</w:t>
      </w:r>
      <w:r>
        <w:rPr>
          <w:rFonts w:ascii="宋体" w:hAnsi="宋体"/>
        </w:rPr>
        <w:t>片区、中心城区</w:t>
      </w:r>
      <w:r>
        <w:rPr>
          <w:rFonts w:hint="eastAsia" w:ascii="宋体" w:hAnsi="宋体"/>
        </w:rPr>
        <w:t>、</w:t>
      </w:r>
      <w:r>
        <w:rPr>
          <w:rFonts w:ascii="宋体" w:hAnsi="宋体"/>
        </w:rPr>
        <w:t>新城区缺水较紧迫，地下水退减与供水分散矛盾突出，面对社会经济快速发展以及人民生活水平的提高，</w:t>
      </w:r>
      <w:r>
        <w:rPr>
          <w:rFonts w:hint="eastAsia" w:ascii="宋体" w:hAnsi="宋体"/>
        </w:rPr>
        <w:t>长汀县</w:t>
      </w:r>
      <w:r>
        <w:rPr>
          <w:rFonts w:ascii="宋体" w:hAnsi="宋体"/>
        </w:rPr>
        <w:t>用水压力将进一步增大。</w:t>
      </w:r>
    </w:p>
    <w:p w14:paraId="46EC7678">
      <w:pPr>
        <w:ind w:firstLine="568" w:firstLineChars="202"/>
        <w:rPr>
          <w:rFonts w:ascii="宋体" w:hAnsi="宋体"/>
          <w:b/>
        </w:rPr>
      </w:pPr>
      <w:r>
        <w:rPr>
          <w:rFonts w:hint="eastAsia" w:ascii="宋体" w:hAnsi="宋体"/>
          <w:b/>
        </w:rPr>
        <w:t>（</w:t>
      </w:r>
      <w:r>
        <w:rPr>
          <w:rFonts w:ascii="宋体" w:hAnsi="宋体"/>
          <w:b/>
        </w:rPr>
        <w:t>2）应急供水保障能力不足</w:t>
      </w:r>
    </w:p>
    <w:p w14:paraId="067CEA19">
      <w:pPr>
        <w:ind w:firstLine="565" w:firstLineChars="202"/>
        <w:rPr>
          <w:rFonts w:ascii="宋体" w:hAnsi="宋体"/>
        </w:rPr>
      </w:pPr>
      <w:r>
        <w:rPr>
          <w:rFonts w:hint="eastAsia" w:ascii="宋体" w:hAnsi="宋体"/>
        </w:rPr>
        <w:t>长汀县枯水年供水保障能力不足，核心短板为调蓄工程</w:t>
      </w:r>
      <w:r>
        <w:rPr>
          <w:rFonts w:ascii="宋体" w:hAnsi="宋体"/>
        </w:rPr>
        <w:t>匮乏。部分依赖引、提水的</w:t>
      </w:r>
      <w:r>
        <w:rPr>
          <w:rFonts w:hint="eastAsia" w:ascii="宋体" w:hAnsi="宋体"/>
        </w:rPr>
        <w:t>乡镇</w:t>
      </w:r>
      <w:r>
        <w:rPr>
          <w:rFonts w:ascii="宋体" w:hAnsi="宋体"/>
        </w:rPr>
        <w:t>，枯水期常因水源流量小、水位低面临水质与水量风险；优质湖库水源有限、骨干蓄水</w:t>
      </w:r>
      <w:r>
        <w:rPr>
          <w:rFonts w:hint="eastAsia" w:ascii="宋体" w:hAnsi="宋体"/>
        </w:rPr>
        <w:t>工程偏少，导致汛期洪水难转化为可用水源，此问题在枯水</w:t>
      </w:r>
      <w:r>
        <w:rPr>
          <w:rFonts w:ascii="宋体" w:hAnsi="宋体"/>
        </w:rPr>
        <w:t>年尤为突出—水库蓄水锐减，部分中小水库干涸，城乡供水压力陡增。当前全</w:t>
      </w:r>
      <w:r>
        <w:rPr>
          <w:rFonts w:hint="eastAsia" w:ascii="宋体" w:hAnsi="宋体"/>
        </w:rPr>
        <w:t>县已建、在建蓄水工程共</w:t>
      </w:r>
      <w:r>
        <w:rPr>
          <w:rFonts w:ascii="宋体" w:hAnsi="宋体"/>
        </w:rPr>
        <w:t>283座（包括水电站工程），其中，已建工程大型水闸2座，中型水库4座，中型水闸1座，小（1）型水库22座，小（2）型水库43座。除去只用来发电的水电站工程，长汀县蓄水工程共254座，其中水库工程52座，包含中型水库工程3座，小（1）型水库工程17座、小（2）型水库工程32座。现有的蓄水工程呈现出多以发电、灌溉为主要功能，且小型工程数量较多，大中型工程数量相对较少的特点。供水调节能力弱。加之跨流域调水工程未闭环，全域水源调配能力不足，进一步加剧汛期洪水难蓄存、枯水期水源“捉襟见肘”的困境。</w:t>
      </w:r>
    </w:p>
    <w:p w14:paraId="0253141B">
      <w:pPr>
        <w:ind w:firstLine="568" w:firstLineChars="202"/>
        <w:rPr>
          <w:rFonts w:ascii="宋体" w:hAnsi="宋体"/>
          <w:b/>
        </w:rPr>
      </w:pPr>
      <w:r>
        <w:rPr>
          <w:rFonts w:hint="eastAsia" w:ascii="宋体" w:hAnsi="宋体"/>
          <w:b/>
        </w:rPr>
        <w:t>（</w:t>
      </w:r>
      <w:r>
        <w:rPr>
          <w:rFonts w:ascii="宋体" w:hAnsi="宋体"/>
          <w:b/>
        </w:rPr>
        <w:t>3）农村供水韧性待加强</w:t>
      </w:r>
    </w:p>
    <w:p w14:paraId="4836F978">
      <w:pPr>
        <w:ind w:firstLine="565" w:firstLineChars="202"/>
        <w:rPr>
          <w:rFonts w:ascii="宋体" w:hAnsi="宋体"/>
        </w:rPr>
      </w:pPr>
      <w:r>
        <w:rPr>
          <w:rFonts w:hint="eastAsia" w:ascii="宋体" w:hAnsi="宋体"/>
        </w:rPr>
        <w:t>长汀县农村供水以“小型分散水源</w:t>
      </w:r>
      <w:r>
        <w:rPr>
          <w:rFonts w:ascii="宋体" w:hAnsi="宋体"/>
        </w:rPr>
        <w:t>+引提水工程”为主，骨干调蓄水库匮乏。</w:t>
      </w:r>
      <w:r>
        <w:rPr>
          <w:rFonts w:hint="eastAsia" w:ascii="宋体" w:hAnsi="宋体"/>
        </w:rPr>
        <w:t>县级</w:t>
      </w:r>
      <w:r>
        <w:rPr>
          <w:rFonts w:ascii="宋体" w:hAnsi="宋体"/>
        </w:rPr>
        <w:t>城乡供水一体化项目优先覆盖乡镇</w:t>
      </w:r>
      <w:r>
        <w:rPr>
          <w:rFonts w:hint="eastAsia" w:ascii="宋体" w:hAnsi="宋体"/>
        </w:rPr>
        <w:t>、</w:t>
      </w:r>
      <w:r>
        <w:rPr>
          <w:rFonts w:ascii="宋体" w:hAnsi="宋体"/>
        </w:rPr>
        <w:t>集镇，偏远山村依赖“小、散、弱”单村供水，保证率偏低。农村供水管护体系薄弱，普遍面临水费收缴难、维修基金缺失、管护队伍不足等问题。</w:t>
      </w:r>
      <w:r>
        <w:rPr>
          <w:rFonts w:hint="eastAsia" w:ascii="宋体" w:hAnsi="宋体"/>
        </w:rPr>
        <w:t>普遍存</w:t>
      </w:r>
      <w:r>
        <w:rPr>
          <w:rFonts w:ascii="宋体" w:hAnsi="宋体"/>
        </w:rPr>
        <w:t>在“节假日高峰供需失衡”问题，</w:t>
      </w:r>
      <w:r>
        <w:rPr>
          <w:rFonts w:hint="eastAsia" w:ascii="宋体" w:hAnsi="宋体"/>
        </w:rPr>
        <w:t>长汀县</w:t>
      </w:r>
      <w:r>
        <w:rPr>
          <w:rFonts w:ascii="宋体" w:hAnsi="宋体"/>
        </w:rPr>
        <w:t>农村供水保证率呈“平时达标、高峰骤降”特征。</w:t>
      </w:r>
      <w:r>
        <w:rPr>
          <w:rFonts w:hint="eastAsia" w:ascii="宋体" w:hAnsi="宋体"/>
        </w:rPr>
        <w:t>馆前</w:t>
      </w:r>
      <w:r>
        <w:rPr>
          <w:rFonts w:ascii="宋体" w:hAnsi="宋体"/>
        </w:rPr>
        <w:t>、童坊、铁长等乡镇城乡供水一体化项目仍未建设</w:t>
      </w:r>
      <w:r>
        <w:rPr>
          <w:rFonts w:hint="eastAsia" w:ascii="宋体" w:hAnsi="宋体"/>
        </w:rPr>
        <w:t>，</w:t>
      </w:r>
      <w:r>
        <w:rPr>
          <w:rFonts w:ascii="宋体" w:hAnsi="宋体"/>
        </w:rPr>
        <w:t>存在水源不足、管网老化</w:t>
      </w:r>
      <w:r>
        <w:rPr>
          <w:rFonts w:hint="eastAsia" w:ascii="宋体" w:hAnsi="宋体"/>
        </w:rPr>
        <w:t>、</w:t>
      </w:r>
      <w:r>
        <w:rPr>
          <w:rFonts w:ascii="宋体" w:hAnsi="宋体"/>
        </w:rPr>
        <w:t>无处理设备等问题。</w:t>
      </w:r>
    </w:p>
    <w:p w14:paraId="000D4A24">
      <w:pPr>
        <w:ind w:firstLine="568" w:firstLineChars="202"/>
        <w:rPr>
          <w:rFonts w:ascii="宋体" w:hAnsi="宋体"/>
          <w:b/>
        </w:rPr>
      </w:pPr>
      <w:r>
        <w:rPr>
          <w:rFonts w:hint="eastAsia" w:ascii="宋体" w:hAnsi="宋体"/>
          <w:b/>
        </w:rPr>
        <w:t>（</w:t>
      </w:r>
      <w:r>
        <w:rPr>
          <w:rFonts w:ascii="宋体" w:hAnsi="宋体"/>
          <w:b/>
        </w:rPr>
        <w:t>4）农业节水有进步空间</w:t>
      </w:r>
    </w:p>
    <w:p w14:paraId="2E61C1C3">
      <w:pPr>
        <w:ind w:firstLine="565" w:firstLineChars="202"/>
        <w:rPr>
          <w:rFonts w:ascii="宋体" w:hAnsi="宋体"/>
        </w:rPr>
      </w:pPr>
      <w:r>
        <w:rPr>
          <w:rFonts w:ascii="宋体" w:hAnsi="宋体"/>
        </w:rPr>
        <w:t>2024年</w:t>
      </w:r>
      <w:r>
        <w:rPr>
          <w:rFonts w:hint="eastAsia" w:ascii="宋体" w:hAnsi="宋体"/>
        </w:rPr>
        <w:t>长汀县</w:t>
      </w:r>
      <w:r>
        <w:rPr>
          <w:rFonts w:ascii="宋体" w:hAnsi="宋体"/>
        </w:rPr>
        <w:t>农田灌溉亩均用水量为639m</w:t>
      </w:r>
      <w:r>
        <w:rPr>
          <w:rFonts w:ascii="宋体" w:hAnsi="宋体"/>
          <w:vertAlign w:val="superscript"/>
        </w:rPr>
        <w:t>3</w:t>
      </w:r>
      <w:r>
        <w:rPr>
          <w:rFonts w:ascii="宋体" w:hAnsi="宋体"/>
        </w:rPr>
        <w:t>，高于561m</w:t>
      </w:r>
      <w:r>
        <w:rPr>
          <w:rFonts w:ascii="宋体" w:hAnsi="宋体"/>
          <w:vertAlign w:val="superscript"/>
        </w:rPr>
        <w:t>3</w:t>
      </w:r>
      <w:r>
        <w:rPr>
          <w:rFonts w:ascii="宋体" w:hAnsi="宋体"/>
        </w:rPr>
        <w:t>的省平均水平。农田灌溉有效利用系数距离同类地区先进水平还有较大的进步空间。</w:t>
      </w:r>
    </w:p>
    <w:p w14:paraId="4D8D6D81">
      <w:pPr>
        <w:pStyle w:val="4"/>
        <w:numPr>
          <w:ilvl w:val="2"/>
          <w:numId w:val="2"/>
        </w:numPr>
        <w:rPr>
          <w:rFonts w:ascii="宋体" w:hAnsi="宋体"/>
          <w:b w:val="0"/>
          <w:color w:val="auto"/>
        </w:rPr>
      </w:pPr>
      <w:r>
        <w:rPr>
          <w:rFonts w:ascii="宋体" w:hAnsi="宋体"/>
          <w:b w:val="0"/>
          <w:color w:val="auto"/>
        </w:rPr>
        <w:t>水生态环境质量需稳定提升</w:t>
      </w:r>
    </w:p>
    <w:p w14:paraId="542F4B39">
      <w:pPr>
        <w:ind w:firstLine="566"/>
        <w:rPr>
          <w:rFonts w:ascii="宋体" w:hAnsi="宋体"/>
          <w:b/>
        </w:rPr>
      </w:pPr>
      <w:r>
        <w:rPr>
          <w:rFonts w:ascii="宋体" w:hAnsi="宋体"/>
          <w:b/>
        </w:rPr>
        <w:t>（1）流域水质稳定性有待提升</w:t>
      </w:r>
    </w:p>
    <w:p w14:paraId="5D191718">
      <w:pPr>
        <w:ind w:firstLine="566"/>
        <w:rPr>
          <w:rFonts w:ascii="宋体" w:hAnsi="宋体"/>
        </w:rPr>
      </w:pPr>
      <w:r>
        <w:rPr>
          <w:rFonts w:ascii="宋体" w:hAnsi="宋体"/>
        </w:rPr>
        <w:t>随着工业和城镇化的加快，点源和面源污染排放量也在</w:t>
      </w:r>
      <w:r>
        <w:rPr>
          <w:rFonts w:hint="eastAsia" w:ascii="宋体" w:hAnsi="宋体"/>
        </w:rPr>
        <w:t>不断增加。长汀县承担了全省稳产保供的重任，是生猪养殖、</w:t>
      </w:r>
      <w:r>
        <w:rPr>
          <w:rFonts w:ascii="宋体" w:hAnsi="宋体"/>
        </w:rPr>
        <w:t>农业种植重点区域，生猪养殖粪污资源化综合利用、农业生产废弃物处置还不够规范，导致部分断面和小流域个别月份水质不够稳定。污水管网建设不完善，雨污管网错接漏接现象仍存在，造成部分生活污水无法有效收集而直排入河问题。</w:t>
      </w:r>
      <w:r>
        <w:rPr>
          <w:rFonts w:hint="eastAsia" w:ascii="宋体" w:hAnsi="宋体"/>
        </w:rPr>
        <w:t>部分水库</w:t>
      </w:r>
      <w:r>
        <w:rPr>
          <w:rFonts w:ascii="宋体" w:hAnsi="宋体"/>
        </w:rPr>
        <w:t>受投饵型养殖围网影响，库区由中营养化向富营养化转变的趋势。</w:t>
      </w:r>
    </w:p>
    <w:p w14:paraId="2697EE14">
      <w:pPr>
        <w:ind w:firstLine="568" w:firstLineChars="202"/>
        <w:rPr>
          <w:rFonts w:ascii="宋体" w:hAnsi="宋体"/>
          <w:b/>
        </w:rPr>
      </w:pPr>
      <w:r>
        <w:rPr>
          <w:rFonts w:hint="eastAsia" w:ascii="宋体" w:hAnsi="宋体"/>
          <w:b/>
        </w:rPr>
        <w:t>（</w:t>
      </w:r>
      <w:r>
        <w:rPr>
          <w:rFonts w:ascii="宋体" w:hAnsi="宋体"/>
          <w:b/>
        </w:rPr>
        <w:t>2）河流生态韧性有待提升</w:t>
      </w:r>
    </w:p>
    <w:p w14:paraId="2D95407F">
      <w:pPr>
        <w:ind w:firstLine="565" w:firstLineChars="202"/>
        <w:rPr>
          <w:rFonts w:ascii="宋体" w:hAnsi="宋体"/>
        </w:rPr>
      </w:pPr>
      <w:r>
        <w:rPr>
          <w:rFonts w:hint="eastAsia" w:ascii="宋体" w:hAnsi="宋体"/>
        </w:rPr>
        <w:t>存在河道纵向连通性受损，河流水生生境遭到破坏。部</w:t>
      </w:r>
      <w:r>
        <w:rPr>
          <w:rFonts w:ascii="宋体" w:hAnsi="宋体"/>
        </w:rPr>
        <w:t>分流域闸坝和小水电站分布密集，破坏了河流纵向连通性，引发下游减水断流，湿地退化、岸坡退化，尤其是枯水期生态流量更难以保障；鱼类等水生物的生存、栖息环境受到影响，生物多样性降低。</w:t>
      </w:r>
    </w:p>
    <w:p w14:paraId="51D809B3">
      <w:pPr>
        <w:ind w:firstLine="568" w:firstLineChars="202"/>
        <w:rPr>
          <w:rFonts w:ascii="宋体" w:hAnsi="宋体"/>
          <w:b/>
        </w:rPr>
      </w:pPr>
      <w:r>
        <w:rPr>
          <w:rFonts w:hint="eastAsia" w:ascii="宋体" w:hAnsi="宋体"/>
          <w:b/>
        </w:rPr>
        <w:t>（</w:t>
      </w:r>
      <w:r>
        <w:rPr>
          <w:rFonts w:ascii="宋体" w:hAnsi="宋体"/>
          <w:b/>
        </w:rPr>
        <w:t>3）水土流失治理任务仍然较重</w:t>
      </w:r>
    </w:p>
    <w:p w14:paraId="67F8EF64">
      <w:pPr>
        <w:ind w:firstLine="565" w:firstLineChars="202"/>
        <w:rPr>
          <w:rFonts w:ascii="宋体" w:hAnsi="宋体"/>
        </w:rPr>
      </w:pPr>
      <w:r>
        <w:rPr>
          <w:rFonts w:hint="eastAsia" w:ascii="宋体" w:hAnsi="宋体"/>
        </w:rPr>
        <w:t>受制于水土流失面积大且分布在边远地区，治理成本较</w:t>
      </w:r>
      <w:r>
        <w:rPr>
          <w:rFonts w:ascii="宋体" w:hAnsi="宋体"/>
        </w:rPr>
        <w:t>高，加之人类生产建设活动时造成的水土流失隐患，水土流失治理任务仍较严峻。同时，已治理区域的生态仍较脆弱、存在二次退化风险。</w:t>
      </w:r>
    </w:p>
    <w:p w14:paraId="5669B3C9">
      <w:pPr>
        <w:pStyle w:val="4"/>
        <w:numPr>
          <w:ilvl w:val="2"/>
          <w:numId w:val="2"/>
        </w:numPr>
        <w:rPr>
          <w:rFonts w:ascii="宋体" w:hAnsi="宋体"/>
          <w:b w:val="0"/>
          <w:color w:val="auto"/>
        </w:rPr>
      </w:pPr>
      <w:r>
        <w:rPr>
          <w:rFonts w:ascii="宋体" w:hAnsi="宋体"/>
          <w:b w:val="0"/>
          <w:color w:val="auto"/>
        </w:rPr>
        <w:t>幸福河湖建设亟需拓展范围</w:t>
      </w:r>
    </w:p>
    <w:p w14:paraId="10FF97F8">
      <w:pPr>
        <w:ind w:firstLine="568" w:firstLineChars="202"/>
        <w:rPr>
          <w:rFonts w:ascii="宋体" w:hAnsi="宋体"/>
          <w:b/>
        </w:rPr>
      </w:pPr>
      <w:r>
        <w:rPr>
          <w:rFonts w:hint="eastAsia" w:ascii="宋体" w:hAnsi="宋体"/>
          <w:b/>
        </w:rPr>
        <w:t>（</w:t>
      </w:r>
      <w:r>
        <w:rPr>
          <w:rFonts w:ascii="宋体" w:hAnsi="宋体"/>
          <w:b/>
        </w:rPr>
        <w:t>1）幸福河湖建设尚处于起步阶段</w:t>
      </w:r>
    </w:p>
    <w:p w14:paraId="4BE653C3">
      <w:pPr>
        <w:ind w:firstLine="565" w:firstLineChars="202"/>
        <w:rPr>
          <w:rFonts w:ascii="宋体" w:hAnsi="宋体"/>
        </w:rPr>
      </w:pPr>
      <w:r>
        <w:rPr>
          <w:rFonts w:ascii="宋体" w:hAnsi="宋体"/>
        </w:rPr>
        <w:t>当前，</w:t>
      </w:r>
      <w:r>
        <w:rPr>
          <w:rFonts w:hint="eastAsia" w:ascii="宋体" w:hAnsi="宋体"/>
        </w:rPr>
        <w:t>长汀县</w:t>
      </w:r>
      <w:r>
        <w:rPr>
          <w:rFonts w:ascii="宋体" w:hAnsi="宋体"/>
        </w:rPr>
        <w:t>仅规划了濯田河幸福河湖实施方案，</w:t>
      </w:r>
      <w:r>
        <w:rPr>
          <w:rFonts w:hint="eastAsia" w:ascii="宋体" w:hAnsi="宋体"/>
        </w:rPr>
        <w:t>但对照国家六部委提出的幸福河湖</w:t>
      </w:r>
      <w:r>
        <w:rPr>
          <w:rFonts w:ascii="宋体" w:hAnsi="宋体"/>
        </w:rPr>
        <w:t>建设核心目标，以及《福建省全面建设八闽幸福河湖实施方案（2025—2030年）》中“全域覆盖、分类推进、价值转化”的具体任务要求，尚存明显不足，急需推动幸福河湖建设由“单点突破”向“全域提升”转变。</w:t>
      </w:r>
    </w:p>
    <w:p w14:paraId="5E28479D">
      <w:pPr>
        <w:ind w:firstLine="568" w:firstLineChars="202"/>
        <w:rPr>
          <w:rFonts w:ascii="宋体" w:hAnsi="宋体"/>
          <w:b/>
        </w:rPr>
      </w:pPr>
      <w:r>
        <w:rPr>
          <w:rFonts w:hint="eastAsia" w:ascii="宋体" w:hAnsi="宋体"/>
          <w:b/>
        </w:rPr>
        <w:t>（</w:t>
      </w:r>
      <w:r>
        <w:rPr>
          <w:rFonts w:ascii="宋体" w:hAnsi="宋体"/>
          <w:b/>
        </w:rPr>
        <w:t>2）水文化的挖掘、保护与传承存在不足</w:t>
      </w:r>
    </w:p>
    <w:p w14:paraId="4A5041D4">
      <w:pPr>
        <w:ind w:firstLine="565" w:firstLineChars="202"/>
        <w:rPr>
          <w:rFonts w:ascii="宋体" w:hAnsi="宋体"/>
        </w:rPr>
      </w:pPr>
      <w:r>
        <w:rPr>
          <w:rFonts w:hint="eastAsia" w:ascii="宋体" w:hAnsi="宋体"/>
        </w:rPr>
        <w:t>长汀县虽拥有汀江等承载红色记忆与客家底蕴</w:t>
      </w:r>
      <w:r>
        <w:rPr>
          <w:rFonts w:ascii="宋体" w:hAnsi="宋体"/>
        </w:rPr>
        <w:t>的水系资源，但在水文化挖掘、保护与传承方面仍存在“深度不足、布局分散、效果薄弱”等显著短板，致使水文化与文旅产业的融合不足，未能形成特色品牌及相应的经济价值。对于与水相关的非物质文化遗产、民俗活动等，其传承与推广力度不够，尚未形成广泛的社会认知和影响力。</w:t>
      </w:r>
    </w:p>
    <w:p w14:paraId="03FA3C29">
      <w:pPr>
        <w:ind w:firstLine="568" w:firstLineChars="202"/>
        <w:rPr>
          <w:rFonts w:ascii="宋体" w:hAnsi="宋体"/>
          <w:b/>
        </w:rPr>
      </w:pPr>
      <w:r>
        <w:rPr>
          <w:rFonts w:hint="eastAsia" w:ascii="宋体" w:hAnsi="宋体"/>
          <w:b/>
        </w:rPr>
        <w:t>（</w:t>
      </w:r>
      <w:r>
        <w:rPr>
          <w:rFonts w:ascii="宋体" w:hAnsi="宋体"/>
          <w:b/>
        </w:rPr>
        <w:t>3）生态产品价值实现机制仍处于探索阶段</w:t>
      </w:r>
    </w:p>
    <w:p w14:paraId="0F85BFB1">
      <w:pPr>
        <w:ind w:firstLine="565" w:firstLineChars="202"/>
        <w:rPr>
          <w:rFonts w:ascii="宋体" w:hAnsi="宋体"/>
        </w:rPr>
      </w:pPr>
      <w:r>
        <w:rPr>
          <w:rFonts w:hint="eastAsia" w:ascii="宋体" w:hAnsi="宋体"/>
        </w:rPr>
        <w:t>长汀县生态产品价值转化与水经济发展仍处于起步阶</w:t>
      </w:r>
      <w:r>
        <w:rPr>
          <w:rFonts w:ascii="宋体" w:hAnsi="宋体"/>
        </w:rPr>
        <w:t>段，制约了生态优势向发展优势的有效转化。优质水经济资源开发利用尚不充分，在品牌建设与市场推广层面存在明显不足。品牌知名度与影响力主要局限于本地及周边区域，缺乏系统化的市场推广策略与高效营销渠道，难以实现资源禀</w:t>
      </w:r>
      <w:r>
        <w:rPr>
          <w:rFonts w:hint="eastAsia" w:ascii="宋体" w:hAnsi="宋体"/>
        </w:rPr>
        <w:t>赋向市场竞争力的转化。产品创新深度有待拓展，涉水文旅、</w:t>
      </w:r>
      <w:r>
        <w:rPr>
          <w:rFonts w:ascii="宋体" w:hAnsi="宋体"/>
        </w:rPr>
        <w:t>康养产品同质化现象突出，对水经济产业发展的支撑能力亟待加强。</w:t>
      </w:r>
    </w:p>
    <w:p w14:paraId="1917A6F8">
      <w:pPr>
        <w:ind w:firstLine="568" w:firstLineChars="202"/>
        <w:rPr>
          <w:rFonts w:ascii="宋体" w:hAnsi="宋体"/>
          <w:b/>
        </w:rPr>
      </w:pPr>
      <w:r>
        <w:rPr>
          <w:rFonts w:ascii="宋体" w:hAnsi="宋体"/>
          <w:b/>
        </w:rPr>
        <w:t>5.水利数字孪生建设亟需推进</w:t>
      </w:r>
    </w:p>
    <w:p w14:paraId="021F30DF">
      <w:pPr>
        <w:ind w:firstLine="568" w:firstLineChars="202"/>
        <w:rPr>
          <w:rFonts w:ascii="宋体" w:hAnsi="宋体"/>
          <w:b/>
        </w:rPr>
      </w:pPr>
      <w:r>
        <w:rPr>
          <w:rFonts w:hint="eastAsia" w:ascii="宋体" w:hAnsi="宋体"/>
          <w:b/>
        </w:rPr>
        <w:t>（</w:t>
      </w:r>
      <w:r>
        <w:rPr>
          <w:rFonts w:ascii="宋体" w:hAnsi="宋体"/>
          <w:b/>
        </w:rPr>
        <w:t>1）监测感知与网络信息化覆盖程度有待提升</w:t>
      </w:r>
    </w:p>
    <w:p w14:paraId="68FED13F">
      <w:pPr>
        <w:ind w:firstLine="565" w:firstLineChars="202"/>
        <w:rPr>
          <w:rFonts w:ascii="宋体" w:hAnsi="宋体"/>
        </w:rPr>
      </w:pPr>
      <w:r>
        <w:rPr>
          <w:rFonts w:ascii="宋体" w:hAnsi="宋体"/>
        </w:rPr>
        <w:t>汀江</w:t>
      </w:r>
      <w:r>
        <w:rPr>
          <w:rFonts w:hint="eastAsia" w:ascii="宋体" w:hAnsi="宋体"/>
        </w:rPr>
        <w:t>为长汀县</w:t>
      </w:r>
      <w:r>
        <w:rPr>
          <w:rFonts w:ascii="宋体" w:hAnsi="宋体"/>
        </w:rPr>
        <w:t>主要河流，</w:t>
      </w:r>
      <w:r>
        <w:rPr>
          <w:rFonts w:hint="eastAsia" w:ascii="宋体" w:hAnsi="宋体"/>
        </w:rPr>
        <w:t>是监测感知重点建设区域，但当前长汀县支撑流域管理的水</w:t>
      </w:r>
      <w:r>
        <w:rPr>
          <w:rFonts w:ascii="宋体" w:hAnsi="宋体"/>
        </w:rPr>
        <w:t>利感知监测网络存在明显短板，现有监测站点呈现出布设密度偏低、覆盖范围不全、监测要素不足及自动化水平较低的特点，缺乏无人机、卫星遥感及人工智能等新一代信息技术的有效支撑，尚未形成“天空地水工”一体化智能透彻感知体系，整体感知能力滞后。关键领域如取用水计量、生态流量、水土流失等感知能力薄弱，亟待加强完善。信息网络覆盖仍不全面，带宽受限，应急通信保障能力较弱，难以支撑大规模、实时性的数据传输与调度需求。</w:t>
      </w:r>
    </w:p>
    <w:p w14:paraId="12AE5F11">
      <w:pPr>
        <w:ind w:firstLine="568" w:firstLineChars="202"/>
        <w:rPr>
          <w:rFonts w:ascii="宋体" w:hAnsi="宋体"/>
          <w:b/>
        </w:rPr>
      </w:pPr>
      <w:r>
        <w:rPr>
          <w:rFonts w:hint="eastAsia" w:ascii="宋体" w:hAnsi="宋体"/>
          <w:b/>
        </w:rPr>
        <w:t>（</w:t>
      </w:r>
      <w:r>
        <w:rPr>
          <w:rFonts w:ascii="宋体" w:hAnsi="宋体"/>
          <w:b/>
        </w:rPr>
        <w:t>2）数据资源体系不健全影响流域数字化支撑能力</w:t>
      </w:r>
    </w:p>
    <w:p w14:paraId="38EC1CB0">
      <w:pPr>
        <w:ind w:firstLine="565" w:firstLineChars="202"/>
        <w:rPr>
          <w:rFonts w:ascii="宋体" w:hAnsi="宋体"/>
        </w:rPr>
      </w:pPr>
      <w:r>
        <w:rPr>
          <w:rFonts w:hint="eastAsia" w:ascii="宋体" w:hAnsi="宋体"/>
        </w:rPr>
        <w:t>水利数据资源体系存在数据来源分散、标准不一、对象</w:t>
      </w:r>
      <w:r>
        <w:rPr>
          <w:rFonts w:ascii="宋体" w:hAnsi="宋体"/>
        </w:rPr>
        <w:t>编码不统一等问题</w:t>
      </w:r>
      <w:r>
        <w:rPr>
          <w:rFonts w:hint="eastAsia" w:ascii="宋体" w:hAnsi="宋体"/>
        </w:rPr>
        <w:t>，</w:t>
      </w:r>
      <w:r>
        <w:rPr>
          <w:rFonts w:ascii="宋体" w:hAnsi="宋体"/>
        </w:rPr>
        <w:t>内部业务系统间数据重复采集、冗余存储现象突出，数据共享机制尚未建立完善，导致“数据孤岛”严重。同时，外部关联数据例如气象、环境、社会经济等融入不足，外部数据接入功能有限。互联网数据在水利领域的</w:t>
      </w:r>
      <w:r>
        <w:rPr>
          <w:rFonts w:hint="eastAsia" w:ascii="宋体" w:hAnsi="宋体"/>
        </w:rPr>
        <w:t>应用处于起步探索阶段，仍无法为全流域数字化映射和深度</w:t>
      </w:r>
      <w:r>
        <w:rPr>
          <w:rFonts w:ascii="宋体" w:hAnsi="宋体"/>
        </w:rPr>
        <w:t>融合分析提供有力支撑。多源数据汇集体量庞大，缺乏统一数据归类、清洗及处理服务，难以规范管理数据整体质量，亟需提升数据资源的规范性和可用性。</w:t>
      </w:r>
    </w:p>
    <w:p w14:paraId="55155059">
      <w:pPr>
        <w:ind w:firstLine="568" w:firstLineChars="202"/>
        <w:rPr>
          <w:rFonts w:ascii="宋体" w:hAnsi="宋体"/>
          <w:b/>
        </w:rPr>
      </w:pPr>
      <w:r>
        <w:rPr>
          <w:rFonts w:hint="eastAsia" w:ascii="宋体" w:hAnsi="宋体"/>
          <w:b/>
        </w:rPr>
        <w:t>（</w:t>
      </w:r>
      <w:r>
        <w:rPr>
          <w:rFonts w:ascii="宋体" w:hAnsi="宋体"/>
          <w:b/>
        </w:rPr>
        <w:t>3）业务应用智能化水平不足制约决策支撑作用</w:t>
      </w:r>
    </w:p>
    <w:p w14:paraId="2DB839F4">
      <w:pPr>
        <w:ind w:firstLine="565" w:firstLineChars="202"/>
        <w:rPr>
          <w:rFonts w:ascii="宋体" w:hAnsi="宋体"/>
        </w:rPr>
      </w:pPr>
      <w:r>
        <w:rPr>
          <w:rFonts w:hint="eastAsia" w:ascii="宋体" w:hAnsi="宋体"/>
        </w:rPr>
        <w:t>现有系统功能尚未成熟完善，多侧重基础信息管理，难</w:t>
      </w:r>
      <w:r>
        <w:rPr>
          <w:rFonts w:ascii="宋体" w:hAnsi="宋体"/>
        </w:rPr>
        <w:t>以满足水利业务精细化管理及智慧化要求，且系统之间分散建设、协同联动困难，未形成统一的管理架构和服务支撑体系。现流域防汛和水资源调配应用平台大多数停留在监测和预报阶段，缺乏对“四预”功能的深度开发与应用，数字孪生、人工智能、物联感知等先进技术实践仍处于初步阶段，尚未具备实现流域数字化映射、智慧化模拟及精准化决策的核心支撑能力。</w:t>
      </w:r>
    </w:p>
    <w:p w14:paraId="0F941465">
      <w:pPr>
        <w:ind w:firstLine="568" w:firstLineChars="202"/>
        <w:rPr>
          <w:rFonts w:ascii="宋体" w:hAnsi="宋体"/>
          <w:b/>
        </w:rPr>
      </w:pPr>
      <w:r>
        <w:rPr>
          <w:rFonts w:hint="eastAsia" w:ascii="宋体" w:hAnsi="宋体"/>
          <w:b/>
        </w:rPr>
        <w:t>（</w:t>
      </w:r>
      <w:r>
        <w:rPr>
          <w:rFonts w:ascii="宋体" w:hAnsi="宋体"/>
          <w:b/>
        </w:rPr>
        <w:t>4）网络安全防护体系薄弱存在运行风险隐患</w:t>
      </w:r>
    </w:p>
    <w:p w14:paraId="3EDF167F">
      <w:pPr>
        <w:ind w:firstLine="565" w:firstLineChars="202"/>
        <w:rPr>
          <w:rFonts w:ascii="宋体" w:hAnsi="宋体"/>
        </w:rPr>
      </w:pPr>
      <w:r>
        <w:rPr>
          <w:rFonts w:hint="eastAsia" w:ascii="宋体" w:hAnsi="宋体"/>
        </w:rPr>
        <w:t>当前工控系统安全防护能力薄弱，基层水利单位仅具备</w:t>
      </w:r>
      <w:r>
        <w:rPr>
          <w:rFonts w:ascii="宋体" w:hAnsi="宋体"/>
        </w:rPr>
        <w:t>基础网络安全防护能力，网络安全设施配备欠缺，网络安全管理及运营体系尚未健全，数据传输、存储与应用过程存在潜在安全风险，整体网络安全防御水平与智慧水利高质量发展要求之间存在显著差距。</w:t>
      </w:r>
    </w:p>
    <w:p w14:paraId="0F6EDBA2">
      <w:pPr>
        <w:pStyle w:val="4"/>
        <w:numPr>
          <w:ilvl w:val="2"/>
          <w:numId w:val="2"/>
        </w:numPr>
        <w:rPr>
          <w:rFonts w:ascii="宋体" w:hAnsi="宋体"/>
          <w:b w:val="0"/>
          <w:color w:val="auto"/>
        </w:rPr>
      </w:pPr>
      <w:r>
        <w:rPr>
          <w:rFonts w:ascii="宋体" w:hAnsi="宋体"/>
          <w:b w:val="0"/>
          <w:color w:val="auto"/>
        </w:rPr>
        <w:t>水利监管能力需进一步加强</w:t>
      </w:r>
    </w:p>
    <w:p w14:paraId="42CA3D02">
      <w:pPr>
        <w:ind w:firstLine="565" w:firstLineChars="202"/>
        <w:rPr>
          <w:rFonts w:ascii="宋体" w:hAnsi="宋体"/>
        </w:rPr>
      </w:pPr>
      <w:r>
        <w:rPr>
          <w:rFonts w:hint="eastAsia" w:ascii="宋体" w:hAnsi="宋体"/>
        </w:rPr>
        <w:t>管理机制仍然存在短板，水行政执法力度不够</w:t>
      </w:r>
      <w:r>
        <w:rPr>
          <w:rFonts w:ascii="宋体" w:hAnsi="宋体"/>
        </w:rPr>
        <w:t>,因行政</w:t>
      </w:r>
      <w:r>
        <w:rPr>
          <w:rFonts w:hint="eastAsia" w:ascii="宋体" w:hAnsi="宋体"/>
        </w:rPr>
        <w:t>执法体制机制改革，水行政执法人员转隶，机关人员仅履行</w:t>
      </w:r>
      <w:r>
        <w:rPr>
          <w:rFonts w:ascii="宋体" w:hAnsi="宋体"/>
        </w:rPr>
        <w:t>一些日常巡查、监督、检查工作。执法体制机制还不够完善。水行政执法部门和综合执法机构职责分工还不清晰，案件线索移交还不够顺畅。重大行政决策程序还不够规范,业务科室对规范性文件和重大行政决策理解不够准确，程序还不够规范；水利工程投资是主要以政府为投资主体及债券为主的融资模式，社会资金和外资参与程度不高，稳定的水利投入增长机制尚未形成。</w:t>
      </w:r>
    </w:p>
    <w:p w14:paraId="0EAFC425">
      <w:pPr>
        <w:ind w:firstLine="565" w:firstLineChars="202"/>
        <w:rPr>
          <w:rFonts w:ascii="宋体" w:hAnsi="宋体"/>
        </w:rPr>
      </w:pPr>
    </w:p>
    <w:p w14:paraId="5B01B1F2">
      <w:pPr>
        <w:ind w:firstLine="565" w:firstLineChars="202"/>
        <w:rPr>
          <w:rFonts w:ascii="宋体" w:hAnsi="宋体"/>
        </w:rPr>
        <w:sectPr>
          <w:footerReference r:id="rId13" w:type="default"/>
          <w:pgSz w:w="11906" w:h="16838"/>
          <w:pgMar w:top="1440" w:right="1800" w:bottom="1440" w:left="1800" w:header="851" w:footer="992" w:gutter="0"/>
          <w:pgNumType w:start="1"/>
          <w:cols w:space="425" w:num="1"/>
          <w:docGrid w:type="lines" w:linePitch="312" w:charSpace="0"/>
        </w:sectPr>
      </w:pPr>
    </w:p>
    <w:p w14:paraId="24520B82">
      <w:pPr>
        <w:pStyle w:val="2"/>
        <w:numPr>
          <w:ilvl w:val="0"/>
          <w:numId w:val="2"/>
        </w:numPr>
        <w:jc w:val="center"/>
        <w:rPr>
          <w:rFonts w:ascii="宋体" w:hAnsi="宋体"/>
          <w:b/>
          <w:bCs/>
          <w:color w:val="auto"/>
        </w:rPr>
      </w:pPr>
      <w:bookmarkStart w:id="14" w:name="_Toc216791686"/>
      <w:r>
        <w:rPr>
          <w:rFonts w:hint="eastAsia" w:ascii="宋体" w:hAnsi="宋体"/>
          <w:b/>
          <w:bCs/>
          <w:color w:val="auto"/>
        </w:rPr>
        <w:t>形势与挑战</w:t>
      </w:r>
      <w:bookmarkEnd w:id="14"/>
    </w:p>
    <w:p w14:paraId="08B49E60">
      <w:pPr>
        <w:pStyle w:val="3"/>
        <w:numPr>
          <w:ilvl w:val="1"/>
          <w:numId w:val="2"/>
        </w:numPr>
        <w:rPr>
          <w:rFonts w:ascii="宋体" w:hAnsi="宋体"/>
          <w:color w:val="auto"/>
        </w:rPr>
      </w:pPr>
      <w:bookmarkStart w:id="15" w:name="_Toc216791687"/>
      <w:r>
        <w:rPr>
          <w:rFonts w:hint="eastAsia" w:ascii="宋体" w:hAnsi="宋体"/>
          <w:color w:val="auto"/>
        </w:rPr>
        <w:t>形势与挑战</w:t>
      </w:r>
      <w:bookmarkEnd w:id="15"/>
    </w:p>
    <w:p w14:paraId="0B3248C8">
      <w:pPr>
        <w:pStyle w:val="4"/>
        <w:numPr>
          <w:ilvl w:val="2"/>
          <w:numId w:val="2"/>
        </w:numPr>
        <w:rPr>
          <w:rFonts w:ascii="宋体" w:hAnsi="宋体"/>
          <w:color w:val="auto"/>
        </w:rPr>
      </w:pPr>
      <w:r>
        <w:rPr>
          <w:rFonts w:hint="eastAsia" w:ascii="宋体" w:hAnsi="宋体"/>
          <w:color w:val="auto"/>
        </w:rPr>
        <w:t>习近平总书记关于治水重要讲话指示</w:t>
      </w:r>
    </w:p>
    <w:p w14:paraId="3A7F5DFB">
      <w:pPr>
        <w:ind w:firstLine="560" w:firstLineChars="200"/>
        <w:rPr>
          <w:rFonts w:ascii="宋体" w:hAnsi="宋体"/>
        </w:rPr>
      </w:pPr>
      <w:r>
        <w:rPr>
          <w:rFonts w:hint="eastAsia" w:ascii="宋体" w:hAnsi="宋体"/>
        </w:rPr>
        <w:t>习近平总书记多次就治水工作发表重要讲话，作出重要</w:t>
      </w:r>
      <w:r>
        <w:rPr>
          <w:rFonts w:ascii="宋体" w:hAnsi="宋体"/>
        </w:rPr>
        <w:t>指示批示，提出一系列新思想、新战略、新要求。福建是习近平新时代中国特色社会主义思想的重要孕育地和实践地。习近平总书记曾在福建工作十七年半，开创了一系列重要理念和重大实践，这是福建发展最为重大且独特的优势。2025年10月，习近平总书记就《中共中央关于制定国民经济和社会发展第十五个五年规划的建议》作出重要说明，进一步明确了“十五五”时期的前进方向。讲话将因地制宜发展新质生产力置于更加突出的战略位置，指出发展新质生产力是推</w:t>
      </w:r>
      <w:r>
        <w:rPr>
          <w:rFonts w:hint="eastAsia" w:ascii="宋体" w:hAnsi="宋体"/>
        </w:rPr>
        <w:t>进中国式现代化的必然要求。这些重要论述为福建高质量发</w:t>
      </w:r>
      <w:r>
        <w:rPr>
          <w:rFonts w:ascii="宋体" w:hAnsi="宋体"/>
        </w:rPr>
        <w:t>展确立了新目标、赋予了深切期望、注入了强劲动力，同时也为</w:t>
      </w:r>
      <w:r>
        <w:rPr>
          <w:rFonts w:hint="eastAsia" w:ascii="宋体" w:hAnsi="宋体"/>
        </w:rPr>
        <w:t>长汀县</w:t>
      </w:r>
      <w:r>
        <w:rPr>
          <w:rFonts w:ascii="宋体" w:hAnsi="宋体"/>
        </w:rPr>
        <w:t>“十五五”水安全保障规划指明了实施路径，为全</w:t>
      </w:r>
      <w:r>
        <w:rPr>
          <w:rFonts w:hint="eastAsia" w:ascii="宋体" w:hAnsi="宋体"/>
        </w:rPr>
        <w:t>县</w:t>
      </w:r>
      <w:r>
        <w:rPr>
          <w:rFonts w:ascii="宋体" w:hAnsi="宋体"/>
        </w:rPr>
        <w:t>水利工作提供了根本遵循与行动指南。</w:t>
      </w:r>
    </w:p>
    <w:p w14:paraId="2BDDD34E">
      <w:pPr>
        <w:pStyle w:val="4"/>
        <w:numPr>
          <w:ilvl w:val="2"/>
          <w:numId w:val="2"/>
        </w:numPr>
        <w:rPr>
          <w:rFonts w:ascii="宋体" w:hAnsi="宋体"/>
          <w:color w:val="auto"/>
        </w:rPr>
      </w:pPr>
      <w:r>
        <w:rPr>
          <w:rFonts w:hint="eastAsia" w:ascii="宋体" w:hAnsi="宋体"/>
          <w:color w:val="auto"/>
        </w:rPr>
        <w:t>国家水网建设为强化水安全保障带来新机遇</w:t>
      </w:r>
    </w:p>
    <w:p w14:paraId="3214C288">
      <w:pPr>
        <w:ind w:firstLine="565" w:firstLineChars="202"/>
        <w:rPr>
          <w:rFonts w:ascii="宋体" w:hAnsi="宋体"/>
        </w:rPr>
      </w:pPr>
      <w:r>
        <w:rPr>
          <w:rFonts w:hint="eastAsia" w:ascii="宋体" w:hAnsi="宋体"/>
        </w:rPr>
        <w:t>《国家水网建设规划纲要》提出了“到</w:t>
      </w:r>
      <w:r>
        <w:rPr>
          <w:rFonts w:ascii="宋体" w:hAnsi="宋体"/>
        </w:rPr>
        <w:t>2035年，基本形成国家水网总体格局，国家水网主骨架和大动脉逐步建成，省市县水网基本完善，构建与基本实现社会主义现代化相适应的国家水安全保障体系”。国家水网建设仍属于“十五五”时期水利发展的顶层设计。充分考量水利基础设施网络与国家水网的新要求，紧密结合</w:t>
      </w:r>
      <w:r>
        <w:rPr>
          <w:rFonts w:hint="eastAsia" w:ascii="宋体" w:hAnsi="宋体"/>
        </w:rPr>
        <w:t>长汀</w:t>
      </w:r>
      <w:r>
        <w:rPr>
          <w:rFonts w:ascii="宋体" w:hAnsi="宋体"/>
        </w:rPr>
        <w:t>的区域特点及治水需求，加快构建</w:t>
      </w:r>
      <w:r>
        <w:rPr>
          <w:rFonts w:hint="eastAsia" w:ascii="宋体" w:hAnsi="宋体"/>
        </w:rPr>
        <w:t>长汀</w:t>
      </w:r>
      <w:r>
        <w:rPr>
          <w:rFonts w:ascii="宋体" w:hAnsi="宋体"/>
        </w:rPr>
        <w:t>水网，提升水安全保障能力，是</w:t>
      </w:r>
      <w:r>
        <w:rPr>
          <w:rFonts w:hint="eastAsia" w:ascii="宋体" w:hAnsi="宋体"/>
        </w:rPr>
        <w:t>长汀</w:t>
      </w:r>
      <w:r>
        <w:rPr>
          <w:rFonts w:ascii="宋体" w:hAnsi="宋体"/>
        </w:rPr>
        <w:t>未来一段时期内保障防洪安全、供水安全、生态安全乃至粮食安全、经济安全的“压舱石”，是深入践行上级相关决策部署的必然要求，也是衔接协</w:t>
      </w:r>
      <w:r>
        <w:rPr>
          <w:rFonts w:hint="eastAsia" w:ascii="宋体" w:hAnsi="宋体"/>
        </w:rPr>
        <w:t>调福建省省级层面和龙岩市地级层面</w:t>
      </w:r>
      <w:r>
        <w:rPr>
          <w:rFonts w:ascii="宋体" w:hAnsi="宋体"/>
        </w:rPr>
        <w:t>水安全保障体系与水网体系的关键举措。</w:t>
      </w:r>
    </w:p>
    <w:p w14:paraId="1B5EC514">
      <w:pPr>
        <w:pStyle w:val="4"/>
        <w:numPr>
          <w:ilvl w:val="2"/>
          <w:numId w:val="2"/>
        </w:numPr>
        <w:rPr>
          <w:rFonts w:ascii="宋体" w:hAnsi="宋体"/>
          <w:color w:val="auto"/>
        </w:rPr>
      </w:pPr>
      <w:r>
        <w:rPr>
          <w:rFonts w:hint="eastAsia" w:ascii="宋体" w:hAnsi="宋体"/>
          <w:color w:val="auto"/>
        </w:rPr>
        <w:t>革命苏区振兴对长汀县高质量发展提出新要求</w:t>
      </w:r>
    </w:p>
    <w:p w14:paraId="2DDAC268">
      <w:pPr>
        <w:ind w:firstLine="565" w:firstLineChars="202"/>
        <w:rPr>
          <w:rFonts w:ascii="宋体" w:hAnsi="宋体"/>
        </w:rPr>
      </w:pPr>
      <w:r>
        <w:rPr>
          <w:rFonts w:hint="eastAsia" w:ascii="宋体" w:hAnsi="宋体"/>
        </w:rPr>
        <w:t>长汀，作为原中央苏区的核心区域和中央红军长征的重要出发地之一，被誉为“红色小上海”和“红军故乡”，在中国革命史上占有极其特殊的地位。因此，革命苏区振兴战略对长汀而言，承载着更深厚的政治意义和更迫切的发展期望。</w:t>
      </w:r>
      <w:r>
        <w:rPr>
          <w:rFonts w:ascii="宋体" w:hAnsi="宋体"/>
        </w:rPr>
        <w:t>2012年6月，《国务院关于支持赣南等原中央苏区振兴发展的若干意见》正式颁布实施。2014年3月，国家发展改革委颁布《赣闽粤原中央苏区振兴发展规划》（国函〔2014〕32号），明确提出加快水利设施建设，提升防洪能力与供水保障能力，推动赣闽粤等原中央苏区实现全面振兴与跨越式发展。2021</w:t>
      </w:r>
      <w:r>
        <w:rPr>
          <w:rFonts w:hint="eastAsia" w:ascii="宋体" w:hAnsi="宋体"/>
        </w:rPr>
        <w:t>年2月</w:t>
      </w:r>
      <w:r>
        <w:rPr>
          <w:rFonts w:ascii="宋体" w:hAnsi="宋体"/>
        </w:rPr>
        <w:t>，国务院印发《关于新时代支持革命老区振兴发展的意见》，对新时代革命老区振兴发展工作确立任务与要求，指出需“建设一批重点水源工程和大型灌区工程，推进大中型灌区续建配套与现代化改造、中小河流</w:t>
      </w:r>
      <w:r>
        <w:rPr>
          <w:rFonts w:hint="eastAsia" w:ascii="宋体" w:hAnsi="宋体"/>
        </w:rPr>
        <w:t>治理、病</w:t>
      </w:r>
      <w:r>
        <w:rPr>
          <w:rFonts w:ascii="宋体" w:hAnsi="宋体"/>
        </w:rPr>
        <w:t>险水库除险加固和山洪灾害防治等工程”。</w:t>
      </w:r>
      <w:r>
        <w:rPr>
          <w:rFonts w:hint="eastAsia" w:ascii="宋体" w:hAnsi="宋体"/>
        </w:rPr>
        <w:t>长汀</w:t>
      </w:r>
      <w:r>
        <w:rPr>
          <w:rFonts w:ascii="宋体" w:hAnsi="宋体"/>
        </w:rPr>
        <w:t>水利工作应牢牢把握新一轮革命老区振兴发展的重大机遇，在“十五五”期间完善水利基础设施网络，以高效能治理推动高质量发展和高水平安全的良性互动，以新安全格局保障新发展格局，全力推进</w:t>
      </w:r>
      <w:r>
        <w:rPr>
          <w:rFonts w:hint="eastAsia" w:ascii="宋体" w:hAnsi="宋体"/>
        </w:rPr>
        <w:t>长汀县</w:t>
      </w:r>
      <w:r>
        <w:rPr>
          <w:rFonts w:ascii="宋体" w:hAnsi="宋体"/>
        </w:rPr>
        <w:t>水利高质量跨越式发展。</w:t>
      </w:r>
    </w:p>
    <w:p w14:paraId="20FB637A">
      <w:pPr>
        <w:pStyle w:val="4"/>
        <w:numPr>
          <w:ilvl w:val="2"/>
          <w:numId w:val="2"/>
        </w:numPr>
        <w:rPr>
          <w:rFonts w:ascii="宋体" w:hAnsi="宋体"/>
          <w:color w:val="auto"/>
        </w:rPr>
      </w:pPr>
      <w:r>
        <w:rPr>
          <w:rFonts w:hint="eastAsia" w:ascii="宋体" w:hAnsi="宋体"/>
          <w:color w:val="auto"/>
        </w:rPr>
        <w:t>人民群众对城区水利高质量发展提出新期盼</w:t>
      </w:r>
    </w:p>
    <w:p w14:paraId="492E47D0">
      <w:pPr>
        <w:ind w:firstLine="565" w:firstLineChars="202"/>
        <w:rPr>
          <w:rFonts w:ascii="宋体" w:hAnsi="宋体"/>
        </w:rPr>
      </w:pPr>
      <w:r>
        <w:rPr>
          <w:rFonts w:hint="eastAsia" w:ascii="宋体" w:hAnsi="宋体"/>
        </w:rPr>
        <w:t>以造福人民为根本价值取向，以增进民生福祉为发展的</w:t>
      </w:r>
      <w:r>
        <w:rPr>
          <w:rFonts w:ascii="宋体" w:hAnsi="宋体"/>
        </w:rPr>
        <w:t>根本目的，既是水利事业的初心使命，亦是中国式现代化实践的必然要求。习近平总书记深刻指出，中国式现代化是全体人民共同富裕的社会主义现代化，必须在发展中保障和改善民生，稳步推动共同富裕。新时代背景下，人民群众对高品质生活的需求日益增长，对美好生活的向往愈发强烈，并向着“更高质量、更丰富内涵、更具获得感”的方向升级。立足国家新型城镇化战略中“宜居、韧性、智慧”</w:t>
      </w:r>
      <w:r>
        <w:rPr>
          <w:rFonts w:hint="eastAsia" w:ascii="宋体" w:hAnsi="宋体"/>
        </w:rPr>
        <w:t>城区</w:t>
      </w:r>
      <w:r>
        <w:rPr>
          <w:rFonts w:ascii="宋体" w:hAnsi="宋体"/>
        </w:rPr>
        <w:t>的顶层规划，顺应人民群众日益增长的美好生活需要，水利治理</w:t>
      </w:r>
      <w:r>
        <w:rPr>
          <w:rFonts w:hint="eastAsia" w:ascii="宋体" w:hAnsi="宋体"/>
        </w:rPr>
        <w:t>正经历一场深刻转型，从“单一防洪、供水”的功能定位，</w:t>
      </w:r>
      <w:r>
        <w:rPr>
          <w:rFonts w:ascii="宋体" w:hAnsi="宋体"/>
        </w:rPr>
        <w:t>拓展至“生态、经济、文化”多元价值的协同实现。“十五五”期间，</w:t>
      </w:r>
      <w:r>
        <w:rPr>
          <w:rFonts w:hint="eastAsia" w:ascii="宋体" w:hAnsi="宋体"/>
        </w:rPr>
        <w:t>长汀县</w:t>
      </w:r>
      <w:r>
        <w:rPr>
          <w:rFonts w:ascii="宋体" w:hAnsi="宋体"/>
        </w:rPr>
        <w:t>需更好地满足人民群众对安全水屏障、优质水资源、健康水生态、宜居水环境、先进水文化的高质量需求，书写人水和谐的现代化水利治理新篇章。</w:t>
      </w:r>
    </w:p>
    <w:p w14:paraId="549D33E2">
      <w:pPr>
        <w:widowControl/>
        <w:spacing w:line="240" w:lineRule="auto"/>
        <w:jc w:val="left"/>
        <w:rPr>
          <w:rFonts w:ascii="宋体" w:hAnsi="宋体"/>
        </w:rPr>
      </w:pPr>
      <w:r>
        <w:rPr>
          <w:rFonts w:ascii="宋体" w:hAnsi="宋体"/>
        </w:rPr>
        <w:br w:type="page"/>
      </w:r>
    </w:p>
    <w:p w14:paraId="7183423F">
      <w:pPr>
        <w:pStyle w:val="2"/>
        <w:numPr>
          <w:ilvl w:val="0"/>
          <w:numId w:val="2"/>
        </w:numPr>
        <w:jc w:val="center"/>
        <w:rPr>
          <w:rFonts w:ascii="宋体" w:hAnsi="宋体"/>
          <w:b/>
          <w:bCs/>
          <w:color w:val="auto"/>
        </w:rPr>
      </w:pPr>
      <w:bookmarkStart w:id="16" w:name="_Toc216791688"/>
      <w:r>
        <w:rPr>
          <w:rFonts w:hint="eastAsia" w:ascii="宋体" w:hAnsi="宋体"/>
          <w:b/>
          <w:bCs/>
          <w:color w:val="auto"/>
        </w:rPr>
        <w:t>总体要求</w:t>
      </w:r>
      <w:bookmarkEnd w:id="16"/>
    </w:p>
    <w:p w14:paraId="0D55DCA4">
      <w:pPr>
        <w:pStyle w:val="3"/>
        <w:numPr>
          <w:ilvl w:val="1"/>
          <w:numId w:val="2"/>
        </w:numPr>
        <w:rPr>
          <w:rFonts w:ascii="宋体" w:hAnsi="宋体"/>
          <w:color w:val="auto"/>
        </w:rPr>
      </w:pPr>
      <w:bookmarkStart w:id="17" w:name="_Toc216791689"/>
      <w:r>
        <w:rPr>
          <w:rFonts w:hint="eastAsia" w:ascii="宋体" w:hAnsi="宋体"/>
          <w:color w:val="auto"/>
        </w:rPr>
        <w:t>指导思想</w:t>
      </w:r>
      <w:bookmarkEnd w:id="17"/>
    </w:p>
    <w:p w14:paraId="020A7883">
      <w:pPr>
        <w:ind w:firstLine="565" w:firstLineChars="202"/>
        <w:rPr>
          <w:rFonts w:ascii="宋体" w:hAnsi="宋体"/>
        </w:rPr>
      </w:pPr>
      <w:r>
        <w:rPr>
          <w:rFonts w:hint="eastAsia" w:ascii="宋体" w:hAnsi="宋体"/>
        </w:rPr>
        <w:t>以习近平新时代中国特色社会主义思想为指导，全面</w:t>
      </w:r>
      <w:r>
        <w:rPr>
          <w:rFonts w:ascii="宋体" w:hAnsi="宋体"/>
        </w:rPr>
        <w:t>贯彻党的二十大及二十届历次全会精神，深入践行习近平生态文明思想与国家江河战略，严格落实“节水优先、空间均衡、系统治理、两手发力”治水思路，坚决对标习近平总书记对福建工作的重要讲话重要指示批示精神。紧扣“机制活、产业优、百姓富、生态美”新福建建设主线，立足</w:t>
      </w:r>
      <w:r>
        <w:rPr>
          <w:rFonts w:hint="eastAsia" w:ascii="宋体" w:hAnsi="宋体"/>
        </w:rPr>
        <w:t>长汀</w:t>
      </w:r>
      <w:r>
        <w:rPr>
          <w:rFonts w:ascii="宋体" w:hAnsi="宋体"/>
        </w:rPr>
        <w:t>“八山一水一分田”的</w:t>
      </w:r>
      <w:r>
        <w:rPr>
          <w:rFonts w:hint="eastAsia" w:ascii="宋体" w:hAnsi="宋体"/>
        </w:rPr>
        <w:t>县情</w:t>
      </w:r>
      <w:r>
        <w:rPr>
          <w:rFonts w:ascii="宋体" w:hAnsi="宋体"/>
        </w:rPr>
        <w:t>，以防洪安全筑牢民生底线、水资源保障强化发展支撑、水生态环境提升生态品质、幸福河湖建设传递民生温度、智慧化赋能提效监管水平为重点，加强“改革创</w:t>
      </w:r>
      <w:r>
        <w:rPr>
          <w:rFonts w:hint="eastAsia" w:ascii="宋体" w:hAnsi="宋体"/>
        </w:rPr>
        <w:t>新</w:t>
      </w:r>
      <w:r>
        <w:rPr>
          <w:rFonts w:ascii="宋体" w:hAnsi="宋体"/>
        </w:rPr>
        <w:t>与依法治水”双轮驱动，全面锻造水安全保障硬实力，为</w:t>
      </w:r>
      <w:r>
        <w:rPr>
          <w:rFonts w:hint="eastAsia" w:ascii="宋体" w:hAnsi="宋体"/>
        </w:rPr>
        <w:t>长汀县</w:t>
      </w:r>
      <w:r>
        <w:rPr>
          <w:rFonts w:ascii="宋体" w:hAnsi="宋体"/>
        </w:rPr>
        <w:t>经济社会高质量发展与国家生态文明建设示范区建设提供坚实水利支撑。</w:t>
      </w:r>
    </w:p>
    <w:p w14:paraId="047ECB37">
      <w:pPr>
        <w:pStyle w:val="3"/>
        <w:numPr>
          <w:ilvl w:val="1"/>
          <w:numId w:val="2"/>
        </w:numPr>
        <w:rPr>
          <w:rFonts w:ascii="宋体" w:hAnsi="宋体"/>
          <w:color w:val="auto"/>
        </w:rPr>
      </w:pPr>
      <w:bookmarkStart w:id="18" w:name="_Toc216791690"/>
      <w:r>
        <w:rPr>
          <w:rFonts w:hint="eastAsia" w:ascii="宋体" w:hAnsi="宋体"/>
          <w:color w:val="auto"/>
        </w:rPr>
        <w:t>规划编制依据</w:t>
      </w:r>
      <w:bookmarkEnd w:id="18"/>
    </w:p>
    <w:p w14:paraId="2861CDDB">
      <w:pPr>
        <w:ind w:firstLine="565" w:firstLineChars="202"/>
        <w:rPr>
          <w:rFonts w:ascii="宋体" w:hAnsi="宋体"/>
        </w:rPr>
      </w:pPr>
      <w:r>
        <w:rPr>
          <w:rFonts w:hint="eastAsia" w:ascii="宋体" w:hAnsi="宋体"/>
        </w:rPr>
        <w:t>本规划编制主要参考以下依据：</w:t>
      </w:r>
    </w:p>
    <w:p w14:paraId="1B21B24B">
      <w:pPr>
        <w:ind w:firstLine="565" w:firstLineChars="202"/>
        <w:rPr>
          <w:rFonts w:ascii="宋体" w:hAnsi="宋体"/>
        </w:rPr>
      </w:pPr>
      <w:r>
        <w:rPr>
          <w:rFonts w:hint="eastAsia" w:ascii="宋体" w:hAnsi="宋体"/>
        </w:rPr>
        <w:t>《中华人民共和国水法》</w:t>
      </w:r>
    </w:p>
    <w:p w14:paraId="76C1AF06">
      <w:pPr>
        <w:ind w:firstLine="565" w:firstLineChars="202"/>
        <w:rPr>
          <w:rFonts w:ascii="宋体" w:hAnsi="宋体"/>
        </w:rPr>
      </w:pPr>
      <w:r>
        <w:rPr>
          <w:rFonts w:hint="eastAsia" w:ascii="宋体" w:hAnsi="宋体"/>
        </w:rPr>
        <w:t>《中华人民共和国防洪法》</w:t>
      </w:r>
    </w:p>
    <w:p w14:paraId="7F6479D4">
      <w:pPr>
        <w:ind w:firstLine="565" w:firstLineChars="202"/>
        <w:rPr>
          <w:rFonts w:ascii="宋体" w:hAnsi="宋体"/>
        </w:rPr>
      </w:pPr>
      <w:r>
        <w:rPr>
          <w:rFonts w:hint="eastAsia" w:ascii="宋体" w:hAnsi="宋体"/>
        </w:rPr>
        <w:t>《中华人民共和国水污染防治法》</w:t>
      </w:r>
    </w:p>
    <w:p w14:paraId="4CA2B592">
      <w:pPr>
        <w:ind w:firstLine="565" w:firstLineChars="202"/>
        <w:rPr>
          <w:rFonts w:ascii="宋体" w:hAnsi="宋体"/>
        </w:rPr>
      </w:pPr>
      <w:r>
        <w:rPr>
          <w:rFonts w:hint="eastAsia" w:ascii="宋体" w:hAnsi="宋体"/>
        </w:rPr>
        <w:t>《中华人民共和国湿地保护法》</w:t>
      </w:r>
    </w:p>
    <w:p w14:paraId="191C901D">
      <w:pPr>
        <w:ind w:firstLine="565" w:firstLineChars="202"/>
        <w:rPr>
          <w:rFonts w:ascii="宋体" w:hAnsi="宋体"/>
        </w:rPr>
      </w:pPr>
      <w:r>
        <w:rPr>
          <w:rFonts w:hint="eastAsia" w:ascii="宋体" w:hAnsi="宋体"/>
        </w:rPr>
        <w:t>《全国水资源综合规划》</w:t>
      </w:r>
    </w:p>
    <w:p w14:paraId="77D1557D">
      <w:pPr>
        <w:ind w:firstLine="565" w:firstLineChars="202"/>
        <w:rPr>
          <w:rFonts w:ascii="宋体" w:hAnsi="宋体"/>
        </w:rPr>
      </w:pPr>
      <w:r>
        <w:rPr>
          <w:rFonts w:hint="eastAsia" w:ascii="宋体" w:hAnsi="宋体"/>
        </w:rPr>
        <w:t>《中华人民共和国水土保持法》</w:t>
      </w:r>
    </w:p>
    <w:p w14:paraId="34C99C04">
      <w:pPr>
        <w:ind w:firstLine="565" w:firstLineChars="202"/>
        <w:rPr>
          <w:rFonts w:ascii="宋体" w:hAnsi="宋体"/>
        </w:rPr>
      </w:pPr>
      <w:r>
        <w:rPr>
          <w:rFonts w:hint="eastAsia" w:ascii="宋体" w:hAnsi="宋体"/>
        </w:rPr>
        <w:t>《国家水网建设规划纲要》</w:t>
      </w:r>
    </w:p>
    <w:p w14:paraId="357305D1">
      <w:pPr>
        <w:ind w:firstLine="565" w:firstLineChars="202"/>
        <w:rPr>
          <w:rFonts w:ascii="宋体" w:hAnsi="宋体"/>
        </w:rPr>
      </w:pPr>
      <w:r>
        <w:rPr>
          <w:rFonts w:hint="eastAsia" w:ascii="宋体" w:hAnsi="宋体"/>
        </w:rPr>
        <w:t>《国家发展和改革委员会关于做好“十五五”规划前期工作的通知》（发改规划〔2024〕364号）</w:t>
      </w:r>
    </w:p>
    <w:p w14:paraId="18B2FDE4">
      <w:pPr>
        <w:ind w:firstLine="565" w:firstLineChars="202"/>
        <w:rPr>
          <w:rFonts w:ascii="宋体" w:hAnsi="宋体"/>
        </w:rPr>
      </w:pPr>
      <w:r>
        <w:rPr>
          <w:rFonts w:hint="eastAsia" w:ascii="宋体" w:hAnsi="宋体"/>
        </w:rPr>
        <w:t>《水利部办公厅关于印发“十五五”水安全保障规划预研工作方案的通知》（办规计〔2024〕240号）</w:t>
      </w:r>
    </w:p>
    <w:p w14:paraId="25C2DAF0">
      <w:pPr>
        <w:ind w:firstLine="565" w:firstLineChars="202"/>
        <w:rPr>
          <w:rFonts w:ascii="宋体" w:hAnsi="宋体"/>
        </w:rPr>
      </w:pPr>
      <w:r>
        <w:rPr>
          <w:rFonts w:hint="eastAsia" w:ascii="宋体" w:hAnsi="宋体"/>
        </w:rPr>
        <w:t>《数字孪生水利工程建设技术导则》</w:t>
      </w:r>
    </w:p>
    <w:p w14:paraId="3F55EB20">
      <w:pPr>
        <w:ind w:firstLine="565" w:firstLineChars="202"/>
        <w:rPr>
          <w:rFonts w:ascii="宋体" w:hAnsi="宋体"/>
        </w:rPr>
      </w:pPr>
      <w:r>
        <w:rPr>
          <w:rFonts w:hint="eastAsia" w:ascii="宋体" w:hAnsi="宋体"/>
        </w:rPr>
        <w:t>《福建省水资源条例》</w:t>
      </w:r>
    </w:p>
    <w:p w14:paraId="5E29FE78">
      <w:pPr>
        <w:ind w:firstLine="565" w:firstLineChars="202"/>
        <w:rPr>
          <w:rFonts w:ascii="宋体" w:hAnsi="宋体"/>
        </w:rPr>
      </w:pPr>
      <w:r>
        <w:rPr>
          <w:rFonts w:hint="eastAsia" w:ascii="宋体" w:hAnsi="宋体"/>
        </w:rPr>
        <w:t>《福建省防洪条例》</w:t>
      </w:r>
    </w:p>
    <w:p w14:paraId="0C142540">
      <w:pPr>
        <w:ind w:firstLine="565" w:firstLineChars="202"/>
        <w:rPr>
          <w:rFonts w:ascii="宋体" w:hAnsi="宋体"/>
        </w:rPr>
      </w:pPr>
      <w:r>
        <w:rPr>
          <w:rFonts w:hint="eastAsia" w:ascii="宋体" w:hAnsi="宋体"/>
        </w:rPr>
        <w:t>《福建省水利工程管理条例》</w:t>
      </w:r>
    </w:p>
    <w:p w14:paraId="7BE5D20D">
      <w:pPr>
        <w:ind w:firstLine="565" w:firstLineChars="202"/>
        <w:rPr>
          <w:rFonts w:ascii="宋体" w:hAnsi="宋体"/>
        </w:rPr>
      </w:pPr>
      <w:r>
        <w:rPr>
          <w:rFonts w:hint="eastAsia" w:ascii="宋体" w:hAnsi="宋体"/>
        </w:rPr>
        <w:t>《福建省水利厅关于开展“十五五”水安全保障规划编制工作的通知》（闽水函〔2025〕251号）</w:t>
      </w:r>
    </w:p>
    <w:p w14:paraId="3AB839B4">
      <w:pPr>
        <w:ind w:firstLine="565" w:firstLineChars="202"/>
        <w:rPr>
          <w:rFonts w:ascii="宋体" w:hAnsi="宋体"/>
        </w:rPr>
      </w:pPr>
      <w:r>
        <w:rPr>
          <w:rFonts w:hint="eastAsia" w:ascii="宋体" w:hAnsi="宋体"/>
        </w:rPr>
        <w:t>《水利水电工程等级划分及洪水标准》（SL252-2017）</w:t>
      </w:r>
    </w:p>
    <w:p w14:paraId="488A8755">
      <w:pPr>
        <w:ind w:firstLine="565" w:firstLineChars="202"/>
        <w:rPr>
          <w:rFonts w:ascii="宋体" w:hAnsi="宋体"/>
        </w:rPr>
      </w:pPr>
      <w:r>
        <w:rPr>
          <w:rFonts w:hint="eastAsia" w:ascii="宋体" w:hAnsi="宋体"/>
        </w:rPr>
        <w:t>《防洪标准》（GB50201-2014）</w:t>
      </w:r>
    </w:p>
    <w:p w14:paraId="057692A9">
      <w:pPr>
        <w:ind w:firstLine="565" w:firstLineChars="202"/>
        <w:rPr>
          <w:rFonts w:ascii="宋体" w:hAnsi="宋体"/>
        </w:rPr>
      </w:pPr>
      <w:r>
        <w:rPr>
          <w:rFonts w:hint="eastAsia" w:ascii="宋体" w:hAnsi="宋体"/>
        </w:rPr>
        <w:t>《城市防洪工程设计规范》（GB/T50805-2012）</w:t>
      </w:r>
    </w:p>
    <w:p w14:paraId="30E51B83">
      <w:pPr>
        <w:ind w:firstLine="565" w:firstLineChars="202"/>
        <w:rPr>
          <w:rFonts w:ascii="宋体" w:hAnsi="宋体"/>
        </w:rPr>
      </w:pPr>
      <w:r>
        <w:rPr>
          <w:rFonts w:hint="eastAsia" w:ascii="宋体" w:hAnsi="宋体"/>
        </w:rPr>
        <w:t>《生活饮用水卫生标准》（GB5749-2022）</w:t>
      </w:r>
    </w:p>
    <w:p w14:paraId="605D3A51">
      <w:pPr>
        <w:ind w:firstLine="565" w:firstLineChars="202"/>
        <w:rPr>
          <w:rFonts w:ascii="宋体" w:hAnsi="宋体"/>
        </w:rPr>
      </w:pPr>
      <w:r>
        <w:rPr>
          <w:rFonts w:hint="eastAsia" w:ascii="宋体" w:hAnsi="宋体"/>
        </w:rPr>
        <w:t>《室外给水设计标准》（GB50013-2018）</w:t>
      </w:r>
    </w:p>
    <w:p w14:paraId="73932B6F">
      <w:pPr>
        <w:ind w:firstLine="565" w:firstLineChars="202"/>
        <w:rPr>
          <w:rFonts w:ascii="宋体" w:hAnsi="宋体"/>
        </w:rPr>
      </w:pPr>
      <w:r>
        <w:rPr>
          <w:rFonts w:hint="eastAsia" w:ascii="宋体" w:hAnsi="宋体"/>
        </w:rPr>
        <w:t>《小型农村供水工程规范化提升技术规程》（SL/T825-2024）</w:t>
      </w:r>
    </w:p>
    <w:p w14:paraId="6FF644BF">
      <w:pPr>
        <w:ind w:firstLine="565" w:firstLineChars="202"/>
        <w:rPr>
          <w:rFonts w:ascii="宋体" w:hAnsi="宋体"/>
        </w:rPr>
      </w:pPr>
      <w:r>
        <w:rPr>
          <w:rFonts w:hint="eastAsia" w:ascii="宋体" w:hAnsi="宋体"/>
        </w:rPr>
        <w:t>《用水定额》（DB43/T388-2025）</w:t>
      </w:r>
    </w:p>
    <w:p w14:paraId="55B8444D">
      <w:pPr>
        <w:ind w:firstLine="565" w:firstLineChars="202"/>
        <w:rPr>
          <w:rFonts w:ascii="宋体" w:hAnsi="宋体"/>
        </w:rPr>
      </w:pPr>
      <w:r>
        <w:rPr>
          <w:rFonts w:hint="eastAsia" w:ascii="宋体" w:hAnsi="宋体"/>
        </w:rPr>
        <w:t>《城市供水水质标准》（CJ/T206-2005）</w:t>
      </w:r>
    </w:p>
    <w:p w14:paraId="192133FD">
      <w:pPr>
        <w:ind w:firstLine="565" w:firstLineChars="202"/>
        <w:rPr>
          <w:rFonts w:ascii="宋体" w:hAnsi="宋体"/>
        </w:rPr>
      </w:pPr>
      <w:r>
        <w:rPr>
          <w:rFonts w:hint="eastAsia" w:ascii="宋体" w:hAnsi="宋体"/>
        </w:rPr>
        <w:t>《灌溉与排水工程设计标准》（GB50288-2018）</w:t>
      </w:r>
    </w:p>
    <w:p w14:paraId="29D4279C">
      <w:pPr>
        <w:ind w:firstLine="565" w:firstLineChars="202"/>
        <w:rPr>
          <w:rFonts w:ascii="宋体" w:hAnsi="宋体"/>
        </w:rPr>
      </w:pPr>
      <w:r>
        <w:rPr>
          <w:rFonts w:hint="eastAsia" w:ascii="宋体" w:hAnsi="宋体"/>
        </w:rPr>
        <w:t>《喷灌工程技术标准》（GB/T50085-2018）</w:t>
      </w:r>
    </w:p>
    <w:p w14:paraId="4B005613">
      <w:pPr>
        <w:ind w:firstLine="565" w:firstLineChars="202"/>
        <w:rPr>
          <w:rFonts w:ascii="宋体" w:hAnsi="宋体"/>
        </w:rPr>
      </w:pPr>
      <w:r>
        <w:rPr>
          <w:rFonts w:hint="eastAsia" w:ascii="宋体" w:hAnsi="宋体"/>
        </w:rPr>
        <w:t>《微灌工程技术标准》（GB/T50485-2020）</w:t>
      </w:r>
    </w:p>
    <w:p w14:paraId="66F2FEE7">
      <w:pPr>
        <w:ind w:firstLine="565" w:firstLineChars="202"/>
        <w:rPr>
          <w:rFonts w:ascii="宋体" w:hAnsi="宋体"/>
        </w:rPr>
      </w:pPr>
      <w:r>
        <w:rPr>
          <w:rFonts w:hint="eastAsia" w:ascii="宋体" w:hAnsi="宋体"/>
        </w:rPr>
        <w:t>《地表水环境质量标准》（GB3838-2002）</w:t>
      </w:r>
    </w:p>
    <w:p w14:paraId="1329C241">
      <w:pPr>
        <w:ind w:firstLine="565" w:firstLineChars="202"/>
        <w:rPr>
          <w:rFonts w:ascii="宋体" w:hAnsi="宋体"/>
        </w:rPr>
      </w:pPr>
      <w:r>
        <w:rPr>
          <w:rFonts w:hint="eastAsia" w:ascii="宋体" w:hAnsi="宋体"/>
        </w:rPr>
        <w:t>《水功能区划分标准》（GB/T50594-2010）</w:t>
      </w:r>
    </w:p>
    <w:p w14:paraId="440E0564">
      <w:pPr>
        <w:ind w:firstLine="565" w:firstLineChars="202"/>
        <w:rPr>
          <w:rFonts w:ascii="宋体" w:hAnsi="宋体"/>
        </w:rPr>
      </w:pPr>
      <w:r>
        <w:rPr>
          <w:rFonts w:hint="eastAsia" w:ascii="宋体" w:hAnsi="宋体"/>
        </w:rPr>
        <w:t>《河湖生态系统保护与修复工程技术导则》（SL/T800-2020）</w:t>
      </w:r>
    </w:p>
    <w:p w14:paraId="68F195A2">
      <w:pPr>
        <w:ind w:firstLine="565" w:firstLineChars="202"/>
        <w:rPr>
          <w:rFonts w:ascii="宋体" w:hAnsi="宋体"/>
        </w:rPr>
      </w:pPr>
      <w:r>
        <w:rPr>
          <w:rFonts w:hint="eastAsia" w:ascii="宋体" w:hAnsi="宋体"/>
        </w:rPr>
        <w:t>《数字孪生水利工程建设技术导则》</w:t>
      </w:r>
    </w:p>
    <w:p w14:paraId="17064C8F">
      <w:pPr>
        <w:ind w:firstLine="565" w:firstLineChars="202"/>
        <w:rPr>
          <w:rFonts w:ascii="宋体" w:hAnsi="宋体"/>
        </w:rPr>
      </w:pPr>
      <w:r>
        <w:rPr>
          <w:rFonts w:hint="eastAsia" w:ascii="宋体" w:hAnsi="宋体"/>
        </w:rPr>
        <w:t>《国家水网建设规划纲要》</w:t>
      </w:r>
    </w:p>
    <w:p w14:paraId="379A9CF0">
      <w:pPr>
        <w:ind w:firstLine="565" w:firstLineChars="202"/>
        <w:rPr>
          <w:rFonts w:ascii="宋体" w:hAnsi="宋体"/>
        </w:rPr>
      </w:pPr>
      <w:r>
        <w:rPr>
          <w:rFonts w:hint="eastAsia" w:ascii="宋体" w:hAnsi="宋体"/>
        </w:rPr>
        <w:t>《长汀县水网建设规划》</w:t>
      </w:r>
    </w:p>
    <w:p w14:paraId="67B3C238">
      <w:pPr>
        <w:ind w:firstLine="565" w:firstLineChars="202"/>
        <w:rPr>
          <w:rFonts w:ascii="宋体" w:hAnsi="宋体"/>
        </w:rPr>
      </w:pPr>
      <w:r>
        <w:rPr>
          <w:rFonts w:hint="eastAsia" w:ascii="宋体" w:hAnsi="宋体"/>
        </w:rPr>
        <w:t>《水利部办公厅关于印发“十五五”水安全保障规划预研工作方案的通知》（办规计﹝2024﹞240号）</w:t>
      </w:r>
    </w:p>
    <w:p w14:paraId="762EC7FD">
      <w:pPr>
        <w:ind w:firstLine="565" w:firstLineChars="202"/>
        <w:rPr>
          <w:rFonts w:ascii="宋体" w:hAnsi="宋体"/>
        </w:rPr>
      </w:pPr>
      <w:r>
        <w:rPr>
          <w:rFonts w:hint="eastAsia" w:ascii="宋体" w:hAnsi="宋体"/>
        </w:rPr>
        <w:t>《福建省水利厅关于开展“十五五”水安全保障规划编制工作的通知》（闽水函〔2025〕251号）</w:t>
      </w:r>
    </w:p>
    <w:p w14:paraId="7BBB3974">
      <w:pPr>
        <w:ind w:firstLine="565" w:firstLineChars="202"/>
        <w:rPr>
          <w:rFonts w:ascii="宋体" w:hAnsi="宋体"/>
        </w:rPr>
      </w:pPr>
      <w:r>
        <w:rPr>
          <w:rFonts w:hint="eastAsia" w:ascii="宋体" w:hAnsi="宋体"/>
        </w:rPr>
        <w:t>《福建省水法实施办法》（1992年10月省人大常委会公布，1997年10月修订）</w:t>
      </w:r>
    </w:p>
    <w:p w14:paraId="589823C8">
      <w:pPr>
        <w:ind w:firstLine="565" w:firstLineChars="202"/>
        <w:rPr>
          <w:rFonts w:ascii="宋体" w:hAnsi="宋体"/>
        </w:rPr>
      </w:pPr>
      <w:r>
        <w:rPr>
          <w:rFonts w:hint="eastAsia" w:ascii="宋体" w:hAnsi="宋体"/>
        </w:rPr>
        <w:t>《福建省防洪条例》（2002年12月省人大常委会）</w:t>
      </w:r>
    </w:p>
    <w:p w14:paraId="5FA1873F">
      <w:pPr>
        <w:ind w:firstLine="565" w:firstLineChars="202"/>
        <w:rPr>
          <w:rFonts w:ascii="宋体" w:hAnsi="宋体"/>
        </w:rPr>
      </w:pPr>
      <w:r>
        <w:rPr>
          <w:rFonts w:hint="eastAsia" w:ascii="宋体" w:hAnsi="宋体"/>
        </w:rPr>
        <w:t>《福建省水利工程管理条例》（2023年11月23日福建省第十四届人民代表大会常务委员会第七次会议通过，2024年3月1日起执行）</w:t>
      </w:r>
    </w:p>
    <w:p w14:paraId="52ACDBDE">
      <w:pPr>
        <w:pStyle w:val="3"/>
        <w:numPr>
          <w:ilvl w:val="1"/>
          <w:numId w:val="2"/>
        </w:numPr>
        <w:rPr>
          <w:rFonts w:ascii="宋体" w:hAnsi="宋体"/>
          <w:color w:val="auto"/>
        </w:rPr>
      </w:pPr>
      <w:bookmarkStart w:id="19" w:name="_Toc216791691"/>
      <w:r>
        <w:rPr>
          <w:rFonts w:hint="eastAsia" w:ascii="宋体" w:hAnsi="宋体"/>
          <w:color w:val="auto"/>
        </w:rPr>
        <w:t>基本原则</w:t>
      </w:r>
      <w:bookmarkEnd w:id="19"/>
    </w:p>
    <w:p w14:paraId="7767AB18">
      <w:pPr>
        <w:ind w:firstLine="562" w:firstLineChars="200"/>
        <w:rPr>
          <w:rFonts w:ascii="宋体" w:hAnsi="宋体"/>
        </w:rPr>
      </w:pPr>
      <w:bookmarkStart w:id="20" w:name="OLE_LINK10"/>
      <w:bookmarkStart w:id="21" w:name="OLE_LINK11"/>
      <w:bookmarkStart w:id="22" w:name="OLE_LINK9"/>
      <w:r>
        <w:rPr>
          <w:rFonts w:hint="eastAsia" w:ascii="宋体" w:hAnsi="宋体"/>
          <w:b/>
        </w:rPr>
        <w:t>——坚持人民至上、生命至上。</w:t>
      </w:r>
      <w:r>
        <w:rPr>
          <w:rFonts w:hint="eastAsia" w:ascii="宋体" w:hAnsi="宋体"/>
        </w:rPr>
        <w:t>把保障人民群众生命财</w:t>
      </w:r>
      <w:r>
        <w:rPr>
          <w:rFonts w:ascii="宋体" w:hAnsi="宋体"/>
        </w:rPr>
        <w:t>产安全放在首位，优先解决防洪薄弱环节、农村饮水安全、城乡供水保障等问题。提高应对极端天气和重大水旱灾害的能力，增强水利基础设施的韧性。</w:t>
      </w:r>
    </w:p>
    <w:p w14:paraId="7C4A5D32">
      <w:pPr>
        <w:ind w:firstLine="562" w:firstLineChars="200"/>
        <w:rPr>
          <w:rFonts w:ascii="宋体" w:hAnsi="宋体"/>
        </w:rPr>
      </w:pPr>
      <w:r>
        <w:rPr>
          <w:rFonts w:hint="eastAsia" w:ascii="宋体" w:hAnsi="宋体"/>
          <w:b/>
        </w:rPr>
        <w:t>——坚持节水优先、高效利用。</w:t>
      </w:r>
      <w:r>
        <w:rPr>
          <w:rFonts w:hint="eastAsia" w:ascii="宋体" w:hAnsi="宋体"/>
        </w:rPr>
        <w:t>实施国家节水行动，把节水作为解决水资源短缺的根本举措。推进农业节水增效、</w:t>
      </w:r>
      <w:r>
        <w:rPr>
          <w:rFonts w:ascii="宋体" w:hAnsi="宋体"/>
        </w:rPr>
        <w:t>工业节水减排、城镇节水降损，提高水资源集约节约利用水</w:t>
      </w:r>
      <w:r>
        <w:rPr>
          <w:rFonts w:hint="eastAsia" w:ascii="宋体" w:hAnsi="宋体"/>
        </w:rPr>
        <w:t>平。</w:t>
      </w:r>
    </w:p>
    <w:p w14:paraId="6A1CB403">
      <w:pPr>
        <w:ind w:firstLine="562" w:firstLineChars="200"/>
        <w:rPr>
          <w:rFonts w:ascii="宋体" w:hAnsi="宋体"/>
        </w:rPr>
      </w:pPr>
      <w:r>
        <w:rPr>
          <w:rFonts w:hint="eastAsia" w:ascii="宋体" w:hAnsi="宋体"/>
          <w:b/>
        </w:rPr>
        <w:t>——坚持空间均衡、优化配置。</w:t>
      </w:r>
      <w:r>
        <w:rPr>
          <w:rFonts w:hint="eastAsia" w:ascii="宋体" w:hAnsi="宋体"/>
        </w:rPr>
        <w:t>根据水资源承载能力，优化经济社会发展布局，做到“以水定城、以水定地、以水</w:t>
      </w:r>
      <w:r>
        <w:rPr>
          <w:rFonts w:ascii="宋体" w:hAnsi="宋体"/>
        </w:rPr>
        <w:t>定人、以水定产”。统筹区域间、流域间的水资源调配，推进跨流域调水工程科学建设与运行。</w:t>
      </w:r>
    </w:p>
    <w:p w14:paraId="3877CC94">
      <w:pPr>
        <w:ind w:firstLine="562" w:firstLineChars="200"/>
        <w:rPr>
          <w:rFonts w:ascii="宋体" w:hAnsi="宋体"/>
        </w:rPr>
      </w:pPr>
      <w:r>
        <w:rPr>
          <w:rFonts w:hint="eastAsia" w:ascii="宋体" w:hAnsi="宋体"/>
          <w:b/>
        </w:rPr>
        <w:t>——坚持系统治理、协同推进。</w:t>
      </w:r>
      <w:r>
        <w:rPr>
          <w:rFonts w:hint="eastAsia" w:ascii="宋体" w:hAnsi="宋体"/>
        </w:rPr>
        <w:t>从流域整体出发，统筹上下游、左右岸、干支流、地表地下、水域陆域协同治理。</w:t>
      </w:r>
      <w:r>
        <w:rPr>
          <w:rFonts w:ascii="宋体" w:hAnsi="宋体"/>
        </w:rPr>
        <w:t>推动水灾害、水资源、水环境、水生态“四水共治”，提升综合治理效能。</w:t>
      </w:r>
    </w:p>
    <w:p w14:paraId="0754EA09">
      <w:pPr>
        <w:ind w:firstLine="562" w:firstLineChars="200"/>
        <w:rPr>
          <w:rFonts w:ascii="宋体" w:hAnsi="宋体"/>
        </w:rPr>
      </w:pPr>
      <w:r>
        <w:rPr>
          <w:rFonts w:hint="eastAsia" w:ascii="宋体" w:hAnsi="宋体"/>
          <w:b/>
        </w:rPr>
        <w:t>——坚持改革创新、科技引领。</w:t>
      </w:r>
      <w:r>
        <w:rPr>
          <w:rFonts w:hint="eastAsia" w:ascii="宋体" w:hAnsi="宋体"/>
        </w:rPr>
        <w:t>深化水利重点领域改革（如水权、水价、工程建管机制等），激发发展活力。加强</w:t>
      </w:r>
      <w:r>
        <w:rPr>
          <w:rFonts w:ascii="宋体" w:hAnsi="宋体"/>
        </w:rPr>
        <w:t>智慧水利建设</w:t>
      </w:r>
      <w:r>
        <w:rPr>
          <w:rFonts w:hint="eastAsia" w:ascii="宋体" w:hAnsi="宋体"/>
        </w:rPr>
        <w:t>，</w:t>
      </w:r>
      <w:r>
        <w:rPr>
          <w:rFonts w:ascii="宋体" w:hAnsi="宋体"/>
        </w:rPr>
        <w:t>运用大数据、人工智能、遥感监测等技术提升水利管理智能化水平。</w:t>
      </w:r>
      <w:bookmarkEnd w:id="20"/>
      <w:bookmarkEnd w:id="21"/>
      <w:bookmarkEnd w:id="22"/>
    </w:p>
    <w:p w14:paraId="3A3E7863">
      <w:pPr>
        <w:pStyle w:val="3"/>
        <w:numPr>
          <w:ilvl w:val="1"/>
          <w:numId w:val="2"/>
        </w:numPr>
        <w:rPr>
          <w:rFonts w:ascii="宋体" w:hAnsi="宋体"/>
          <w:color w:val="auto"/>
        </w:rPr>
      </w:pPr>
      <w:bookmarkStart w:id="23" w:name="_Toc216791692"/>
      <w:r>
        <w:rPr>
          <w:rFonts w:hint="eastAsia" w:ascii="宋体" w:hAnsi="宋体"/>
          <w:color w:val="auto"/>
        </w:rPr>
        <w:t>规划范围</w:t>
      </w:r>
      <w:bookmarkEnd w:id="23"/>
    </w:p>
    <w:p w14:paraId="73960776">
      <w:pPr>
        <w:ind w:firstLine="565" w:firstLineChars="202"/>
        <w:rPr>
          <w:rFonts w:ascii="宋体" w:hAnsi="宋体"/>
        </w:rPr>
      </w:pPr>
      <w:r>
        <w:rPr>
          <w:rFonts w:hint="eastAsia" w:ascii="宋体" w:hAnsi="宋体"/>
        </w:rPr>
        <w:t>本次规划范围为长汀县全域，共涉及汀州镇、馆前镇、河田镇、大同镇、古城镇、新桥镇、童坊镇、南山镇、濯田镇、四都镇、涂坊镇、三洲镇、策武镇、铁长乡、庵杰乡、宣成乡、红山乡、羊牯乡等</w:t>
      </w:r>
      <w:r>
        <w:rPr>
          <w:rFonts w:ascii="宋体" w:hAnsi="宋体"/>
        </w:rPr>
        <w:t>18个乡（镇）307个村（居）</w:t>
      </w:r>
      <w:r>
        <w:rPr>
          <w:rFonts w:hint="eastAsia" w:ascii="宋体" w:hAnsi="宋体"/>
        </w:rPr>
        <w:t>，总面积3104km²。水利部门及其他部门组织实施的相关水利项目主要内容包括防洪与治涝、水资源开发利用和保护、水土保持、水生态环境建设、农村供水、农田水利、农村小水电、水利改革与管理、水利行业能力建设等几大类。</w:t>
      </w:r>
    </w:p>
    <w:p w14:paraId="3C57220E">
      <w:pPr>
        <w:pStyle w:val="3"/>
        <w:numPr>
          <w:ilvl w:val="1"/>
          <w:numId w:val="2"/>
        </w:numPr>
        <w:rPr>
          <w:rFonts w:ascii="宋体" w:hAnsi="宋体"/>
          <w:color w:val="auto"/>
        </w:rPr>
      </w:pPr>
      <w:bookmarkStart w:id="24" w:name="_Toc216791693"/>
      <w:r>
        <w:rPr>
          <w:rFonts w:hint="eastAsia" w:ascii="宋体" w:hAnsi="宋体"/>
          <w:color w:val="auto"/>
        </w:rPr>
        <w:t>规划水平年</w:t>
      </w:r>
      <w:bookmarkEnd w:id="24"/>
    </w:p>
    <w:p w14:paraId="36A13937">
      <w:pPr>
        <w:ind w:firstLine="565" w:firstLineChars="202"/>
        <w:rPr>
          <w:rFonts w:ascii="宋体" w:hAnsi="宋体"/>
        </w:rPr>
      </w:pPr>
      <w:r>
        <w:rPr>
          <w:rFonts w:hint="eastAsia" w:ascii="宋体" w:hAnsi="宋体"/>
        </w:rPr>
        <w:t>“十五五”规划基准年为：2025年,规划水平年为：2030年。</w:t>
      </w:r>
    </w:p>
    <w:p w14:paraId="04803643">
      <w:pPr>
        <w:pStyle w:val="3"/>
        <w:numPr>
          <w:ilvl w:val="1"/>
          <w:numId w:val="2"/>
        </w:numPr>
        <w:rPr>
          <w:rFonts w:ascii="宋体" w:hAnsi="宋体"/>
          <w:color w:val="auto"/>
        </w:rPr>
      </w:pPr>
      <w:bookmarkStart w:id="25" w:name="_Toc216791694"/>
      <w:r>
        <w:rPr>
          <w:rFonts w:hint="eastAsia" w:ascii="宋体" w:hAnsi="宋体"/>
          <w:color w:val="auto"/>
        </w:rPr>
        <w:t>规划目标</w:t>
      </w:r>
      <w:bookmarkEnd w:id="25"/>
    </w:p>
    <w:p w14:paraId="4A47D227">
      <w:pPr>
        <w:pStyle w:val="4"/>
        <w:numPr>
          <w:ilvl w:val="2"/>
          <w:numId w:val="2"/>
        </w:numPr>
        <w:rPr>
          <w:rFonts w:ascii="宋体" w:hAnsi="宋体"/>
          <w:color w:val="auto"/>
        </w:rPr>
      </w:pPr>
      <w:r>
        <w:rPr>
          <w:rFonts w:hint="eastAsia" w:ascii="宋体" w:hAnsi="宋体"/>
          <w:color w:val="auto"/>
        </w:rPr>
        <w:t>总体目标</w:t>
      </w:r>
    </w:p>
    <w:p w14:paraId="3ED6DD35">
      <w:pPr>
        <w:ind w:firstLine="565" w:firstLineChars="202"/>
        <w:rPr>
          <w:rFonts w:ascii="宋体" w:hAnsi="宋体"/>
        </w:rPr>
      </w:pPr>
      <w:r>
        <w:rPr>
          <w:rFonts w:hint="eastAsia" w:ascii="宋体" w:hAnsi="宋体"/>
        </w:rPr>
        <w:t>锚定长汀革命老区高质量发展示范区建设需求，分阶段</w:t>
      </w:r>
      <w:r>
        <w:rPr>
          <w:rFonts w:ascii="宋体" w:hAnsi="宋体"/>
        </w:rPr>
        <w:t>筑牢水安全根基：到2030年</w:t>
      </w:r>
      <w:r>
        <w:rPr>
          <w:rFonts w:hint="eastAsia" w:ascii="宋体" w:hAnsi="宋体"/>
        </w:rPr>
        <w:t>，</w:t>
      </w:r>
      <w:r>
        <w:rPr>
          <w:rFonts w:ascii="宋体" w:hAnsi="宋体"/>
        </w:rPr>
        <w:t>以前瞻性思考谋篇、全局性谋划布局、战略性举措破局、整体性推进落地，统筹水资源优化配置、水灾害科学防御、水环境系统治理、水生态协同修复，依托汀江流域主轴，构建“自然河湖水系为基底、引调排水工程为脉络、调蓄枢纽工程为节点、智慧化调控为引擎、体制机制法治为保障”的水安全保障体系，显著提升</w:t>
      </w:r>
      <w:r>
        <w:rPr>
          <w:rFonts w:hint="eastAsia" w:ascii="宋体" w:hAnsi="宋体"/>
        </w:rPr>
        <w:t>长汀</w:t>
      </w:r>
      <w:r>
        <w:rPr>
          <w:rFonts w:ascii="宋体" w:hAnsi="宋体"/>
        </w:rPr>
        <w:t>水安全韧性与效能；到2035年，全面建成与社会主义现代化要求相适配的“韧性更强、效率更高、生态更优、治理更精”的水</w:t>
      </w:r>
      <w:r>
        <w:rPr>
          <w:rFonts w:hint="eastAsia" w:ascii="宋体" w:hAnsi="宋体"/>
        </w:rPr>
        <w:t>安全保障格局，为长汀县打造革命老区高质</w:t>
      </w:r>
      <w:r>
        <w:rPr>
          <w:rFonts w:ascii="宋体" w:hAnsi="宋体"/>
        </w:rPr>
        <w:t>量发展样板、谱写中国式现代化</w:t>
      </w:r>
      <w:r>
        <w:rPr>
          <w:rFonts w:hint="eastAsia" w:ascii="宋体" w:hAnsi="宋体"/>
        </w:rPr>
        <w:t>长汀</w:t>
      </w:r>
      <w:r>
        <w:rPr>
          <w:rFonts w:ascii="宋体" w:hAnsi="宋体"/>
        </w:rPr>
        <w:t>篇章提供坚实可靠的水安全支撑。</w:t>
      </w:r>
    </w:p>
    <w:p w14:paraId="62CAAC52">
      <w:pPr>
        <w:pStyle w:val="4"/>
        <w:numPr>
          <w:ilvl w:val="2"/>
          <w:numId w:val="2"/>
        </w:numPr>
        <w:rPr>
          <w:rFonts w:ascii="宋体" w:hAnsi="宋体"/>
          <w:color w:val="auto"/>
        </w:rPr>
      </w:pPr>
      <w:r>
        <w:rPr>
          <w:rFonts w:hint="eastAsia" w:ascii="宋体" w:hAnsi="宋体"/>
          <w:color w:val="auto"/>
        </w:rPr>
        <w:t>具体目标</w:t>
      </w:r>
    </w:p>
    <w:p w14:paraId="661489F4">
      <w:pPr>
        <w:ind w:firstLine="568" w:firstLineChars="202"/>
        <w:rPr>
          <w:rFonts w:ascii="宋体" w:hAnsi="宋体"/>
          <w:b/>
          <w:bCs/>
        </w:rPr>
      </w:pPr>
      <w:r>
        <w:rPr>
          <w:rFonts w:hint="eastAsia" w:ascii="宋体" w:hAnsi="宋体"/>
          <w:b/>
          <w:bCs/>
        </w:rPr>
        <w:t>防洪排涝目标：</w:t>
      </w:r>
      <w:r>
        <w:rPr>
          <w:rFonts w:hint="eastAsia" w:ascii="宋体" w:hAnsi="宋体"/>
          <w:bCs/>
        </w:rPr>
        <w:t>至2030年</w:t>
      </w:r>
      <w:r>
        <w:rPr>
          <w:rFonts w:ascii="宋体" w:hAnsi="宋体"/>
          <w:bCs/>
        </w:rPr>
        <w:t>，长汀县城防洪标准为</w:t>
      </w:r>
      <w:r>
        <w:rPr>
          <w:rFonts w:hint="eastAsia" w:ascii="宋体" w:hAnsi="宋体"/>
          <w:bCs/>
        </w:rPr>
        <w:t>30一遇，</w:t>
      </w:r>
      <w:r>
        <w:rPr>
          <w:rFonts w:hint="eastAsia" w:ascii="宋体" w:hAnsi="宋体"/>
        </w:rPr>
        <w:t>各乡镇防洪标准为10～20年一遇。长汀城区治涝标准采用10年一遇年最大</w:t>
      </w:r>
      <w:r>
        <w:rPr>
          <w:rFonts w:ascii="宋体" w:hAnsi="宋体"/>
        </w:rPr>
        <w:t>24小</w:t>
      </w:r>
      <w:r>
        <w:rPr>
          <w:rFonts w:hint="eastAsia" w:ascii="宋体" w:hAnsi="宋体"/>
        </w:rPr>
        <w:t>时设计暴雨不致灾；各乡镇所在地治涝标准采用10年一遇年最大24小时</w:t>
      </w:r>
      <w:r>
        <w:rPr>
          <w:rFonts w:ascii="宋体" w:hAnsi="宋体"/>
        </w:rPr>
        <w:t>设计暴雨所产生的径流</w:t>
      </w:r>
      <w:r>
        <w:rPr>
          <w:rFonts w:hint="eastAsia" w:ascii="宋体" w:hAnsi="宋体"/>
        </w:rPr>
        <w:t>1日</w:t>
      </w:r>
      <w:r>
        <w:rPr>
          <w:rFonts w:ascii="宋体" w:hAnsi="宋体"/>
        </w:rPr>
        <w:t>排干</w:t>
      </w:r>
      <w:r>
        <w:rPr>
          <w:rFonts w:hint="eastAsia" w:ascii="宋体" w:hAnsi="宋体"/>
        </w:rPr>
        <w:t>，村庄及农田治涝标准采用5年一遇年</w:t>
      </w:r>
      <w:r>
        <w:rPr>
          <w:rFonts w:ascii="宋体" w:hAnsi="宋体"/>
        </w:rPr>
        <w:t>最大</w:t>
      </w:r>
      <w:r>
        <w:rPr>
          <w:rFonts w:hint="eastAsia" w:ascii="宋体" w:hAnsi="宋体"/>
        </w:rPr>
        <w:t>24小时</w:t>
      </w:r>
      <w:r>
        <w:rPr>
          <w:rFonts w:ascii="宋体" w:hAnsi="宋体"/>
        </w:rPr>
        <w:t>暴雨所产生的径流</w:t>
      </w:r>
      <w:r>
        <w:rPr>
          <w:rFonts w:hint="eastAsia" w:ascii="宋体" w:hAnsi="宋体"/>
        </w:rPr>
        <w:t>1日</w:t>
      </w:r>
      <w:r>
        <w:rPr>
          <w:rFonts w:ascii="宋体" w:hAnsi="宋体"/>
        </w:rPr>
        <w:t>排干</w:t>
      </w:r>
      <w:r>
        <w:rPr>
          <w:rFonts w:hint="eastAsia" w:ascii="宋体" w:hAnsi="宋体"/>
        </w:rPr>
        <w:t>。</w:t>
      </w:r>
    </w:p>
    <w:p w14:paraId="70E8CCB3">
      <w:pPr>
        <w:ind w:firstLine="568" w:firstLineChars="202"/>
        <w:rPr>
          <w:rFonts w:ascii="宋体" w:hAnsi="宋体"/>
        </w:rPr>
      </w:pPr>
      <w:r>
        <w:rPr>
          <w:rFonts w:hint="eastAsia" w:ascii="宋体" w:hAnsi="宋体"/>
          <w:b/>
        </w:rPr>
        <w:t>水资源保障方面：</w:t>
      </w:r>
      <w:r>
        <w:rPr>
          <w:rFonts w:hint="eastAsia" w:ascii="宋体" w:hAnsi="宋体"/>
        </w:rPr>
        <w:t>至</w:t>
      </w:r>
      <w:r>
        <w:rPr>
          <w:rFonts w:ascii="宋体" w:hAnsi="宋体"/>
        </w:rPr>
        <w:t>2030年</w:t>
      </w:r>
      <w:r>
        <w:rPr>
          <w:rFonts w:hint="eastAsia" w:ascii="宋体" w:hAnsi="宋体"/>
        </w:rPr>
        <w:t>，</w:t>
      </w:r>
      <w:r>
        <w:rPr>
          <w:rFonts w:ascii="宋体" w:hAnsi="宋体"/>
        </w:rPr>
        <w:t>节水控水体系逐步完善，用水效率和效益显著提高；</w:t>
      </w:r>
      <w:r>
        <w:rPr>
          <w:rFonts w:hint="eastAsia" w:ascii="宋体" w:hAnsi="宋体"/>
        </w:rPr>
        <w:t>一干四核六片多源的水资源配置格局基本形成，显著提升供水保障能力、水资</w:t>
      </w:r>
      <w:r>
        <w:rPr>
          <w:rFonts w:ascii="宋体" w:hAnsi="宋体"/>
        </w:rPr>
        <w:t>源调配能力、战略储备能力“三大能力”，有力保障供水安全、粮食安全和生态安全“三个安全”，实现水资源均衡发展。供水保证率达到95%，灌溉保证率达到90%。</w:t>
      </w:r>
    </w:p>
    <w:p w14:paraId="1AEA601E">
      <w:pPr>
        <w:ind w:firstLine="568" w:firstLineChars="202"/>
        <w:rPr>
          <w:rFonts w:ascii="宋体" w:hAnsi="宋体"/>
        </w:rPr>
      </w:pPr>
      <w:r>
        <w:rPr>
          <w:rFonts w:hint="eastAsia" w:ascii="宋体" w:hAnsi="宋体"/>
          <w:b/>
        </w:rPr>
        <w:t>水生态修复方面：</w:t>
      </w:r>
      <w:r>
        <w:rPr>
          <w:rFonts w:hint="eastAsia" w:ascii="宋体" w:hAnsi="宋体"/>
        </w:rPr>
        <w:t>至</w:t>
      </w:r>
      <w:r>
        <w:rPr>
          <w:rFonts w:ascii="宋体" w:hAnsi="宋体"/>
        </w:rPr>
        <w:t>2030年，重要河湖生态水量基本保</w:t>
      </w:r>
      <w:r>
        <w:rPr>
          <w:rFonts w:hint="eastAsia" w:ascii="宋体" w:hAnsi="宋体"/>
        </w:rPr>
        <w:t>障，水生态环境状况得到有效改善，山川秀美、河湖健康、</w:t>
      </w:r>
      <w:r>
        <w:rPr>
          <w:rFonts w:ascii="宋体" w:hAnsi="宋体"/>
        </w:rPr>
        <w:t>人水和谐的水生态保护格局基本形成，河湖生态环境质量显著提升，水治理能力与治水体系现代化基本实现。水土流失率控制在6%以内。</w:t>
      </w:r>
    </w:p>
    <w:p w14:paraId="4A804977">
      <w:pPr>
        <w:ind w:firstLine="568" w:firstLineChars="202"/>
        <w:rPr>
          <w:rFonts w:ascii="宋体" w:hAnsi="宋体"/>
        </w:rPr>
      </w:pPr>
      <w:r>
        <w:rPr>
          <w:rFonts w:hint="eastAsia" w:ascii="宋体" w:hAnsi="宋体"/>
          <w:b/>
        </w:rPr>
        <w:t>幸福河湖建设方面：</w:t>
      </w:r>
      <w:r>
        <w:rPr>
          <w:rFonts w:hint="eastAsia" w:ascii="宋体" w:hAnsi="宋体"/>
        </w:rPr>
        <w:t>至</w:t>
      </w:r>
      <w:r>
        <w:rPr>
          <w:rFonts w:ascii="宋体" w:hAnsi="宋体"/>
        </w:rPr>
        <w:t>2030年，积极争取国家级幸福河</w:t>
      </w:r>
      <w:r>
        <w:rPr>
          <w:rFonts w:hint="eastAsia" w:ascii="宋体" w:hAnsi="宋体"/>
        </w:rPr>
        <w:t>湖建设项目，按照水利部、财政部等六部门要求，落实《福建省濯田河</w:t>
      </w:r>
      <w:r>
        <w:rPr>
          <w:rFonts w:ascii="宋体" w:hAnsi="宋体"/>
        </w:rPr>
        <w:t>幸福河湖建设实施方案》</w:t>
      </w:r>
      <w:r>
        <w:rPr>
          <w:rFonts w:hint="eastAsia" w:ascii="宋体" w:hAnsi="宋体"/>
        </w:rPr>
        <w:t>各项</w:t>
      </w:r>
      <w:r>
        <w:rPr>
          <w:rFonts w:ascii="宋体" w:hAnsi="宋体"/>
        </w:rPr>
        <w:t>任务，以幸福河湖建设带动水文化和水经济迈上新台阶，幸福河湖建设取得积极成效，以“</w:t>
      </w:r>
      <w:r>
        <w:rPr>
          <w:rFonts w:hint="eastAsia" w:ascii="宋体" w:hAnsi="宋体"/>
        </w:rPr>
        <w:t>濯田</w:t>
      </w:r>
      <w:r>
        <w:rPr>
          <w:rFonts w:ascii="宋体" w:hAnsi="宋体"/>
        </w:rPr>
        <w:t>河”为重点建成一批幸福河湖。</w:t>
      </w:r>
    </w:p>
    <w:p w14:paraId="36226350">
      <w:pPr>
        <w:ind w:firstLine="568" w:firstLineChars="202"/>
        <w:rPr>
          <w:rFonts w:ascii="宋体" w:hAnsi="宋体"/>
        </w:rPr>
      </w:pPr>
      <w:r>
        <w:rPr>
          <w:rFonts w:hint="eastAsia" w:ascii="宋体" w:hAnsi="宋体"/>
          <w:b/>
        </w:rPr>
        <w:t>智慧水利发展方面：</w:t>
      </w:r>
      <w:r>
        <w:rPr>
          <w:rFonts w:hint="eastAsia" w:ascii="宋体" w:hAnsi="宋体"/>
        </w:rPr>
        <w:t>至</w:t>
      </w:r>
      <w:r>
        <w:rPr>
          <w:rFonts w:ascii="宋体" w:hAnsi="宋体"/>
        </w:rPr>
        <w:t>2030年，基本建成覆盖全面、智</w:t>
      </w:r>
      <w:r>
        <w:rPr>
          <w:rFonts w:hint="eastAsia" w:ascii="宋体" w:hAnsi="宋体"/>
        </w:rPr>
        <w:t>能协同的水利前端监测感知体系，显著提升水网关键要素感</w:t>
      </w:r>
      <w:r>
        <w:rPr>
          <w:rFonts w:ascii="宋体" w:hAnsi="宋体"/>
        </w:rPr>
        <w:t>知率与重点水利工程自动化控制率；构建标准统一、共享高效的水利数据资源体系，基本消除“重采重存”和数据孤岛现象；建成以数字孪生流域为核心、具备“四预”功能的水利智能业务应用系统，实现跨业务协同管理与科学决策调度；建成可靠可控的网络安全防护体系，显著提升水利基层单位网络安全防护能力。“十五五”期间重点推进数字孪生汀江流域建设，系统完善信息化基础设施、孪生平台、智能应用与安全体系，推动水治理体系从被动响应向主动调控、从经验决策向科学决策</w:t>
      </w:r>
      <w:r>
        <w:rPr>
          <w:rFonts w:hint="eastAsia" w:ascii="宋体" w:hAnsi="宋体"/>
        </w:rPr>
        <w:t>的深刻变革，全面提升水网智慧化水</w:t>
      </w:r>
      <w:r>
        <w:rPr>
          <w:rFonts w:ascii="宋体" w:hAnsi="宋体"/>
        </w:rPr>
        <w:t>平和水治理能力现代化。</w:t>
      </w:r>
    </w:p>
    <w:p w14:paraId="53883777">
      <w:pPr>
        <w:ind w:firstLine="565" w:firstLineChars="202"/>
        <w:rPr>
          <w:rFonts w:ascii="宋体" w:hAnsi="宋体"/>
        </w:rPr>
      </w:pPr>
    </w:p>
    <w:p w14:paraId="332D612B">
      <w:pPr>
        <w:pStyle w:val="3"/>
        <w:numPr>
          <w:ilvl w:val="1"/>
          <w:numId w:val="2"/>
        </w:numPr>
        <w:rPr>
          <w:rFonts w:ascii="宋体" w:hAnsi="宋体"/>
          <w:color w:val="auto"/>
        </w:rPr>
      </w:pPr>
      <w:bookmarkStart w:id="26" w:name="_Toc216791695"/>
      <w:r>
        <w:rPr>
          <w:rFonts w:hint="eastAsia" w:ascii="宋体" w:hAnsi="宋体"/>
          <w:color w:val="auto"/>
        </w:rPr>
        <w:t>规划指标</w:t>
      </w:r>
      <w:bookmarkEnd w:id="26"/>
    </w:p>
    <w:p w14:paraId="524D4FAF">
      <w:pPr>
        <w:jc w:val="center"/>
        <w:rPr>
          <w:b/>
        </w:rPr>
      </w:pPr>
      <w:r>
        <w:rPr>
          <w:b/>
        </w:rPr>
        <w:drawing>
          <wp:anchor distT="0" distB="0" distL="114300" distR="114300" simplePos="0" relativeHeight="251661312" behindDoc="1" locked="0" layoutInCell="1" allowOverlap="1">
            <wp:simplePos x="0" y="0"/>
            <wp:positionH relativeFrom="page">
              <wp:posOffset>1861185</wp:posOffset>
            </wp:positionH>
            <wp:positionV relativeFrom="paragraph">
              <wp:posOffset>1129665</wp:posOffset>
            </wp:positionV>
            <wp:extent cx="6350" cy="1270"/>
            <wp:effectExtent l="0" t="0" r="0" b="0"/>
            <wp:wrapNone/>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62336" behindDoc="1" locked="0" layoutInCell="1" allowOverlap="1">
            <wp:simplePos x="0" y="0"/>
            <wp:positionH relativeFrom="page">
              <wp:posOffset>4471035</wp:posOffset>
            </wp:positionH>
            <wp:positionV relativeFrom="paragraph">
              <wp:posOffset>1129665</wp:posOffset>
            </wp:positionV>
            <wp:extent cx="6350" cy="1270"/>
            <wp:effectExtent l="0" t="0" r="0" b="0"/>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63360" behindDoc="1" locked="0" layoutInCell="1" allowOverlap="1">
            <wp:simplePos x="0" y="0"/>
            <wp:positionH relativeFrom="page">
              <wp:posOffset>5191760</wp:posOffset>
            </wp:positionH>
            <wp:positionV relativeFrom="paragraph">
              <wp:posOffset>1129665</wp:posOffset>
            </wp:positionV>
            <wp:extent cx="6350" cy="1270"/>
            <wp:effectExtent l="0" t="0" r="0" b="0"/>
            <wp:wrapNone/>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64384" behindDoc="1" locked="0" layoutInCell="1" allowOverlap="1">
            <wp:simplePos x="0" y="0"/>
            <wp:positionH relativeFrom="page">
              <wp:posOffset>5833745</wp:posOffset>
            </wp:positionH>
            <wp:positionV relativeFrom="paragraph">
              <wp:posOffset>1129665</wp:posOffset>
            </wp:positionV>
            <wp:extent cx="6350" cy="1270"/>
            <wp:effectExtent l="0" t="0" r="0" b="0"/>
            <wp:wrapNone/>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65408" behindDoc="1" locked="0" layoutInCell="1" allowOverlap="1">
            <wp:simplePos x="0" y="0"/>
            <wp:positionH relativeFrom="page">
              <wp:posOffset>1861185</wp:posOffset>
            </wp:positionH>
            <wp:positionV relativeFrom="paragraph">
              <wp:posOffset>1411605</wp:posOffset>
            </wp:positionV>
            <wp:extent cx="6350" cy="3175"/>
            <wp:effectExtent l="0" t="0" r="0" b="0"/>
            <wp:wrapNone/>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66432" behindDoc="1" locked="0" layoutInCell="1" allowOverlap="1">
            <wp:simplePos x="0" y="0"/>
            <wp:positionH relativeFrom="page">
              <wp:posOffset>4471035</wp:posOffset>
            </wp:positionH>
            <wp:positionV relativeFrom="paragraph">
              <wp:posOffset>1411605</wp:posOffset>
            </wp:positionV>
            <wp:extent cx="6350" cy="3175"/>
            <wp:effectExtent l="0" t="0" r="0" b="0"/>
            <wp:wrapNone/>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67456" behindDoc="1" locked="0" layoutInCell="1" allowOverlap="1">
            <wp:simplePos x="0" y="0"/>
            <wp:positionH relativeFrom="page">
              <wp:posOffset>5191760</wp:posOffset>
            </wp:positionH>
            <wp:positionV relativeFrom="paragraph">
              <wp:posOffset>1411605</wp:posOffset>
            </wp:positionV>
            <wp:extent cx="6350" cy="3175"/>
            <wp:effectExtent l="0" t="0" r="0" b="0"/>
            <wp:wrapNone/>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68480" behindDoc="1" locked="0" layoutInCell="1" allowOverlap="1">
            <wp:simplePos x="0" y="0"/>
            <wp:positionH relativeFrom="page">
              <wp:posOffset>5833745</wp:posOffset>
            </wp:positionH>
            <wp:positionV relativeFrom="paragraph">
              <wp:posOffset>1411605</wp:posOffset>
            </wp:positionV>
            <wp:extent cx="6350" cy="3175"/>
            <wp:effectExtent l="0" t="0" r="0" b="0"/>
            <wp:wrapNone/>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69504" behindDoc="1" locked="0" layoutInCell="1" allowOverlap="1">
            <wp:simplePos x="0" y="0"/>
            <wp:positionH relativeFrom="page">
              <wp:posOffset>1861185</wp:posOffset>
            </wp:positionH>
            <wp:positionV relativeFrom="page">
              <wp:posOffset>2595880</wp:posOffset>
            </wp:positionV>
            <wp:extent cx="6350" cy="1270"/>
            <wp:effectExtent l="0" t="0" r="0" b="0"/>
            <wp:wrapNone/>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0528" behindDoc="1" locked="0" layoutInCell="1" allowOverlap="1">
            <wp:simplePos x="0" y="0"/>
            <wp:positionH relativeFrom="page">
              <wp:posOffset>4471035</wp:posOffset>
            </wp:positionH>
            <wp:positionV relativeFrom="page">
              <wp:posOffset>2595880</wp:posOffset>
            </wp:positionV>
            <wp:extent cx="6350" cy="1270"/>
            <wp:effectExtent l="0" t="0" r="0" b="0"/>
            <wp:wrapNone/>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1552" behindDoc="1" locked="0" layoutInCell="1" allowOverlap="1">
            <wp:simplePos x="0" y="0"/>
            <wp:positionH relativeFrom="page">
              <wp:posOffset>5191760</wp:posOffset>
            </wp:positionH>
            <wp:positionV relativeFrom="page">
              <wp:posOffset>2595880</wp:posOffset>
            </wp:positionV>
            <wp:extent cx="6350" cy="1270"/>
            <wp:effectExtent l="0" t="0" r="0" b="0"/>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2576" behindDoc="1" locked="0" layoutInCell="1" allowOverlap="1">
            <wp:simplePos x="0" y="0"/>
            <wp:positionH relativeFrom="page">
              <wp:posOffset>5833745</wp:posOffset>
            </wp:positionH>
            <wp:positionV relativeFrom="page">
              <wp:posOffset>2595880</wp:posOffset>
            </wp:positionV>
            <wp:extent cx="6350" cy="1270"/>
            <wp:effectExtent l="0" t="0" r="0" b="0"/>
            <wp:wrapNone/>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3600" behindDoc="1" locked="0" layoutInCell="1" allowOverlap="1">
            <wp:simplePos x="0" y="0"/>
            <wp:positionH relativeFrom="page">
              <wp:posOffset>1861185</wp:posOffset>
            </wp:positionH>
            <wp:positionV relativeFrom="page">
              <wp:posOffset>3161030</wp:posOffset>
            </wp:positionV>
            <wp:extent cx="6350" cy="1270"/>
            <wp:effectExtent l="0" t="0" r="0" b="0"/>
            <wp:wrapNone/>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4624" behindDoc="1" locked="0" layoutInCell="1" allowOverlap="1">
            <wp:simplePos x="0" y="0"/>
            <wp:positionH relativeFrom="page">
              <wp:posOffset>4471035</wp:posOffset>
            </wp:positionH>
            <wp:positionV relativeFrom="page">
              <wp:posOffset>3161030</wp:posOffset>
            </wp:positionV>
            <wp:extent cx="6350" cy="1270"/>
            <wp:effectExtent l="0" t="0" r="0" b="0"/>
            <wp:wrapNone/>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5648" behindDoc="1" locked="0" layoutInCell="1" allowOverlap="1">
            <wp:simplePos x="0" y="0"/>
            <wp:positionH relativeFrom="page">
              <wp:posOffset>5191760</wp:posOffset>
            </wp:positionH>
            <wp:positionV relativeFrom="page">
              <wp:posOffset>3161030</wp:posOffset>
            </wp:positionV>
            <wp:extent cx="6350" cy="1270"/>
            <wp:effectExtent l="0" t="0" r="0" b="0"/>
            <wp:wrapNone/>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6672" behindDoc="1" locked="0" layoutInCell="1" allowOverlap="1">
            <wp:simplePos x="0" y="0"/>
            <wp:positionH relativeFrom="page">
              <wp:posOffset>5833745</wp:posOffset>
            </wp:positionH>
            <wp:positionV relativeFrom="page">
              <wp:posOffset>3161030</wp:posOffset>
            </wp:positionV>
            <wp:extent cx="6350" cy="1270"/>
            <wp:effectExtent l="0" t="0" r="0" b="0"/>
            <wp:wrapNone/>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7696" behindDoc="1" locked="0" layoutInCell="1" allowOverlap="1">
            <wp:simplePos x="0" y="0"/>
            <wp:positionH relativeFrom="page">
              <wp:posOffset>1861185</wp:posOffset>
            </wp:positionH>
            <wp:positionV relativeFrom="page">
              <wp:posOffset>3442970</wp:posOffset>
            </wp:positionV>
            <wp:extent cx="6350" cy="1270"/>
            <wp:effectExtent l="0" t="0" r="0" b="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8720" behindDoc="1" locked="0" layoutInCell="1" allowOverlap="1">
            <wp:simplePos x="0" y="0"/>
            <wp:positionH relativeFrom="page">
              <wp:posOffset>4471035</wp:posOffset>
            </wp:positionH>
            <wp:positionV relativeFrom="page">
              <wp:posOffset>3442970</wp:posOffset>
            </wp:positionV>
            <wp:extent cx="6350" cy="1270"/>
            <wp:effectExtent l="0" t="0" r="0" b="0"/>
            <wp:wrapNone/>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79744" behindDoc="1" locked="0" layoutInCell="1" allowOverlap="1">
            <wp:simplePos x="0" y="0"/>
            <wp:positionH relativeFrom="page">
              <wp:posOffset>5191760</wp:posOffset>
            </wp:positionH>
            <wp:positionV relativeFrom="page">
              <wp:posOffset>3442970</wp:posOffset>
            </wp:positionV>
            <wp:extent cx="6350" cy="1270"/>
            <wp:effectExtent l="0" t="0" r="0" b="0"/>
            <wp:wrapNone/>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80768" behindDoc="1" locked="0" layoutInCell="1" allowOverlap="1">
            <wp:simplePos x="0" y="0"/>
            <wp:positionH relativeFrom="page">
              <wp:posOffset>5833745</wp:posOffset>
            </wp:positionH>
            <wp:positionV relativeFrom="page">
              <wp:posOffset>3442970</wp:posOffset>
            </wp:positionV>
            <wp:extent cx="6350" cy="1270"/>
            <wp:effectExtent l="0" t="0" r="0" b="0"/>
            <wp:wrapNone/>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350" cy="1270"/>
                    </a:xfrm>
                    <a:prstGeom prst="rect">
                      <a:avLst/>
                    </a:prstGeom>
                    <a:noFill/>
                  </pic:spPr>
                </pic:pic>
              </a:graphicData>
            </a:graphic>
          </wp:anchor>
        </w:drawing>
      </w:r>
      <w:r>
        <w:rPr>
          <w:b/>
        </w:rPr>
        <w:drawing>
          <wp:anchor distT="0" distB="0" distL="114300" distR="114300" simplePos="0" relativeHeight="251681792" behindDoc="1" locked="0" layoutInCell="1" allowOverlap="1">
            <wp:simplePos x="0" y="0"/>
            <wp:positionH relativeFrom="page">
              <wp:posOffset>1861185</wp:posOffset>
            </wp:positionH>
            <wp:positionV relativeFrom="page">
              <wp:posOffset>3725545</wp:posOffset>
            </wp:positionV>
            <wp:extent cx="6350" cy="3175"/>
            <wp:effectExtent l="0" t="0" r="0" b="0"/>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82816" behindDoc="1" locked="0" layoutInCell="1" allowOverlap="1">
            <wp:simplePos x="0" y="0"/>
            <wp:positionH relativeFrom="page">
              <wp:posOffset>4471035</wp:posOffset>
            </wp:positionH>
            <wp:positionV relativeFrom="page">
              <wp:posOffset>3725545</wp:posOffset>
            </wp:positionV>
            <wp:extent cx="6350" cy="3175"/>
            <wp:effectExtent l="0" t="0" r="0" b="0"/>
            <wp:wrapNone/>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83840" behindDoc="1" locked="0" layoutInCell="1" allowOverlap="1">
            <wp:simplePos x="0" y="0"/>
            <wp:positionH relativeFrom="page">
              <wp:posOffset>5191760</wp:posOffset>
            </wp:positionH>
            <wp:positionV relativeFrom="page">
              <wp:posOffset>3725545</wp:posOffset>
            </wp:positionV>
            <wp:extent cx="6350" cy="3175"/>
            <wp:effectExtent l="0" t="0" r="0" b="0"/>
            <wp:wrapNone/>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drawing>
          <wp:anchor distT="0" distB="0" distL="114300" distR="114300" simplePos="0" relativeHeight="251684864" behindDoc="1" locked="0" layoutInCell="1" allowOverlap="1">
            <wp:simplePos x="0" y="0"/>
            <wp:positionH relativeFrom="page">
              <wp:posOffset>5833745</wp:posOffset>
            </wp:positionH>
            <wp:positionV relativeFrom="page">
              <wp:posOffset>3725545</wp:posOffset>
            </wp:positionV>
            <wp:extent cx="6350" cy="3175"/>
            <wp:effectExtent l="0" t="0" r="0" b="0"/>
            <wp:wrapNone/>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350" cy="3175"/>
                    </a:xfrm>
                    <a:prstGeom prst="rect">
                      <a:avLst/>
                    </a:prstGeom>
                    <a:noFill/>
                  </pic:spPr>
                </pic:pic>
              </a:graphicData>
            </a:graphic>
          </wp:anchor>
        </w:drawing>
      </w:r>
      <w:r>
        <w:rPr>
          <w:b/>
        </w:rPr>
        <w:t>专栏 4-1</w:t>
      </w:r>
      <w:r>
        <w:rPr>
          <w:b/>
        </w:rPr>
        <w:tab/>
      </w:r>
      <w:r>
        <w:rPr>
          <w:rFonts w:hint="eastAsia"/>
          <w:b/>
        </w:rPr>
        <w:t>长汀县</w:t>
      </w:r>
      <w:r>
        <w:rPr>
          <w:b/>
        </w:rPr>
        <w:t>“十五五”水安全保障规划主要指标表</w:t>
      </w:r>
    </w:p>
    <w:tbl>
      <w:tblPr>
        <w:tblStyle w:val="63"/>
        <w:tblW w:w="8308" w:type="dxa"/>
        <w:jc w:val="center"/>
        <w:tblLayout w:type="fixed"/>
        <w:tblCellMar>
          <w:top w:w="0" w:type="dxa"/>
          <w:left w:w="0" w:type="dxa"/>
          <w:bottom w:w="0" w:type="dxa"/>
          <w:right w:w="0" w:type="dxa"/>
        </w:tblCellMar>
      </w:tblPr>
      <w:tblGrid>
        <w:gridCol w:w="1135"/>
        <w:gridCol w:w="4110"/>
        <w:gridCol w:w="1135"/>
        <w:gridCol w:w="1011"/>
        <w:gridCol w:w="917"/>
      </w:tblGrid>
      <w:tr w14:paraId="1D93B891">
        <w:tblPrEx>
          <w:tblCellMar>
            <w:top w:w="0" w:type="dxa"/>
            <w:left w:w="0" w:type="dxa"/>
            <w:bottom w:w="0" w:type="dxa"/>
            <w:right w:w="0" w:type="dxa"/>
          </w:tblCellMar>
        </w:tblPrEx>
        <w:trPr>
          <w:trHeight w:val="881" w:hRule="exact"/>
          <w:jc w:val="center"/>
        </w:trPr>
        <w:tc>
          <w:tcPr>
            <w:tcW w:w="1135" w:type="dxa"/>
            <w:tcBorders>
              <w:top w:val="single" w:color="000000" w:sz="4" w:space="0"/>
              <w:left w:val="single" w:color="000000" w:sz="4" w:space="0"/>
              <w:bottom w:val="single" w:color="000000" w:sz="4" w:space="0"/>
              <w:right w:val="single" w:color="000000" w:sz="4" w:space="0"/>
            </w:tcBorders>
            <w:vAlign w:val="center"/>
          </w:tcPr>
          <w:p w14:paraId="68D8DA29">
            <w:pPr>
              <w:pStyle w:val="65"/>
              <w:ind w:left="81"/>
              <w:rPr>
                <w:rFonts w:ascii="宋体" w:hAnsi="宋体" w:eastAsia="宋体" w:cs="宋体"/>
                <w:sz w:val="21"/>
                <w:szCs w:val="21"/>
              </w:rPr>
            </w:pPr>
            <w:r>
              <w:rPr>
                <w:rFonts w:ascii="宋体" w:hAnsi="宋体" w:eastAsia="宋体" w:cs="宋体"/>
                <w:sz w:val="21"/>
                <w:szCs w:val="21"/>
              </w:rPr>
              <w:t>发展目标</w:t>
            </w:r>
          </w:p>
        </w:tc>
        <w:tc>
          <w:tcPr>
            <w:tcW w:w="4110" w:type="dxa"/>
            <w:tcBorders>
              <w:top w:val="single" w:color="000000" w:sz="4" w:space="0"/>
              <w:left w:val="single" w:color="000000" w:sz="4" w:space="0"/>
              <w:bottom w:val="single" w:color="000000" w:sz="4" w:space="0"/>
              <w:right w:val="single" w:color="000000" w:sz="4" w:space="0"/>
            </w:tcBorders>
            <w:vAlign w:val="center"/>
          </w:tcPr>
          <w:p w14:paraId="55DB583E">
            <w:pPr>
              <w:pStyle w:val="65"/>
              <w:tabs>
                <w:tab w:val="left" w:pos="479"/>
              </w:tabs>
              <w:ind w:right="2"/>
              <w:jc w:val="center"/>
              <w:rPr>
                <w:rFonts w:ascii="宋体" w:hAnsi="宋体" w:eastAsia="宋体" w:cs="宋体"/>
                <w:sz w:val="21"/>
                <w:szCs w:val="21"/>
              </w:rPr>
            </w:pPr>
            <w:r>
              <w:rPr>
                <w:rFonts w:ascii="宋体" w:hAnsi="宋体" w:eastAsia="宋体" w:cs="宋体"/>
                <w:sz w:val="21"/>
                <w:szCs w:val="21"/>
              </w:rPr>
              <w:t>指</w:t>
            </w:r>
            <w:r>
              <w:rPr>
                <w:rFonts w:ascii="宋体" w:hAnsi="宋体" w:eastAsia="宋体" w:cs="宋体"/>
                <w:sz w:val="21"/>
                <w:szCs w:val="21"/>
              </w:rPr>
              <w:tab/>
            </w:r>
            <w:r>
              <w:rPr>
                <w:rFonts w:ascii="宋体" w:hAnsi="宋体" w:eastAsia="宋体" w:cs="宋体"/>
                <w:sz w:val="21"/>
                <w:szCs w:val="21"/>
              </w:rPr>
              <w:t>标</w:t>
            </w:r>
          </w:p>
        </w:tc>
        <w:tc>
          <w:tcPr>
            <w:tcW w:w="1135" w:type="dxa"/>
            <w:tcBorders>
              <w:top w:val="single" w:color="000000" w:sz="4" w:space="0"/>
              <w:left w:val="single" w:color="000000" w:sz="4" w:space="0"/>
              <w:bottom w:val="single" w:color="000000" w:sz="4" w:space="0"/>
              <w:right w:val="single" w:color="000000" w:sz="4" w:space="0"/>
            </w:tcBorders>
            <w:vAlign w:val="center"/>
          </w:tcPr>
          <w:p w14:paraId="3C57B156">
            <w:pPr>
              <w:pStyle w:val="65"/>
              <w:spacing w:before="24"/>
              <w:ind w:left="172"/>
              <w:rPr>
                <w:rFonts w:ascii="宋体" w:hAnsi="宋体" w:eastAsia="宋体" w:cs="宋体"/>
                <w:sz w:val="21"/>
                <w:szCs w:val="21"/>
              </w:rPr>
            </w:pPr>
            <w:r>
              <w:rPr>
                <w:rFonts w:ascii="宋体" w:hAnsi="宋体" w:eastAsia="宋体" w:cs="Times New Roman"/>
                <w:sz w:val="21"/>
                <w:szCs w:val="21"/>
              </w:rPr>
              <w:t xml:space="preserve">2025 </w:t>
            </w:r>
            <w:r>
              <w:rPr>
                <w:rFonts w:ascii="宋体" w:hAnsi="宋体" w:eastAsia="宋体" w:cs="宋体"/>
                <w:sz w:val="21"/>
                <w:szCs w:val="21"/>
              </w:rPr>
              <w:t>年（预期）</w:t>
            </w:r>
          </w:p>
        </w:tc>
        <w:tc>
          <w:tcPr>
            <w:tcW w:w="1011" w:type="dxa"/>
            <w:tcBorders>
              <w:top w:val="single" w:color="000000" w:sz="4" w:space="0"/>
              <w:left w:val="single" w:color="000000" w:sz="4" w:space="0"/>
              <w:bottom w:val="single" w:color="000000" w:sz="4" w:space="0"/>
              <w:right w:val="single" w:color="000000" w:sz="4" w:space="0"/>
            </w:tcBorders>
            <w:vAlign w:val="center"/>
          </w:tcPr>
          <w:p w14:paraId="74350B55">
            <w:pPr>
              <w:pStyle w:val="65"/>
              <w:ind w:left="110"/>
              <w:jc w:val="center"/>
              <w:rPr>
                <w:rFonts w:ascii="宋体" w:hAnsi="宋体" w:eastAsia="宋体" w:cs="宋体"/>
                <w:sz w:val="21"/>
                <w:szCs w:val="21"/>
              </w:rPr>
            </w:pPr>
            <w:r>
              <w:rPr>
                <w:rFonts w:ascii="宋体" w:hAnsi="宋体" w:eastAsia="宋体" w:cs="Times New Roman"/>
                <w:sz w:val="21"/>
                <w:szCs w:val="21"/>
              </w:rPr>
              <w:t xml:space="preserve">2030 </w:t>
            </w:r>
            <w:r>
              <w:rPr>
                <w:rFonts w:ascii="宋体" w:hAnsi="宋体" w:eastAsia="宋体" w:cs="宋体"/>
                <w:sz w:val="21"/>
                <w:szCs w:val="21"/>
              </w:rPr>
              <w:t>年</w:t>
            </w:r>
          </w:p>
        </w:tc>
        <w:tc>
          <w:tcPr>
            <w:tcW w:w="917" w:type="dxa"/>
            <w:tcBorders>
              <w:top w:val="single" w:color="000000" w:sz="4" w:space="0"/>
              <w:left w:val="single" w:color="000000" w:sz="4" w:space="0"/>
              <w:bottom w:val="single" w:color="000000" w:sz="4" w:space="0"/>
              <w:right w:val="single" w:color="000000" w:sz="4" w:space="0"/>
            </w:tcBorders>
            <w:vAlign w:val="center"/>
          </w:tcPr>
          <w:p w14:paraId="5DB5ABFC">
            <w:pPr>
              <w:pStyle w:val="65"/>
              <w:ind w:left="213"/>
              <w:jc w:val="center"/>
              <w:rPr>
                <w:rFonts w:ascii="宋体" w:hAnsi="宋体" w:eastAsia="宋体" w:cs="宋体"/>
                <w:sz w:val="21"/>
                <w:szCs w:val="21"/>
              </w:rPr>
            </w:pPr>
            <w:r>
              <w:rPr>
                <w:rFonts w:ascii="宋体" w:hAnsi="宋体" w:eastAsia="宋体" w:cs="宋体"/>
                <w:sz w:val="21"/>
                <w:szCs w:val="21"/>
              </w:rPr>
              <w:t>备注</w:t>
            </w:r>
          </w:p>
        </w:tc>
      </w:tr>
      <w:tr w14:paraId="569D9609">
        <w:tblPrEx>
          <w:tblCellMar>
            <w:top w:w="0" w:type="dxa"/>
            <w:left w:w="0" w:type="dxa"/>
            <w:bottom w:w="0" w:type="dxa"/>
            <w:right w:w="0" w:type="dxa"/>
          </w:tblCellMar>
        </w:tblPrEx>
        <w:trPr>
          <w:trHeight w:val="444" w:hRule="exact"/>
          <w:jc w:val="center"/>
        </w:trPr>
        <w:tc>
          <w:tcPr>
            <w:tcW w:w="1135" w:type="dxa"/>
            <w:tcBorders>
              <w:top w:val="single" w:color="000000" w:sz="4" w:space="0"/>
              <w:left w:val="single" w:color="000000" w:sz="4" w:space="0"/>
              <w:bottom w:val="single" w:color="000000" w:sz="4" w:space="0"/>
              <w:right w:val="single" w:color="000000" w:sz="4" w:space="0"/>
            </w:tcBorders>
            <w:vAlign w:val="center"/>
          </w:tcPr>
          <w:p w14:paraId="471C5A3B">
            <w:pPr>
              <w:pStyle w:val="65"/>
              <w:spacing w:before="24"/>
              <w:ind w:left="81"/>
              <w:rPr>
                <w:rFonts w:ascii="宋体" w:hAnsi="宋体" w:eastAsia="宋体" w:cs="宋体"/>
                <w:sz w:val="21"/>
                <w:szCs w:val="21"/>
              </w:rPr>
            </w:pPr>
            <w:r>
              <w:rPr>
                <w:rFonts w:ascii="宋体" w:hAnsi="宋体" w:eastAsia="宋体" w:cs="宋体"/>
                <w:sz w:val="21"/>
                <w:szCs w:val="21"/>
              </w:rPr>
              <w:t>防洪排涝</w:t>
            </w:r>
          </w:p>
        </w:tc>
        <w:tc>
          <w:tcPr>
            <w:tcW w:w="4110" w:type="dxa"/>
            <w:tcBorders>
              <w:top w:val="single" w:color="000000" w:sz="4" w:space="0"/>
              <w:left w:val="single" w:color="000000" w:sz="4" w:space="0"/>
              <w:bottom w:val="single" w:color="000000" w:sz="4" w:space="0"/>
              <w:right w:val="single" w:color="000000" w:sz="4" w:space="0"/>
            </w:tcBorders>
            <w:vAlign w:val="center"/>
          </w:tcPr>
          <w:p w14:paraId="25BE752F">
            <w:pPr>
              <w:pStyle w:val="65"/>
              <w:spacing w:before="24"/>
              <w:ind w:left="50"/>
              <w:rPr>
                <w:rFonts w:ascii="宋体" w:hAnsi="宋体" w:eastAsia="宋体" w:cs="宋体"/>
                <w:sz w:val="21"/>
                <w:szCs w:val="21"/>
              </w:rPr>
            </w:pPr>
            <w:r>
              <w:rPr>
                <w:rFonts w:ascii="宋体" w:hAnsi="宋体" w:eastAsia="宋体" w:cs="Times New Roman"/>
                <w:sz w:val="21"/>
                <w:szCs w:val="21"/>
              </w:rPr>
              <w:t>1.</w:t>
            </w:r>
            <w:r>
              <w:rPr>
                <w:rFonts w:ascii="宋体" w:hAnsi="宋体" w:eastAsia="宋体" w:cs="宋体"/>
                <w:sz w:val="21"/>
                <w:szCs w:val="21"/>
              </w:rPr>
              <w:t>江河堤防达标率（</w:t>
            </w:r>
            <w:r>
              <w:rPr>
                <w:rFonts w:ascii="宋体" w:hAnsi="宋体" w:eastAsia="宋体" w:cs="Times New Roman"/>
                <w:sz w:val="21"/>
                <w:szCs w:val="21"/>
              </w:rPr>
              <w:t>%</w:t>
            </w:r>
            <w:r>
              <w:rPr>
                <w:rFonts w:ascii="宋体" w:hAnsi="宋体" w:eastAsia="宋体" w:cs="宋体"/>
                <w:sz w:val="21"/>
                <w:szCs w:val="21"/>
              </w:rPr>
              <w:t>）</w:t>
            </w:r>
          </w:p>
        </w:tc>
        <w:tc>
          <w:tcPr>
            <w:tcW w:w="1135" w:type="dxa"/>
            <w:tcBorders>
              <w:top w:val="single" w:color="000000" w:sz="4" w:space="0"/>
              <w:left w:val="single" w:color="000000" w:sz="4" w:space="0"/>
              <w:bottom w:val="single" w:color="000000" w:sz="4" w:space="0"/>
              <w:right w:val="single" w:color="000000" w:sz="4" w:space="0"/>
            </w:tcBorders>
            <w:vAlign w:val="center"/>
          </w:tcPr>
          <w:p w14:paraId="16A24732">
            <w:pPr>
              <w:jc w:val="center"/>
              <w:rPr>
                <w:rFonts w:ascii="宋体" w:hAnsi="宋体"/>
                <w:sz w:val="21"/>
                <w:szCs w:val="21"/>
                <w:lang w:eastAsia="en-US"/>
              </w:rPr>
            </w:pPr>
            <w:r>
              <w:rPr>
                <w:rFonts w:ascii="宋体" w:hAnsi="宋体"/>
                <w:sz w:val="21"/>
                <w:szCs w:val="21"/>
                <w:lang w:eastAsia="en-US"/>
              </w:rPr>
              <w:t>80</w:t>
            </w:r>
          </w:p>
        </w:tc>
        <w:tc>
          <w:tcPr>
            <w:tcW w:w="1011" w:type="dxa"/>
            <w:tcBorders>
              <w:top w:val="single" w:color="000000" w:sz="4" w:space="0"/>
              <w:left w:val="single" w:color="000000" w:sz="4" w:space="0"/>
              <w:bottom w:val="single" w:color="000000" w:sz="4" w:space="0"/>
              <w:right w:val="single" w:color="000000" w:sz="4" w:space="0"/>
            </w:tcBorders>
            <w:vAlign w:val="center"/>
          </w:tcPr>
          <w:p w14:paraId="6A9208B3">
            <w:pPr>
              <w:jc w:val="center"/>
              <w:rPr>
                <w:rFonts w:ascii="宋体" w:hAnsi="宋体"/>
                <w:sz w:val="21"/>
                <w:szCs w:val="21"/>
                <w:lang w:eastAsia="en-US"/>
              </w:rPr>
            </w:pPr>
            <w:r>
              <w:rPr>
                <w:rFonts w:ascii="宋体" w:hAnsi="宋体"/>
                <w:sz w:val="21"/>
                <w:szCs w:val="21"/>
                <w:lang w:eastAsia="en-US"/>
              </w:rPr>
              <w:t>85</w:t>
            </w:r>
          </w:p>
        </w:tc>
        <w:tc>
          <w:tcPr>
            <w:tcW w:w="917" w:type="dxa"/>
            <w:tcBorders>
              <w:top w:val="single" w:color="000000" w:sz="4" w:space="0"/>
              <w:left w:val="single" w:color="000000" w:sz="4" w:space="0"/>
              <w:bottom w:val="single" w:color="000000" w:sz="4" w:space="0"/>
              <w:right w:val="single" w:color="000000" w:sz="4" w:space="0"/>
            </w:tcBorders>
            <w:vAlign w:val="center"/>
          </w:tcPr>
          <w:p w14:paraId="7F64BC6D">
            <w:pPr>
              <w:pStyle w:val="65"/>
              <w:spacing w:before="24"/>
              <w:ind w:left="93"/>
              <w:jc w:val="center"/>
              <w:rPr>
                <w:rFonts w:ascii="宋体" w:hAnsi="宋体" w:eastAsia="宋体" w:cs="宋体"/>
                <w:sz w:val="21"/>
                <w:szCs w:val="21"/>
              </w:rPr>
            </w:pPr>
            <w:r>
              <w:rPr>
                <w:rFonts w:ascii="宋体" w:hAnsi="宋体" w:eastAsia="宋体" w:cs="宋体"/>
                <w:sz w:val="21"/>
                <w:szCs w:val="21"/>
              </w:rPr>
              <w:t>预期性</w:t>
            </w:r>
          </w:p>
        </w:tc>
      </w:tr>
      <w:tr w14:paraId="2CA7AC20">
        <w:tblPrEx>
          <w:tblCellMar>
            <w:top w:w="0" w:type="dxa"/>
            <w:left w:w="0" w:type="dxa"/>
            <w:bottom w:w="0" w:type="dxa"/>
            <w:right w:w="0" w:type="dxa"/>
          </w:tblCellMar>
        </w:tblPrEx>
        <w:trPr>
          <w:trHeight w:val="446" w:hRule="exact"/>
          <w:jc w:val="center"/>
        </w:trPr>
        <w:tc>
          <w:tcPr>
            <w:tcW w:w="1135" w:type="dxa"/>
            <w:vMerge w:val="restart"/>
            <w:tcBorders>
              <w:top w:val="single" w:color="000000" w:sz="4" w:space="0"/>
              <w:left w:val="single" w:color="000000" w:sz="4" w:space="0"/>
              <w:right w:val="single" w:color="000000" w:sz="4" w:space="0"/>
            </w:tcBorders>
            <w:vAlign w:val="center"/>
          </w:tcPr>
          <w:p w14:paraId="4FD6BEBD">
            <w:pPr>
              <w:pStyle w:val="65"/>
              <w:spacing w:line="331" w:lineRule="auto"/>
              <w:ind w:left="201" w:right="81" w:hanging="120"/>
              <w:rPr>
                <w:rFonts w:ascii="宋体" w:hAnsi="宋体" w:eastAsia="宋体" w:cs="宋体"/>
                <w:sz w:val="21"/>
                <w:szCs w:val="21"/>
              </w:rPr>
            </w:pPr>
            <w:r>
              <w:rPr>
                <w:rFonts w:ascii="宋体" w:hAnsi="宋体" w:eastAsia="宋体" w:cs="宋体"/>
                <w:sz w:val="21"/>
                <w:szCs w:val="21"/>
              </w:rPr>
              <w:t>水资源高 效利用</w:t>
            </w:r>
          </w:p>
        </w:tc>
        <w:tc>
          <w:tcPr>
            <w:tcW w:w="4110" w:type="dxa"/>
            <w:tcBorders>
              <w:top w:val="single" w:color="000000" w:sz="4" w:space="0"/>
              <w:left w:val="single" w:color="000000" w:sz="4" w:space="0"/>
              <w:bottom w:val="single" w:color="000000" w:sz="4" w:space="0"/>
              <w:right w:val="single" w:color="000000" w:sz="4" w:space="0"/>
            </w:tcBorders>
            <w:vAlign w:val="center"/>
          </w:tcPr>
          <w:p w14:paraId="7C6030B3">
            <w:pPr>
              <w:jc w:val="left"/>
              <w:rPr>
                <w:rFonts w:ascii="宋体" w:hAnsi="宋体"/>
                <w:sz w:val="21"/>
                <w:szCs w:val="21"/>
                <w:lang w:eastAsia="en-US"/>
              </w:rPr>
            </w:pPr>
            <w:r>
              <w:rPr>
                <w:rFonts w:ascii="宋体" w:hAnsi="宋体"/>
                <w:sz w:val="21"/>
                <w:szCs w:val="21"/>
                <w:lang w:eastAsia="en-US"/>
              </w:rPr>
              <w:t>2.用水总量（亿 m3）</w:t>
            </w:r>
          </w:p>
        </w:tc>
        <w:tc>
          <w:tcPr>
            <w:tcW w:w="2146" w:type="dxa"/>
            <w:gridSpan w:val="2"/>
            <w:tcBorders>
              <w:top w:val="single" w:color="000000" w:sz="4" w:space="0"/>
              <w:left w:val="single" w:color="000000" w:sz="4" w:space="0"/>
              <w:bottom w:val="single" w:color="000000" w:sz="4" w:space="0"/>
              <w:right w:val="single" w:color="000000" w:sz="4" w:space="0"/>
            </w:tcBorders>
            <w:vAlign w:val="center"/>
          </w:tcPr>
          <w:p w14:paraId="598AC626">
            <w:pPr>
              <w:jc w:val="center"/>
              <w:rPr>
                <w:rFonts w:ascii="宋体" w:hAnsi="宋体"/>
                <w:sz w:val="21"/>
                <w:szCs w:val="21"/>
                <w:lang w:eastAsia="en-US"/>
              </w:rPr>
            </w:pPr>
            <w:r>
              <w:rPr>
                <w:rFonts w:hint="eastAsia" w:ascii="宋体" w:hAnsi="宋体" w:cs="宋体"/>
                <w:kern w:val="0"/>
                <w:sz w:val="20"/>
                <w:szCs w:val="20"/>
                <w:lang w:eastAsia="en-US"/>
              </w:rPr>
              <w:t>按上级下达指标确定</w:t>
            </w:r>
          </w:p>
        </w:tc>
        <w:tc>
          <w:tcPr>
            <w:tcW w:w="917" w:type="dxa"/>
            <w:tcBorders>
              <w:top w:val="single" w:color="000000" w:sz="4" w:space="0"/>
              <w:left w:val="single" w:color="000000" w:sz="4" w:space="0"/>
              <w:bottom w:val="single" w:color="000000" w:sz="4" w:space="0"/>
              <w:right w:val="single" w:color="000000" w:sz="4" w:space="0"/>
            </w:tcBorders>
            <w:vAlign w:val="center"/>
          </w:tcPr>
          <w:p w14:paraId="3BE072FA">
            <w:pPr>
              <w:pStyle w:val="65"/>
              <w:spacing w:before="24"/>
              <w:ind w:left="93"/>
              <w:jc w:val="center"/>
              <w:rPr>
                <w:rFonts w:ascii="宋体" w:hAnsi="宋体" w:eastAsia="宋体" w:cs="宋体"/>
                <w:sz w:val="21"/>
                <w:szCs w:val="21"/>
              </w:rPr>
            </w:pPr>
            <w:r>
              <w:rPr>
                <w:rFonts w:ascii="宋体" w:hAnsi="宋体" w:eastAsia="宋体" w:cs="宋体"/>
                <w:sz w:val="21"/>
                <w:szCs w:val="21"/>
              </w:rPr>
              <w:t>约束性</w:t>
            </w:r>
          </w:p>
        </w:tc>
      </w:tr>
      <w:tr w14:paraId="2FF0F4C9">
        <w:tblPrEx>
          <w:tblCellMar>
            <w:top w:w="0" w:type="dxa"/>
            <w:left w:w="0" w:type="dxa"/>
            <w:bottom w:w="0" w:type="dxa"/>
            <w:right w:w="0" w:type="dxa"/>
          </w:tblCellMar>
        </w:tblPrEx>
        <w:trPr>
          <w:trHeight w:val="444" w:hRule="exact"/>
          <w:jc w:val="center"/>
        </w:trPr>
        <w:tc>
          <w:tcPr>
            <w:tcW w:w="1135" w:type="dxa"/>
            <w:vMerge w:val="continue"/>
            <w:tcBorders>
              <w:left w:val="single" w:color="000000" w:sz="4" w:space="0"/>
              <w:right w:val="single" w:color="000000" w:sz="4" w:space="0"/>
            </w:tcBorders>
            <w:vAlign w:val="center"/>
          </w:tcPr>
          <w:p w14:paraId="37831028">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3A0FA1C7">
            <w:pPr>
              <w:jc w:val="left"/>
              <w:rPr>
                <w:rFonts w:ascii="宋体" w:hAnsi="宋体"/>
                <w:sz w:val="21"/>
                <w:szCs w:val="21"/>
                <w:lang w:eastAsia="en-US"/>
              </w:rPr>
            </w:pPr>
            <w:r>
              <w:rPr>
                <w:rFonts w:ascii="宋体" w:hAnsi="宋体"/>
                <w:sz w:val="21"/>
                <w:szCs w:val="21"/>
                <w:lang w:eastAsia="en-US"/>
              </w:rPr>
              <w:t>3.万元 GDP 用水量（m3）</w:t>
            </w:r>
          </w:p>
        </w:tc>
        <w:tc>
          <w:tcPr>
            <w:tcW w:w="2146" w:type="dxa"/>
            <w:gridSpan w:val="2"/>
            <w:tcBorders>
              <w:top w:val="single" w:color="000000" w:sz="4" w:space="0"/>
              <w:left w:val="single" w:color="000000" w:sz="4" w:space="0"/>
              <w:bottom w:val="single" w:color="000000" w:sz="4" w:space="0"/>
              <w:right w:val="single" w:color="000000" w:sz="4" w:space="0"/>
            </w:tcBorders>
            <w:vAlign w:val="center"/>
          </w:tcPr>
          <w:p w14:paraId="0D1A7C17">
            <w:pPr>
              <w:jc w:val="center"/>
              <w:rPr>
                <w:rFonts w:ascii="宋体" w:hAnsi="宋体"/>
                <w:sz w:val="21"/>
                <w:szCs w:val="21"/>
                <w:lang w:eastAsia="en-US"/>
              </w:rPr>
            </w:pPr>
            <w:r>
              <w:rPr>
                <w:rFonts w:hint="eastAsia" w:ascii="宋体" w:hAnsi="宋体" w:cs="宋体"/>
                <w:kern w:val="0"/>
                <w:sz w:val="20"/>
                <w:szCs w:val="20"/>
                <w:lang w:eastAsia="en-US"/>
              </w:rPr>
              <w:t>按上级下达指标确定</w:t>
            </w:r>
          </w:p>
        </w:tc>
        <w:tc>
          <w:tcPr>
            <w:tcW w:w="917" w:type="dxa"/>
            <w:tcBorders>
              <w:top w:val="single" w:color="000000" w:sz="4" w:space="0"/>
              <w:left w:val="single" w:color="000000" w:sz="4" w:space="0"/>
              <w:bottom w:val="single" w:color="000000" w:sz="4" w:space="0"/>
              <w:right w:val="single" w:color="000000" w:sz="4" w:space="0"/>
            </w:tcBorders>
            <w:vAlign w:val="center"/>
          </w:tcPr>
          <w:p w14:paraId="4C172B9D">
            <w:pPr>
              <w:pStyle w:val="65"/>
              <w:spacing w:before="22"/>
              <w:ind w:left="93"/>
              <w:jc w:val="center"/>
              <w:rPr>
                <w:rFonts w:ascii="宋体" w:hAnsi="宋体" w:eastAsia="宋体" w:cs="宋体"/>
                <w:sz w:val="21"/>
                <w:szCs w:val="21"/>
              </w:rPr>
            </w:pPr>
            <w:r>
              <w:rPr>
                <w:rFonts w:ascii="宋体" w:hAnsi="宋体" w:eastAsia="宋体" w:cs="宋体"/>
                <w:sz w:val="21"/>
                <w:szCs w:val="21"/>
              </w:rPr>
              <w:t>约束性</w:t>
            </w:r>
          </w:p>
        </w:tc>
      </w:tr>
      <w:tr w14:paraId="71A2EE42">
        <w:tblPrEx>
          <w:tblCellMar>
            <w:top w:w="0" w:type="dxa"/>
            <w:left w:w="0" w:type="dxa"/>
            <w:bottom w:w="0" w:type="dxa"/>
            <w:right w:w="0" w:type="dxa"/>
          </w:tblCellMar>
        </w:tblPrEx>
        <w:trPr>
          <w:trHeight w:val="446" w:hRule="exact"/>
          <w:jc w:val="center"/>
        </w:trPr>
        <w:tc>
          <w:tcPr>
            <w:tcW w:w="1135" w:type="dxa"/>
            <w:vMerge w:val="continue"/>
            <w:tcBorders>
              <w:left w:val="single" w:color="000000" w:sz="4" w:space="0"/>
              <w:right w:val="single" w:color="000000" w:sz="4" w:space="0"/>
            </w:tcBorders>
            <w:vAlign w:val="center"/>
          </w:tcPr>
          <w:p w14:paraId="49EB9930">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6E609BEE">
            <w:pPr>
              <w:jc w:val="left"/>
              <w:rPr>
                <w:rFonts w:ascii="宋体" w:hAnsi="宋体"/>
                <w:sz w:val="21"/>
                <w:szCs w:val="21"/>
                <w:lang w:eastAsia="zh-CN"/>
              </w:rPr>
            </w:pPr>
            <w:r>
              <w:rPr>
                <w:rFonts w:ascii="宋体" w:hAnsi="宋体"/>
                <w:sz w:val="21"/>
                <w:szCs w:val="21"/>
                <w:lang w:eastAsia="zh-CN"/>
              </w:rPr>
              <w:t>4.万元工业增加值用水量下降至（m3）</w:t>
            </w:r>
          </w:p>
        </w:tc>
        <w:tc>
          <w:tcPr>
            <w:tcW w:w="2146" w:type="dxa"/>
            <w:gridSpan w:val="2"/>
            <w:tcBorders>
              <w:top w:val="single" w:color="000000" w:sz="4" w:space="0"/>
              <w:left w:val="single" w:color="000000" w:sz="4" w:space="0"/>
              <w:bottom w:val="single" w:color="000000" w:sz="4" w:space="0"/>
              <w:right w:val="single" w:color="000000" w:sz="4" w:space="0"/>
            </w:tcBorders>
            <w:vAlign w:val="center"/>
          </w:tcPr>
          <w:p w14:paraId="520BD1F6">
            <w:pPr>
              <w:jc w:val="center"/>
              <w:rPr>
                <w:rFonts w:ascii="宋体" w:hAnsi="宋体"/>
                <w:sz w:val="21"/>
                <w:szCs w:val="21"/>
                <w:lang w:eastAsia="en-US"/>
              </w:rPr>
            </w:pPr>
            <w:r>
              <w:rPr>
                <w:rFonts w:hint="eastAsia" w:ascii="宋体" w:hAnsi="宋体" w:cs="宋体"/>
                <w:kern w:val="0"/>
                <w:sz w:val="20"/>
                <w:szCs w:val="20"/>
                <w:lang w:eastAsia="en-US"/>
              </w:rPr>
              <w:t>按上级下达指标确定</w:t>
            </w:r>
          </w:p>
        </w:tc>
        <w:tc>
          <w:tcPr>
            <w:tcW w:w="917" w:type="dxa"/>
            <w:tcBorders>
              <w:top w:val="single" w:color="000000" w:sz="4" w:space="0"/>
              <w:left w:val="single" w:color="000000" w:sz="4" w:space="0"/>
              <w:bottom w:val="single" w:color="000000" w:sz="4" w:space="0"/>
              <w:right w:val="single" w:color="000000" w:sz="4" w:space="0"/>
            </w:tcBorders>
            <w:vAlign w:val="center"/>
          </w:tcPr>
          <w:p w14:paraId="2A82A93A">
            <w:pPr>
              <w:pStyle w:val="65"/>
              <w:spacing w:before="22"/>
              <w:ind w:left="93"/>
              <w:jc w:val="center"/>
              <w:rPr>
                <w:rFonts w:ascii="宋体" w:hAnsi="宋体" w:eastAsia="宋体" w:cs="宋体"/>
                <w:sz w:val="21"/>
                <w:szCs w:val="21"/>
              </w:rPr>
            </w:pPr>
            <w:r>
              <w:rPr>
                <w:rFonts w:ascii="宋体" w:hAnsi="宋体" w:eastAsia="宋体" w:cs="宋体"/>
                <w:sz w:val="21"/>
                <w:szCs w:val="21"/>
              </w:rPr>
              <w:t>约束性</w:t>
            </w:r>
          </w:p>
        </w:tc>
      </w:tr>
      <w:tr w14:paraId="407B1662">
        <w:tblPrEx>
          <w:tblCellMar>
            <w:top w:w="0" w:type="dxa"/>
            <w:left w:w="0" w:type="dxa"/>
            <w:bottom w:w="0" w:type="dxa"/>
            <w:right w:w="0" w:type="dxa"/>
          </w:tblCellMar>
        </w:tblPrEx>
        <w:trPr>
          <w:trHeight w:val="444" w:hRule="exact"/>
          <w:jc w:val="center"/>
        </w:trPr>
        <w:tc>
          <w:tcPr>
            <w:tcW w:w="1135" w:type="dxa"/>
            <w:vMerge w:val="continue"/>
            <w:tcBorders>
              <w:left w:val="single" w:color="000000" w:sz="4" w:space="0"/>
              <w:bottom w:val="single" w:color="000000" w:sz="4" w:space="0"/>
              <w:right w:val="single" w:color="000000" w:sz="4" w:space="0"/>
            </w:tcBorders>
            <w:vAlign w:val="center"/>
          </w:tcPr>
          <w:p w14:paraId="129B522A">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6BABD638">
            <w:pPr>
              <w:pStyle w:val="65"/>
              <w:spacing w:before="21"/>
              <w:ind w:left="50"/>
              <w:rPr>
                <w:rFonts w:ascii="宋体" w:hAnsi="宋体" w:eastAsia="宋体" w:cs="宋体"/>
                <w:sz w:val="21"/>
                <w:szCs w:val="21"/>
                <w:lang w:eastAsia="zh-CN"/>
              </w:rPr>
            </w:pPr>
            <w:r>
              <w:rPr>
                <w:rFonts w:ascii="宋体" w:hAnsi="宋体" w:eastAsia="宋体" w:cs="Times New Roman"/>
                <w:sz w:val="21"/>
                <w:szCs w:val="21"/>
                <w:lang w:eastAsia="zh-CN"/>
              </w:rPr>
              <w:t>5.</w:t>
            </w:r>
            <w:r>
              <w:rPr>
                <w:rFonts w:ascii="宋体" w:hAnsi="宋体" w:eastAsia="宋体" w:cs="宋体"/>
                <w:position w:val="1"/>
                <w:sz w:val="21"/>
                <w:szCs w:val="21"/>
                <w:lang w:eastAsia="zh-CN"/>
              </w:rPr>
              <w:t>农田灌溉水有效利用系数</w:t>
            </w:r>
          </w:p>
        </w:tc>
        <w:tc>
          <w:tcPr>
            <w:tcW w:w="2146" w:type="dxa"/>
            <w:gridSpan w:val="2"/>
            <w:tcBorders>
              <w:top w:val="single" w:color="000000" w:sz="4" w:space="0"/>
              <w:left w:val="single" w:color="000000" w:sz="4" w:space="0"/>
              <w:bottom w:val="single" w:color="000000" w:sz="4" w:space="0"/>
              <w:right w:val="single" w:color="000000" w:sz="4" w:space="0"/>
            </w:tcBorders>
            <w:vAlign w:val="center"/>
          </w:tcPr>
          <w:p w14:paraId="2CAE68F4">
            <w:pPr>
              <w:jc w:val="center"/>
              <w:rPr>
                <w:rFonts w:ascii="宋体" w:hAnsi="宋体"/>
                <w:sz w:val="21"/>
                <w:szCs w:val="21"/>
                <w:lang w:eastAsia="en-US"/>
              </w:rPr>
            </w:pPr>
            <w:r>
              <w:rPr>
                <w:rFonts w:hint="eastAsia" w:ascii="宋体" w:hAnsi="宋体" w:cs="宋体"/>
                <w:kern w:val="0"/>
                <w:sz w:val="20"/>
                <w:szCs w:val="20"/>
                <w:lang w:eastAsia="en-US"/>
              </w:rPr>
              <w:t>按上级下达指标确定</w:t>
            </w:r>
          </w:p>
        </w:tc>
        <w:tc>
          <w:tcPr>
            <w:tcW w:w="917" w:type="dxa"/>
            <w:tcBorders>
              <w:top w:val="single" w:color="000000" w:sz="4" w:space="0"/>
              <w:left w:val="single" w:color="000000" w:sz="4" w:space="0"/>
              <w:bottom w:val="single" w:color="000000" w:sz="4" w:space="0"/>
              <w:right w:val="single" w:color="000000" w:sz="4" w:space="0"/>
            </w:tcBorders>
            <w:vAlign w:val="center"/>
          </w:tcPr>
          <w:p w14:paraId="39FD2B83">
            <w:pPr>
              <w:pStyle w:val="65"/>
              <w:spacing w:before="22"/>
              <w:ind w:left="93"/>
              <w:jc w:val="center"/>
              <w:rPr>
                <w:rFonts w:ascii="宋体" w:hAnsi="宋体" w:eastAsia="宋体" w:cs="宋体"/>
                <w:sz w:val="21"/>
                <w:szCs w:val="21"/>
              </w:rPr>
            </w:pPr>
            <w:r>
              <w:rPr>
                <w:rFonts w:ascii="宋体" w:hAnsi="宋体" w:eastAsia="宋体" w:cs="宋体"/>
                <w:sz w:val="21"/>
                <w:szCs w:val="21"/>
              </w:rPr>
              <w:t>预期性</w:t>
            </w:r>
          </w:p>
        </w:tc>
      </w:tr>
      <w:tr w14:paraId="45AA6942">
        <w:tblPrEx>
          <w:tblCellMar>
            <w:top w:w="0" w:type="dxa"/>
            <w:left w:w="0" w:type="dxa"/>
            <w:bottom w:w="0" w:type="dxa"/>
            <w:right w:w="0" w:type="dxa"/>
          </w:tblCellMar>
        </w:tblPrEx>
        <w:trPr>
          <w:trHeight w:val="444" w:hRule="exact"/>
          <w:jc w:val="center"/>
        </w:trPr>
        <w:tc>
          <w:tcPr>
            <w:tcW w:w="1135" w:type="dxa"/>
            <w:vMerge w:val="restart"/>
            <w:tcBorders>
              <w:top w:val="single" w:color="000000" w:sz="4" w:space="0"/>
              <w:left w:val="single" w:color="000000" w:sz="4" w:space="0"/>
              <w:right w:val="single" w:color="000000" w:sz="4" w:space="0"/>
            </w:tcBorders>
            <w:vAlign w:val="center"/>
          </w:tcPr>
          <w:p w14:paraId="03CBC4CE">
            <w:pPr>
              <w:pStyle w:val="65"/>
              <w:spacing w:line="333" w:lineRule="auto"/>
              <w:ind w:left="201" w:right="81" w:hanging="120"/>
              <w:rPr>
                <w:rFonts w:ascii="宋体" w:hAnsi="宋体" w:eastAsia="宋体" w:cs="宋体"/>
                <w:sz w:val="21"/>
                <w:szCs w:val="21"/>
              </w:rPr>
            </w:pPr>
            <w:r>
              <w:rPr>
                <w:rFonts w:ascii="宋体" w:hAnsi="宋体" w:eastAsia="宋体" w:cs="宋体"/>
                <w:sz w:val="21"/>
                <w:szCs w:val="21"/>
              </w:rPr>
              <w:t>水资源优 化配置</w:t>
            </w:r>
          </w:p>
        </w:tc>
        <w:tc>
          <w:tcPr>
            <w:tcW w:w="4110" w:type="dxa"/>
            <w:tcBorders>
              <w:top w:val="single" w:color="000000" w:sz="4" w:space="0"/>
              <w:left w:val="single" w:color="000000" w:sz="4" w:space="0"/>
              <w:bottom w:val="single" w:color="000000" w:sz="4" w:space="0"/>
              <w:right w:val="single" w:color="000000" w:sz="4" w:space="0"/>
            </w:tcBorders>
            <w:vAlign w:val="center"/>
          </w:tcPr>
          <w:p w14:paraId="3B49B6BA">
            <w:pPr>
              <w:pStyle w:val="65"/>
              <w:spacing w:before="21"/>
              <w:ind w:left="50"/>
              <w:rPr>
                <w:rFonts w:ascii="宋体" w:hAnsi="宋体" w:eastAsia="宋体" w:cs="宋体"/>
                <w:sz w:val="21"/>
                <w:szCs w:val="21"/>
                <w:lang w:eastAsia="zh-CN"/>
              </w:rPr>
            </w:pPr>
            <w:r>
              <w:rPr>
                <w:rFonts w:ascii="宋体" w:hAnsi="宋体" w:eastAsia="宋体" w:cs="Times New Roman"/>
                <w:sz w:val="21"/>
                <w:szCs w:val="21"/>
                <w:lang w:eastAsia="zh-CN"/>
              </w:rPr>
              <w:t>6.</w:t>
            </w:r>
            <w:r>
              <w:rPr>
                <w:rFonts w:hint="eastAsia" w:ascii="宋体" w:hAnsi="宋体" w:eastAsia="宋体" w:cs="宋体"/>
                <w:position w:val="1"/>
                <w:sz w:val="21"/>
                <w:szCs w:val="21"/>
                <w:lang w:eastAsia="zh-CN"/>
              </w:rPr>
              <w:t>县</w:t>
            </w:r>
            <w:r>
              <w:rPr>
                <w:rFonts w:ascii="宋体" w:hAnsi="宋体" w:eastAsia="宋体" w:cs="宋体"/>
                <w:position w:val="1"/>
                <w:sz w:val="21"/>
                <w:szCs w:val="21"/>
                <w:lang w:eastAsia="zh-CN"/>
              </w:rPr>
              <w:t>级水网覆盖范围（</w:t>
            </w:r>
            <w:r>
              <w:rPr>
                <w:rFonts w:ascii="宋体" w:hAnsi="宋体" w:eastAsia="宋体" w:cs="Times New Roman"/>
                <w:sz w:val="21"/>
                <w:szCs w:val="21"/>
                <w:lang w:eastAsia="zh-CN"/>
              </w:rPr>
              <w:t>%</w:t>
            </w:r>
            <w:r>
              <w:rPr>
                <w:rFonts w:ascii="宋体" w:hAnsi="宋体" w:eastAsia="宋体" w:cs="宋体"/>
                <w:position w:val="1"/>
                <w:sz w:val="21"/>
                <w:szCs w:val="21"/>
                <w:lang w:eastAsia="zh-CN"/>
              </w:rPr>
              <w:t>）</w:t>
            </w:r>
          </w:p>
        </w:tc>
        <w:tc>
          <w:tcPr>
            <w:tcW w:w="1135" w:type="dxa"/>
            <w:tcBorders>
              <w:top w:val="single" w:color="000000" w:sz="4" w:space="0"/>
              <w:left w:val="single" w:color="000000" w:sz="4" w:space="0"/>
              <w:bottom w:val="single" w:color="000000" w:sz="4" w:space="0"/>
              <w:right w:val="single" w:color="000000" w:sz="4" w:space="0"/>
            </w:tcBorders>
            <w:vAlign w:val="center"/>
          </w:tcPr>
          <w:p w14:paraId="15F3D7A3">
            <w:pPr>
              <w:jc w:val="center"/>
              <w:rPr>
                <w:rFonts w:ascii="宋体" w:hAnsi="宋体"/>
                <w:sz w:val="21"/>
                <w:szCs w:val="21"/>
                <w:lang w:eastAsia="en-US"/>
              </w:rPr>
            </w:pPr>
            <w:r>
              <w:rPr>
                <w:rFonts w:ascii="宋体" w:hAnsi="宋体"/>
                <w:sz w:val="21"/>
                <w:szCs w:val="21"/>
                <w:lang w:eastAsia="en-US"/>
              </w:rPr>
              <w:t>/</w:t>
            </w:r>
          </w:p>
        </w:tc>
        <w:tc>
          <w:tcPr>
            <w:tcW w:w="1011" w:type="dxa"/>
            <w:tcBorders>
              <w:top w:val="single" w:color="000000" w:sz="4" w:space="0"/>
              <w:left w:val="single" w:color="000000" w:sz="4" w:space="0"/>
              <w:bottom w:val="single" w:color="000000" w:sz="4" w:space="0"/>
              <w:right w:val="single" w:color="000000" w:sz="4" w:space="0"/>
            </w:tcBorders>
            <w:vAlign w:val="center"/>
          </w:tcPr>
          <w:p w14:paraId="46A4486E">
            <w:pPr>
              <w:jc w:val="center"/>
              <w:rPr>
                <w:rFonts w:ascii="宋体" w:hAnsi="宋体"/>
                <w:sz w:val="21"/>
                <w:szCs w:val="21"/>
                <w:lang w:eastAsia="en-US"/>
              </w:rPr>
            </w:pPr>
            <w:r>
              <w:rPr>
                <w:rFonts w:ascii="宋体" w:hAnsi="宋体"/>
                <w:sz w:val="21"/>
                <w:szCs w:val="21"/>
                <w:lang w:eastAsia="en-US"/>
              </w:rPr>
              <w:t>80</w:t>
            </w:r>
          </w:p>
        </w:tc>
        <w:tc>
          <w:tcPr>
            <w:tcW w:w="917" w:type="dxa"/>
            <w:tcBorders>
              <w:top w:val="single" w:color="000000" w:sz="4" w:space="0"/>
              <w:left w:val="single" w:color="000000" w:sz="4" w:space="0"/>
              <w:bottom w:val="single" w:color="000000" w:sz="4" w:space="0"/>
              <w:right w:val="single" w:color="000000" w:sz="4" w:space="0"/>
            </w:tcBorders>
            <w:vAlign w:val="center"/>
          </w:tcPr>
          <w:p w14:paraId="277B70FD">
            <w:pPr>
              <w:pStyle w:val="65"/>
              <w:spacing w:before="22"/>
              <w:ind w:left="93"/>
              <w:jc w:val="center"/>
              <w:rPr>
                <w:rFonts w:ascii="宋体" w:hAnsi="宋体" w:eastAsia="宋体" w:cs="宋体"/>
                <w:sz w:val="21"/>
                <w:szCs w:val="21"/>
              </w:rPr>
            </w:pPr>
            <w:r>
              <w:rPr>
                <w:rFonts w:ascii="宋体" w:hAnsi="宋体" w:eastAsia="宋体" w:cs="宋体"/>
                <w:sz w:val="21"/>
                <w:szCs w:val="21"/>
              </w:rPr>
              <w:t>预期性</w:t>
            </w:r>
          </w:p>
        </w:tc>
      </w:tr>
      <w:tr w14:paraId="4AEE203E">
        <w:tblPrEx>
          <w:tblCellMar>
            <w:top w:w="0" w:type="dxa"/>
            <w:left w:w="0" w:type="dxa"/>
            <w:bottom w:w="0" w:type="dxa"/>
            <w:right w:w="0" w:type="dxa"/>
          </w:tblCellMar>
        </w:tblPrEx>
        <w:trPr>
          <w:trHeight w:val="447" w:hRule="exact"/>
          <w:jc w:val="center"/>
        </w:trPr>
        <w:tc>
          <w:tcPr>
            <w:tcW w:w="1135" w:type="dxa"/>
            <w:vMerge w:val="continue"/>
            <w:tcBorders>
              <w:left w:val="single" w:color="000000" w:sz="4" w:space="0"/>
              <w:right w:val="single" w:color="000000" w:sz="4" w:space="0"/>
            </w:tcBorders>
            <w:vAlign w:val="center"/>
          </w:tcPr>
          <w:p w14:paraId="3594F087">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2DDC45EF">
            <w:pPr>
              <w:pStyle w:val="65"/>
              <w:spacing w:before="24"/>
              <w:ind w:left="50"/>
              <w:rPr>
                <w:rFonts w:ascii="宋体" w:hAnsi="宋体" w:eastAsia="宋体" w:cs="宋体"/>
                <w:sz w:val="21"/>
                <w:szCs w:val="21"/>
                <w:lang w:eastAsia="zh-CN"/>
              </w:rPr>
            </w:pPr>
            <w:r>
              <w:rPr>
                <w:rFonts w:ascii="宋体" w:hAnsi="宋体" w:eastAsia="宋体" w:cs="Times New Roman"/>
                <w:sz w:val="21"/>
                <w:szCs w:val="21"/>
                <w:lang w:eastAsia="zh-CN"/>
              </w:rPr>
              <w:t>7.</w:t>
            </w:r>
            <w:r>
              <w:rPr>
                <w:rFonts w:hint="eastAsia" w:ascii="宋体" w:hAnsi="宋体" w:eastAsia="宋体" w:cs="宋体"/>
                <w:position w:val="1"/>
                <w:sz w:val="21"/>
                <w:szCs w:val="21"/>
                <w:lang w:eastAsia="zh-CN"/>
              </w:rPr>
              <w:t>县</w:t>
            </w:r>
            <w:r>
              <w:rPr>
                <w:rFonts w:ascii="宋体" w:hAnsi="宋体" w:eastAsia="宋体" w:cs="宋体"/>
                <w:position w:val="1"/>
                <w:sz w:val="21"/>
                <w:szCs w:val="21"/>
                <w:lang w:eastAsia="zh-CN"/>
              </w:rPr>
              <w:t>级骨干河网水流调配率（</w:t>
            </w:r>
            <w:r>
              <w:rPr>
                <w:rFonts w:ascii="宋体" w:hAnsi="宋体" w:eastAsia="宋体" w:cs="Times New Roman"/>
                <w:sz w:val="21"/>
                <w:szCs w:val="21"/>
                <w:lang w:eastAsia="zh-CN"/>
              </w:rPr>
              <w:t>%</w:t>
            </w:r>
            <w:r>
              <w:rPr>
                <w:rFonts w:ascii="宋体" w:hAnsi="宋体" w:eastAsia="宋体" w:cs="宋体"/>
                <w:position w:val="1"/>
                <w:sz w:val="21"/>
                <w:szCs w:val="21"/>
                <w:lang w:eastAsia="zh-CN"/>
              </w:rPr>
              <w:t>）</w:t>
            </w:r>
          </w:p>
        </w:tc>
        <w:tc>
          <w:tcPr>
            <w:tcW w:w="1135" w:type="dxa"/>
            <w:tcBorders>
              <w:top w:val="single" w:color="000000" w:sz="4" w:space="0"/>
              <w:left w:val="single" w:color="000000" w:sz="4" w:space="0"/>
              <w:bottom w:val="single" w:color="000000" w:sz="4" w:space="0"/>
              <w:right w:val="single" w:color="000000" w:sz="4" w:space="0"/>
            </w:tcBorders>
            <w:vAlign w:val="center"/>
          </w:tcPr>
          <w:p w14:paraId="7673A1F6">
            <w:pPr>
              <w:jc w:val="center"/>
              <w:rPr>
                <w:rFonts w:ascii="宋体" w:hAnsi="宋体"/>
                <w:sz w:val="21"/>
                <w:szCs w:val="21"/>
                <w:lang w:eastAsia="en-US"/>
              </w:rPr>
            </w:pPr>
            <w:r>
              <w:rPr>
                <w:rFonts w:ascii="宋体" w:hAnsi="宋体"/>
                <w:sz w:val="21"/>
                <w:szCs w:val="21"/>
                <w:lang w:eastAsia="en-US"/>
              </w:rPr>
              <w:t>/</w:t>
            </w:r>
          </w:p>
        </w:tc>
        <w:tc>
          <w:tcPr>
            <w:tcW w:w="1011" w:type="dxa"/>
            <w:tcBorders>
              <w:top w:val="single" w:color="000000" w:sz="4" w:space="0"/>
              <w:left w:val="single" w:color="000000" w:sz="4" w:space="0"/>
              <w:bottom w:val="single" w:color="000000" w:sz="4" w:space="0"/>
              <w:right w:val="single" w:color="000000" w:sz="4" w:space="0"/>
            </w:tcBorders>
            <w:vAlign w:val="center"/>
          </w:tcPr>
          <w:p w14:paraId="4D1946CA">
            <w:pPr>
              <w:jc w:val="center"/>
              <w:rPr>
                <w:rFonts w:ascii="宋体" w:hAnsi="宋体"/>
                <w:sz w:val="21"/>
                <w:szCs w:val="21"/>
                <w:lang w:eastAsia="en-US"/>
              </w:rPr>
            </w:pPr>
            <w:r>
              <w:rPr>
                <w:rFonts w:ascii="宋体" w:hAnsi="宋体"/>
                <w:sz w:val="21"/>
                <w:szCs w:val="21"/>
                <w:lang w:eastAsia="en-US"/>
              </w:rPr>
              <w:t>75</w:t>
            </w:r>
          </w:p>
        </w:tc>
        <w:tc>
          <w:tcPr>
            <w:tcW w:w="917" w:type="dxa"/>
            <w:tcBorders>
              <w:top w:val="single" w:color="000000" w:sz="4" w:space="0"/>
              <w:left w:val="single" w:color="000000" w:sz="4" w:space="0"/>
              <w:bottom w:val="single" w:color="000000" w:sz="4" w:space="0"/>
              <w:right w:val="single" w:color="000000" w:sz="4" w:space="0"/>
            </w:tcBorders>
            <w:vAlign w:val="center"/>
          </w:tcPr>
          <w:p w14:paraId="5DBD86ED">
            <w:pPr>
              <w:pStyle w:val="65"/>
              <w:spacing w:before="25"/>
              <w:ind w:left="93"/>
              <w:jc w:val="center"/>
              <w:rPr>
                <w:rFonts w:ascii="宋体" w:hAnsi="宋体" w:eastAsia="宋体" w:cs="宋体"/>
                <w:sz w:val="21"/>
                <w:szCs w:val="21"/>
              </w:rPr>
            </w:pPr>
            <w:r>
              <w:rPr>
                <w:rFonts w:ascii="宋体" w:hAnsi="宋体" w:eastAsia="宋体" w:cs="宋体"/>
                <w:sz w:val="21"/>
                <w:szCs w:val="21"/>
              </w:rPr>
              <w:t>预期性</w:t>
            </w:r>
          </w:p>
        </w:tc>
      </w:tr>
      <w:tr w14:paraId="337638F1">
        <w:tblPrEx>
          <w:tblCellMar>
            <w:top w:w="0" w:type="dxa"/>
            <w:left w:w="0" w:type="dxa"/>
            <w:bottom w:w="0" w:type="dxa"/>
            <w:right w:w="0" w:type="dxa"/>
          </w:tblCellMar>
        </w:tblPrEx>
        <w:trPr>
          <w:trHeight w:val="881" w:hRule="exact"/>
          <w:jc w:val="center"/>
        </w:trPr>
        <w:tc>
          <w:tcPr>
            <w:tcW w:w="1135" w:type="dxa"/>
            <w:vMerge w:val="continue"/>
            <w:tcBorders>
              <w:left w:val="single" w:color="000000" w:sz="4" w:space="0"/>
              <w:right w:val="single" w:color="000000" w:sz="4" w:space="0"/>
            </w:tcBorders>
            <w:vAlign w:val="center"/>
          </w:tcPr>
          <w:p w14:paraId="2C57C4D0">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5ABFDE3C">
            <w:pPr>
              <w:pStyle w:val="65"/>
              <w:spacing w:before="21"/>
              <w:ind w:left="50"/>
              <w:rPr>
                <w:rFonts w:ascii="宋体" w:hAnsi="宋体" w:eastAsia="宋体" w:cs="宋体"/>
                <w:sz w:val="21"/>
                <w:szCs w:val="21"/>
                <w:lang w:eastAsia="zh-CN"/>
              </w:rPr>
            </w:pPr>
            <w:r>
              <w:rPr>
                <w:rFonts w:ascii="宋体" w:hAnsi="宋体" w:eastAsia="宋体" w:cs="Times New Roman"/>
                <w:spacing w:val="13"/>
                <w:sz w:val="21"/>
                <w:szCs w:val="21"/>
                <w:lang w:eastAsia="zh-CN"/>
              </w:rPr>
              <w:t>8.</w:t>
            </w:r>
            <w:r>
              <w:rPr>
                <w:rFonts w:ascii="宋体" w:hAnsi="宋体" w:eastAsia="宋体" w:cs="宋体"/>
                <w:spacing w:val="13"/>
                <w:position w:val="1"/>
                <w:sz w:val="21"/>
                <w:szCs w:val="21"/>
                <w:lang w:eastAsia="zh-CN"/>
              </w:rPr>
              <w:t>规模化供水工程服务农村人口比例</w:t>
            </w:r>
            <w:r>
              <w:rPr>
                <w:rFonts w:ascii="宋体" w:hAnsi="宋体" w:eastAsia="宋体" w:cs="宋体"/>
                <w:position w:val="1"/>
                <w:sz w:val="21"/>
                <w:szCs w:val="21"/>
                <w:lang w:eastAsia="zh-CN"/>
              </w:rPr>
              <w:t>（</w:t>
            </w:r>
            <w:r>
              <w:rPr>
                <w:rFonts w:ascii="宋体" w:hAnsi="宋体" w:eastAsia="宋体" w:cs="Times New Roman"/>
                <w:sz w:val="21"/>
                <w:szCs w:val="21"/>
                <w:lang w:eastAsia="zh-CN"/>
              </w:rPr>
              <w:t>%</w:t>
            </w:r>
            <w:r>
              <w:rPr>
                <w:rFonts w:ascii="宋体" w:hAnsi="宋体" w:eastAsia="宋体" w:cs="宋体"/>
                <w:position w:val="1"/>
                <w:sz w:val="21"/>
                <w:szCs w:val="21"/>
                <w:lang w:eastAsia="zh-CN"/>
              </w:rPr>
              <w:t>）</w:t>
            </w:r>
          </w:p>
        </w:tc>
        <w:tc>
          <w:tcPr>
            <w:tcW w:w="1135" w:type="dxa"/>
            <w:tcBorders>
              <w:top w:val="single" w:color="000000" w:sz="4" w:space="0"/>
              <w:left w:val="single" w:color="000000" w:sz="4" w:space="0"/>
              <w:bottom w:val="single" w:color="000000" w:sz="4" w:space="0"/>
              <w:right w:val="single" w:color="000000" w:sz="4" w:space="0"/>
            </w:tcBorders>
            <w:vAlign w:val="center"/>
          </w:tcPr>
          <w:p w14:paraId="3DE215D7">
            <w:pPr>
              <w:jc w:val="center"/>
              <w:rPr>
                <w:rFonts w:ascii="宋体" w:hAnsi="宋体"/>
                <w:sz w:val="21"/>
                <w:szCs w:val="21"/>
                <w:lang w:eastAsia="en-US"/>
              </w:rPr>
            </w:pPr>
            <w:r>
              <w:rPr>
                <w:rFonts w:ascii="宋体" w:hAnsi="宋体"/>
                <w:sz w:val="21"/>
                <w:szCs w:val="21"/>
                <w:lang w:eastAsia="en-US"/>
              </w:rPr>
              <w:t>70</w:t>
            </w:r>
          </w:p>
        </w:tc>
        <w:tc>
          <w:tcPr>
            <w:tcW w:w="1011" w:type="dxa"/>
            <w:tcBorders>
              <w:top w:val="single" w:color="000000" w:sz="4" w:space="0"/>
              <w:left w:val="single" w:color="000000" w:sz="4" w:space="0"/>
              <w:bottom w:val="single" w:color="000000" w:sz="4" w:space="0"/>
              <w:right w:val="single" w:color="000000" w:sz="4" w:space="0"/>
            </w:tcBorders>
            <w:vAlign w:val="center"/>
          </w:tcPr>
          <w:p w14:paraId="52BE4641">
            <w:pPr>
              <w:jc w:val="center"/>
              <w:rPr>
                <w:rFonts w:ascii="宋体" w:hAnsi="宋体"/>
                <w:sz w:val="21"/>
                <w:szCs w:val="21"/>
                <w:lang w:eastAsia="en-US"/>
              </w:rPr>
            </w:pPr>
            <w:r>
              <w:rPr>
                <w:rFonts w:ascii="宋体" w:hAnsi="宋体"/>
                <w:sz w:val="21"/>
                <w:szCs w:val="21"/>
                <w:lang w:eastAsia="en-US"/>
              </w:rPr>
              <w:t>75</w:t>
            </w:r>
          </w:p>
        </w:tc>
        <w:tc>
          <w:tcPr>
            <w:tcW w:w="917" w:type="dxa"/>
            <w:tcBorders>
              <w:top w:val="single" w:color="000000" w:sz="4" w:space="0"/>
              <w:left w:val="single" w:color="000000" w:sz="4" w:space="0"/>
              <w:bottom w:val="single" w:color="000000" w:sz="4" w:space="0"/>
              <w:right w:val="single" w:color="000000" w:sz="4" w:space="0"/>
            </w:tcBorders>
            <w:vAlign w:val="center"/>
          </w:tcPr>
          <w:p w14:paraId="786E1DB2">
            <w:pPr>
              <w:pStyle w:val="65"/>
              <w:ind w:left="93"/>
              <w:jc w:val="center"/>
              <w:rPr>
                <w:rFonts w:ascii="宋体" w:hAnsi="宋体" w:eastAsia="宋体" w:cs="宋体"/>
                <w:sz w:val="21"/>
                <w:szCs w:val="21"/>
              </w:rPr>
            </w:pPr>
            <w:r>
              <w:rPr>
                <w:rFonts w:ascii="宋体" w:hAnsi="宋体" w:eastAsia="宋体" w:cs="宋体"/>
                <w:sz w:val="21"/>
                <w:szCs w:val="21"/>
              </w:rPr>
              <w:t>预期性</w:t>
            </w:r>
          </w:p>
        </w:tc>
      </w:tr>
      <w:tr w14:paraId="58CB7142">
        <w:tblPrEx>
          <w:tblCellMar>
            <w:top w:w="0" w:type="dxa"/>
            <w:left w:w="0" w:type="dxa"/>
            <w:bottom w:w="0" w:type="dxa"/>
            <w:right w:w="0" w:type="dxa"/>
          </w:tblCellMar>
        </w:tblPrEx>
        <w:trPr>
          <w:trHeight w:val="444" w:hRule="exact"/>
          <w:jc w:val="center"/>
        </w:trPr>
        <w:tc>
          <w:tcPr>
            <w:tcW w:w="1135" w:type="dxa"/>
            <w:vMerge w:val="continue"/>
            <w:tcBorders>
              <w:left w:val="single" w:color="000000" w:sz="4" w:space="0"/>
              <w:bottom w:val="single" w:color="000000" w:sz="4" w:space="0"/>
              <w:right w:val="single" w:color="000000" w:sz="4" w:space="0"/>
            </w:tcBorders>
            <w:vAlign w:val="center"/>
          </w:tcPr>
          <w:p w14:paraId="59733204">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3352B3B2">
            <w:pPr>
              <w:pStyle w:val="65"/>
              <w:spacing w:before="21"/>
              <w:ind w:left="50"/>
              <w:rPr>
                <w:rFonts w:ascii="宋体" w:hAnsi="宋体" w:eastAsia="宋体" w:cs="宋体"/>
                <w:sz w:val="21"/>
                <w:szCs w:val="21"/>
              </w:rPr>
            </w:pPr>
            <w:r>
              <w:rPr>
                <w:rFonts w:ascii="宋体" w:hAnsi="宋体" w:eastAsia="宋体" w:cs="Times New Roman"/>
                <w:sz w:val="21"/>
                <w:szCs w:val="21"/>
              </w:rPr>
              <w:t>9.</w:t>
            </w:r>
            <w:r>
              <w:rPr>
                <w:rFonts w:ascii="宋体" w:hAnsi="宋体" w:eastAsia="宋体" w:cs="宋体"/>
                <w:position w:val="1"/>
                <w:sz w:val="21"/>
                <w:szCs w:val="21"/>
              </w:rPr>
              <w:t>供水安全系数</w:t>
            </w:r>
          </w:p>
        </w:tc>
        <w:tc>
          <w:tcPr>
            <w:tcW w:w="1135" w:type="dxa"/>
            <w:tcBorders>
              <w:top w:val="single" w:color="000000" w:sz="4" w:space="0"/>
              <w:left w:val="single" w:color="000000" w:sz="4" w:space="0"/>
              <w:bottom w:val="single" w:color="000000" w:sz="4" w:space="0"/>
              <w:right w:val="single" w:color="000000" w:sz="4" w:space="0"/>
            </w:tcBorders>
            <w:vAlign w:val="center"/>
          </w:tcPr>
          <w:p w14:paraId="06C49141">
            <w:pPr>
              <w:jc w:val="center"/>
              <w:rPr>
                <w:rFonts w:ascii="宋体" w:hAnsi="宋体"/>
                <w:sz w:val="21"/>
                <w:szCs w:val="21"/>
                <w:lang w:eastAsia="en-US"/>
              </w:rPr>
            </w:pPr>
            <w:r>
              <w:rPr>
                <w:rFonts w:ascii="宋体" w:hAnsi="宋体"/>
                <w:sz w:val="21"/>
                <w:szCs w:val="21"/>
                <w:lang w:eastAsia="en-US"/>
              </w:rPr>
              <w:t>1.1</w:t>
            </w:r>
          </w:p>
        </w:tc>
        <w:tc>
          <w:tcPr>
            <w:tcW w:w="1011" w:type="dxa"/>
            <w:tcBorders>
              <w:top w:val="single" w:color="000000" w:sz="4" w:space="0"/>
              <w:left w:val="single" w:color="000000" w:sz="4" w:space="0"/>
              <w:bottom w:val="single" w:color="000000" w:sz="4" w:space="0"/>
              <w:right w:val="single" w:color="000000" w:sz="4" w:space="0"/>
            </w:tcBorders>
            <w:vAlign w:val="center"/>
          </w:tcPr>
          <w:p w14:paraId="3E051912">
            <w:pPr>
              <w:jc w:val="center"/>
              <w:rPr>
                <w:rFonts w:ascii="宋体" w:hAnsi="宋体"/>
                <w:sz w:val="21"/>
                <w:szCs w:val="21"/>
                <w:lang w:eastAsia="en-US"/>
              </w:rPr>
            </w:pPr>
            <w:r>
              <w:rPr>
                <w:rFonts w:ascii="宋体" w:hAnsi="宋体"/>
                <w:sz w:val="21"/>
                <w:szCs w:val="21"/>
                <w:lang w:eastAsia="en-US"/>
              </w:rPr>
              <w:t>1.2</w:t>
            </w:r>
          </w:p>
        </w:tc>
        <w:tc>
          <w:tcPr>
            <w:tcW w:w="917" w:type="dxa"/>
            <w:tcBorders>
              <w:top w:val="single" w:color="000000" w:sz="4" w:space="0"/>
              <w:left w:val="single" w:color="000000" w:sz="4" w:space="0"/>
              <w:bottom w:val="single" w:color="000000" w:sz="4" w:space="0"/>
              <w:right w:val="single" w:color="000000" w:sz="4" w:space="0"/>
            </w:tcBorders>
            <w:vAlign w:val="center"/>
          </w:tcPr>
          <w:p w14:paraId="649F92B1">
            <w:pPr>
              <w:pStyle w:val="65"/>
              <w:spacing w:before="22"/>
              <w:ind w:left="93"/>
              <w:jc w:val="center"/>
              <w:rPr>
                <w:rFonts w:ascii="宋体" w:hAnsi="宋体" w:eastAsia="宋体" w:cs="宋体"/>
                <w:sz w:val="21"/>
                <w:szCs w:val="21"/>
              </w:rPr>
            </w:pPr>
            <w:r>
              <w:rPr>
                <w:rFonts w:ascii="宋体" w:hAnsi="宋体" w:eastAsia="宋体" w:cs="宋体"/>
                <w:sz w:val="21"/>
                <w:szCs w:val="21"/>
              </w:rPr>
              <w:t>预期性</w:t>
            </w:r>
          </w:p>
        </w:tc>
      </w:tr>
      <w:tr w14:paraId="1F54F470">
        <w:tblPrEx>
          <w:tblCellMar>
            <w:top w:w="0" w:type="dxa"/>
            <w:left w:w="0" w:type="dxa"/>
            <w:bottom w:w="0" w:type="dxa"/>
            <w:right w:w="0" w:type="dxa"/>
          </w:tblCellMar>
        </w:tblPrEx>
        <w:trPr>
          <w:trHeight w:val="501" w:hRule="exact"/>
          <w:jc w:val="center"/>
        </w:trPr>
        <w:tc>
          <w:tcPr>
            <w:tcW w:w="1135" w:type="dxa"/>
            <w:vMerge w:val="restart"/>
            <w:tcBorders>
              <w:top w:val="single" w:color="000000" w:sz="4" w:space="0"/>
              <w:left w:val="single" w:color="000000" w:sz="4" w:space="0"/>
              <w:right w:val="single" w:color="000000" w:sz="4" w:space="0"/>
            </w:tcBorders>
            <w:vAlign w:val="center"/>
          </w:tcPr>
          <w:p w14:paraId="0FC4CC78">
            <w:pPr>
              <w:pStyle w:val="65"/>
              <w:spacing w:before="29" w:line="331" w:lineRule="auto"/>
              <w:ind w:left="201" w:right="81" w:hanging="120"/>
              <w:rPr>
                <w:rFonts w:ascii="宋体" w:hAnsi="宋体" w:eastAsia="宋体" w:cs="宋体"/>
                <w:sz w:val="21"/>
                <w:szCs w:val="21"/>
              </w:rPr>
            </w:pPr>
            <w:r>
              <w:rPr>
                <w:rFonts w:ascii="宋体" w:hAnsi="宋体" w:eastAsia="宋体" w:cs="宋体"/>
                <w:sz w:val="21"/>
                <w:szCs w:val="21"/>
              </w:rPr>
              <w:t>水生态保 护修复</w:t>
            </w:r>
          </w:p>
        </w:tc>
        <w:tc>
          <w:tcPr>
            <w:tcW w:w="4110" w:type="dxa"/>
            <w:tcBorders>
              <w:top w:val="single" w:color="000000" w:sz="4" w:space="0"/>
              <w:left w:val="single" w:color="000000" w:sz="4" w:space="0"/>
              <w:bottom w:val="single" w:color="000000" w:sz="4" w:space="0"/>
              <w:right w:val="single" w:color="000000" w:sz="4" w:space="0"/>
            </w:tcBorders>
            <w:vAlign w:val="center"/>
          </w:tcPr>
          <w:p w14:paraId="0BE4C2C2">
            <w:pPr>
              <w:pStyle w:val="65"/>
              <w:spacing w:before="21"/>
              <w:ind w:left="50"/>
              <w:rPr>
                <w:rFonts w:ascii="宋体" w:hAnsi="宋体" w:eastAsia="宋体" w:cs="Times New Roman"/>
                <w:sz w:val="21"/>
                <w:szCs w:val="21"/>
                <w:lang w:eastAsia="zh-CN"/>
              </w:rPr>
            </w:pPr>
            <w:r>
              <w:rPr>
                <w:rFonts w:ascii="宋体" w:hAnsi="宋体" w:eastAsia="宋体" w:cs="Times New Roman"/>
                <w:sz w:val="21"/>
                <w:szCs w:val="21"/>
                <w:lang w:eastAsia="zh-CN"/>
              </w:rPr>
              <w:t>10.</w:t>
            </w:r>
            <w:r>
              <w:rPr>
                <w:rFonts w:ascii="宋体" w:hAnsi="宋体" w:eastAsia="宋体" w:cs="宋体"/>
                <w:position w:val="1"/>
                <w:sz w:val="21"/>
                <w:szCs w:val="21"/>
                <w:lang w:eastAsia="zh-CN"/>
              </w:rPr>
              <w:t>重要河湖基本生态流量达标率</w:t>
            </w:r>
            <w:r>
              <w:rPr>
                <w:rFonts w:hint="eastAsia" w:ascii="宋体" w:hAnsi="宋体" w:eastAsia="宋体" w:cs="宋体"/>
                <w:position w:val="1"/>
                <w:sz w:val="21"/>
                <w:szCs w:val="21"/>
                <w:lang w:eastAsia="zh-CN"/>
              </w:rPr>
              <w:t>（</w:t>
            </w:r>
            <w:r>
              <w:rPr>
                <w:rFonts w:ascii="宋体" w:hAnsi="宋体" w:eastAsia="宋体" w:cs="宋体"/>
                <w:position w:val="1"/>
                <w:sz w:val="21"/>
                <w:szCs w:val="21"/>
                <w:lang w:eastAsia="zh-CN"/>
              </w:rPr>
              <w:t>%）</w:t>
            </w:r>
          </w:p>
        </w:tc>
        <w:tc>
          <w:tcPr>
            <w:tcW w:w="1135" w:type="dxa"/>
            <w:tcBorders>
              <w:top w:val="single" w:color="000000" w:sz="4" w:space="0"/>
              <w:left w:val="single" w:color="000000" w:sz="4" w:space="0"/>
              <w:bottom w:val="single" w:color="000000" w:sz="4" w:space="0"/>
              <w:right w:val="single" w:color="000000" w:sz="4" w:space="0"/>
            </w:tcBorders>
            <w:vAlign w:val="center"/>
          </w:tcPr>
          <w:p w14:paraId="62103190">
            <w:pPr>
              <w:jc w:val="center"/>
              <w:rPr>
                <w:rFonts w:ascii="宋体" w:hAnsi="宋体"/>
                <w:sz w:val="21"/>
                <w:szCs w:val="21"/>
                <w:lang w:eastAsia="en-US"/>
              </w:rPr>
            </w:pPr>
            <w:r>
              <w:rPr>
                <w:rFonts w:ascii="宋体" w:hAnsi="宋体"/>
                <w:sz w:val="21"/>
                <w:szCs w:val="21"/>
                <w:lang w:eastAsia="en-US"/>
              </w:rPr>
              <w:t>&gt;90</w:t>
            </w:r>
          </w:p>
        </w:tc>
        <w:tc>
          <w:tcPr>
            <w:tcW w:w="1011" w:type="dxa"/>
            <w:tcBorders>
              <w:top w:val="single" w:color="000000" w:sz="4" w:space="0"/>
              <w:left w:val="single" w:color="000000" w:sz="4" w:space="0"/>
              <w:bottom w:val="single" w:color="000000" w:sz="4" w:space="0"/>
              <w:right w:val="single" w:color="000000" w:sz="4" w:space="0"/>
            </w:tcBorders>
            <w:vAlign w:val="center"/>
          </w:tcPr>
          <w:p w14:paraId="224A5E25">
            <w:pPr>
              <w:jc w:val="center"/>
              <w:rPr>
                <w:rFonts w:ascii="宋体" w:hAnsi="宋体"/>
                <w:sz w:val="21"/>
                <w:szCs w:val="21"/>
                <w:lang w:eastAsia="en-US"/>
              </w:rPr>
            </w:pPr>
            <w:r>
              <w:rPr>
                <w:rFonts w:ascii="宋体" w:hAnsi="宋体"/>
                <w:sz w:val="21"/>
                <w:szCs w:val="21"/>
                <w:lang w:eastAsia="en-US"/>
              </w:rPr>
              <w:t>&gt;90</w:t>
            </w:r>
          </w:p>
        </w:tc>
        <w:tc>
          <w:tcPr>
            <w:tcW w:w="917" w:type="dxa"/>
            <w:tcBorders>
              <w:top w:val="single" w:color="000000" w:sz="4" w:space="0"/>
              <w:left w:val="single" w:color="000000" w:sz="4" w:space="0"/>
              <w:bottom w:val="single" w:color="000000" w:sz="4" w:space="0"/>
              <w:right w:val="single" w:color="000000" w:sz="4" w:space="0"/>
            </w:tcBorders>
            <w:vAlign w:val="center"/>
          </w:tcPr>
          <w:p w14:paraId="1A0A7C73">
            <w:pPr>
              <w:pStyle w:val="65"/>
              <w:spacing w:before="22"/>
              <w:ind w:left="93"/>
              <w:jc w:val="center"/>
              <w:rPr>
                <w:rFonts w:ascii="宋体" w:hAnsi="宋体" w:eastAsia="宋体" w:cs="宋体"/>
                <w:sz w:val="21"/>
                <w:szCs w:val="21"/>
              </w:rPr>
            </w:pPr>
            <w:r>
              <w:rPr>
                <w:rFonts w:ascii="宋体" w:hAnsi="宋体" w:eastAsia="宋体" w:cs="宋体"/>
                <w:sz w:val="21"/>
                <w:szCs w:val="21"/>
              </w:rPr>
              <w:t>预期性</w:t>
            </w:r>
          </w:p>
        </w:tc>
      </w:tr>
      <w:tr w14:paraId="5BA91389">
        <w:tblPrEx>
          <w:tblCellMar>
            <w:top w:w="0" w:type="dxa"/>
            <w:left w:w="0" w:type="dxa"/>
            <w:bottom w:w="0" w:type="dxa"/>
            <w:right w:w="0" w:type="dxa"/>
          </w:tblCellMar>
        </w:tblPrEx>
        <w:trPr>
          <w:trHeight w:val="446" w:hRule="exact"/>
          <w:jc w:val="center"/>
        </w:trPr>
        <w:tc>
          <w:tcPr>
            <w:tcW w:w="1135" w:type="dxa"/>
            <w:vMerge w:val="continue"/>
            <w:tcBorders>
              <w:left w:val="single" w:color="000000" w:sz="4" w:space="0"/>
              <w:bottom w:val="single" w:color="000000" w:sz="4" w:space="0"/>
              <w:right w:val="single" w:color="000000" w:sz="4" w:space="0"/>
            </w:tcBorders>
            <w:vAlign w:val="center"/>
          </w:tcPr>
          <w:p w14:paraId="19322A0E">
            <w:pPr>
              <w:jc w:val="left"/>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34842BDC">
            <w:pPr>
              <w:pStyle w:val="65"/>
              <w:spacing w:before="24"/>
              <w:ind w:left="50"/>
              <w:rPr>
                <w:rFonts w:ascii="宋体" w:hAnsi="宋体" w:eastAsia="宋体" w:cs="宋体"/>
                <w:sz w:val="21"/>
                <w:szCs w:val="21"/>
              </w:rPr>
            </w:pPr>
            <w:r>
              <w:rPr>
                <w:rFonts w:ascii="宋体" w:hAnsi="宋体" w:eastAsia="宋体" w:cs="Times New Roman"/>
                <w:sz w:val="21"/>
                <w:szCs w:val="21"/>
              </w:rPr>
              <w:t>11.</w:t>
            </w:r>
            <w:r>
              <w:rPr>
                <w:rFonts w:ascii="宋体" w:hAnsi="宋体" w:eastAsia="宋体" w:cs="宋体"/>
                <w:position w:val="1"/>
                <w:sz w:val="21"/>
                <w:szCs w:val="21"/>
              </w:rPr>
              <w:t>水土保持率（</w:t>
            </w:r>
            <w:r>
              <w:rPr>
                <w:rFonts w:ascii="宋体" w:hAnsi="宋体" w:eastAsia="宋体" w:cs="Times New Roman"/>
                <w:sz w:val="21"/>
                <w:szCs w:val="21"/>
              </w:rPr>
              <w:t>%</w:t>
            </w:r>
            <w:r>
              <w:rPr>
                <w:rFonts w:ascii="宋体" w:hAnsi="宋体" w:eastAsia="宋体" w:cs="宋体"/>
                <w:position w:val="1"/>
                <w:sz w:val="21"/>
                <w:szCs w:val="21"/>
              </w:rPr>
              <w:t>）</w:t>
            </w:r>
          </w:p>
        </w:tc>
        <w:tc>
          <w:tcPr>
            <w:tcW w:w="1135" w:type="dxa"/>
            <w:tcBorders>
              <w:top w:val="single" w:color="000000" w:sz="4" w:space="0"/>
              <w:left w:val="single" w:color="000000" w:sz="4" w:space="0"/>
              <w:bottom w:val="single" w:color="000000" w:sz="4" w:space="0"/>
              <w:right w:val="single" w:color="000000" w:sz="4" w:space="0"/>
            </w:tcBorders>
            <w:vAlign w:val="center"/>
          </w:tcPr>
          <w:p w14:paraId="4D93696B">
            <w:pPr>
              <w:jc w:val="center"/>
              <w:rPr>
                <w:rFonts w:ascii="宋体" w:hAnsi="宋体"/>
                <w:sz w:val="21"/>
                <w:szCs w:val="21"/>
                <w:lang w:eastAsia="en-US"/>
              </w:rPr>
            </w:pPr>
            <w:r>
              <w:rPr>
                <w:rFonts w:ascii="宋体" w:hAnsi="宋体"/>
                <w:sz w:val="21"/>
                <w:szCs w:val="21"/>
                <w:lang w:eastAsia="en-US"/>
              </w:rPr>
              <w:t>93.69</w:t>
            </w:r>
          </w:p>
        </w:tc>
        <w:tc>
          <w:tcPr>
            <w:tcW w:w="1011" w:type="dxa"/>
            <w:tcBorders>
              <w:top w:val="single" w:color="000000" w:sz="4" w:space="0"/>
              <w:left w:val="single" w:color="000000" w:sz="4" w:space="0"/>
              <w:bottom w:val="single" w:color="000000" w:sz="4" w:space="0"/>
              <w:right w:val="single" w:color="000000" w:sz="4" w:space="0"/>
            </w:tcBorders>
            <w:vAlign w:val="center"/>
          </w:tcPr>
          <w:p w14:paraId="2B400730">
            <w:pPr>
              <w:jc w:val="center"/>
              <w:rPr>
                <w:rFonts w:ascii="宋体" w:hAnsi="宋体"/>
                <w:sz w:val="21"/>
                <w:szCs w:val="21"/>
                <w:lang w:eastAsia="en-US"/>
              </w:rPr>
            </w:pPr>
            <w:r>
              <w:rPr>
                <w:rFonts w:ascii="宋体" w:hAnsi="宋体"/>
                <w:sz w:val="21"/>
                <w:szCs w:val="21"/>
                <w:lang w:eastAsia="en-US"/>
              </w:rPr>
              <w:t>94</w:t>
            </w:r>
          </w:p>
        </w:tc>
        <w:tc>
          <w:tcPr>
            <w:tcW w:w="917" w:type="dxa"/>
            <w:tcBorders>
              <w:top w:val="single" w:color="000000" w:sz="4" w:space="0"/>
              <w:left w:val="single" w:color="000000" w:sz="4" w:space="0"/>
              <w:bottom w:val="single" w:color="000000" w:sz="4" w:space="0"/>
              <w:right w:val="single" w:color="000000" w:sz="4" w:space="0"/>
            </w:tcBorders>
            <w:vAlign w:val="center"/>
          </w:tcPr>
          <w:p w14:paraId="526083B2">
            <w:pPr>
              <w:pStyle w:val="65"/>
              <w:spacing w:before="24"/>
              <w:ind w:left="93"/>
              <w:jc w:val="center"/>
              <w:rPr>
                <w:rFonts w:ascii="宋体" w:hAnsi="宋体" w:eastAsia="宋体" w:cs="宋体"/>
                <w:sz w:val="21"/>
                <w:szCs w:val="21"/>
              </w:rPr>
            </w:pPr>
            <w:r>
              <w:rPr>
                <w:rFonts w:ascii="宋体" w:hAnsi="宋体" w:eastAsia="宋体" w:cs="宋体"/>
                <w:sz w:val="21"/>
                <w:szCs w:val="21"/>
              </w:rPr>
              <w:t>预期性</w:t>
            </w:r>
          </w:p>
        </w:tc>
      </w:tr>
      <w:tr w14:paraId="6A5C504E">
        <w:tblPrEx>
          <w:tblCellMar>
            <w:top w:w="0" w:type="dxa"/>
            <w:left w:w="0" w:type="dxa"/>
            <w:bottom w:w="0" w:type="dxa"/>
            <w:right w:w="0" w:type="dxa"/>
          </w:tblCellMar>
        </w:tblPrEx>
        <w:trPr>
          <w:trHeight w:val="444" w:hRule="exact"/>
          <w:jc w:val="center"/>
        </w:trPr>
        <w:tc>
          <w:tcPr>
            <w:tcW w:w="1135" w:type="dxa"/>
            <w:vMerge w:val="restart"/>
            <w:tcBorders>
              <w:top w:val="single" w:color="000000" w:sz="4" w:space="0"/>
              <w:left w:val="single" w:color="000000" w:sz="4" w:space="0"/>
              <w:right w:val="single" w:color="000000" w:sz="4" w:space="0"/>
            </w:tcBorders>
            <w:vAlign w:val="center"/>
          </w:tcPr>
          <w:p w14:paraId="005F60BD">
            <w:pPr>
              <w:pStyle w:val="65"/>
              <w:spacing w:before="29" w:line="331" w:lineRule="auto"/>
              <w:ind w:left="321" w:right="81" w:hanging="240"/>
              <w:rPr>
                <w:rFonts w:ascii="宋体" w:hAnsi="宋体" w:eastAsia="宋体" w:cs="宋体"/>
                <w:sz w:val="21"/>
                <w:szCs w:val="21"/>
              </w:rPr>
            </w:pPr>
            <w:r>
              <w:rPr>
                <w:rFonts w:ascii="宋体" w:hAnsi="宋体" w:eastAsia="宋体" w:cs="宋体"/>
                <w:sz w:val="21"/>
                <w:szCs w:val="21"/>
              </w:rPr>
              <w:t>数字孪生 水网</w:t>
            </w:r>
          </w:p>
        </w:tc>
        <w:tc>
          <w:tcPr>
            <w:tcW w:w="4110" w:type="dxa"/>
            <w:tcBorders>
              <w:top w:val="single" w:color="000000" w:sz="4" w:space="0"/>
              <w:left w:val="single" w:color="000000" w:sz="4" w:space="0"/>
              <w:bottom w:val="single" w:color="000000" w:sz="4" w:space="0"/>
              <w:right w:val="single" w:color="000000" w:sz="4" w:space="0"/>
            </w:tcBorders>
            <w:vAlign w:val="center"/>
          </w:tcPr>
          <w:p w14:paraId="660EF0B3">
            <w:pPr>
              <w:pStyle w:val="65"/>
              <w:spacing w:before="21"/>
              <w:ind w:left="50"/>
              <w:rPr>
                <w:rFonts w:ascii="宋体" w:hAnsi="宋体" w:eastAsia="宋体" w:cs="宋体"/>
                <w:sz w:val="21"/>
                <w:szCs w:val="21"/>
              </w:rPr>
            </w:pPr>
            <w:r>
              <w:rPr>
                <w:rFonts w:ascii="宋体" w:hAnsi="宋体" w:eastAsia="宋体" w:cs="Times New Roman"/>
                <w:sz w:val="21"/>
                <w:szCs w:val="21"/>
              </w:rPr>
              <w:t>12.</w:t>
            </w:r>
            <w:r>
              <w:rPr>
                <w:rFonts w:ascii="宋体" w:hAnsi="宋体" w:eastAsia="宋体" w:cs="宋体"/>
                <w:position w:val="1"/>
                <w:sz w:val="21"/>
                <w:szCs w:val="21"/>
              </w:rPr>
              <w:t>水网关键要素感知率</w:t>
            </w:r>
          </w:p>
        </w:tc>
        <w:tc>
          <w:tcPr>
            <w:tcW w:w="1135" w:type="dxa"/>
            <w:tcBorders>
              <w:top w:val="single" w:color="000000" w:sz="4" w:space="0"/>
              <w:left w:val="single" w:color="000000" w:sz="4" w:space="0"/>
              <w:bottom w:val="single" w:color="000000" w:sz="4" w:space="0"/>
              <w:right w:val="single" w:color="000000" w:sz="4" w:space="0"/>
            </w:tcBorders>
            <w:vAlign w:val="center"/>
          </w:tcPr>
          <w:p w14:paraId="6634EC27">
            <w:pPr>
              <w:jc w:val="center"/>
              <w:rPr>
                <w:rFonts w:ascii="宋体" w:hAnsi="宋体"/>
                <w:sz w:val="21"/>
                <w:szCs w:val="21"/>
                <w:lang w:eastAsia="en-US"/>
              </w:rPr>
            </w:pPr>
            <w:r>
              <w:rPr>
                <w:rFonts w:ascii="宋体" w:hAnsi="宋体"/>
                <w:sz w:val="21"/>
                <w:szCs w:val="21"/>
                <w:lang w:eastAsia="en-US"/>
              </w:rPr>
              <w:t>-</w:t>
            </w:r>
          </w:p>
        </w:tc>
        <w:tc>
          <w:tcPr>
            <w:tcW w:w="1011" w:type="dxa"/>
            <w:tcBorders>
              <w:top w:val="single" w:color="000000" w:sz="4" w:space="0"/>
              <w:left w:val="single" w:color="000000" w:sz="4" w:space="0"/>
              <w:bottom w:val="single" w:color="000000" w:sz="4" w:space="0"/>
              <w:right w:val="single" w:color="000000" w:sz="4" w:space="0"/>
            </w:tcBorders>
            <w:vAlign w:val="center"/>
          </w:tcPr>
          <w:p w14:paraId="17547654">
            <w:pPr>
              <w:jc w:val="center"/>
              <w:rPr>
                <w:rFonts w:ascii="宋体" w:hAnsi="宋体"/>
                <w:sz w:val="21"/>
                <w:szCs w:val="21"/>
                <w:lang w:eastAsia="en-US"/>
              </w:rPr>
            </w:pPr>
            <w:r>
              <w:rPr>
                <w:rFonts w:ascii="宋体" w:hAnsi="宋体"/>
                <w:sz w:val="21"/>
                <w:szCs w:val="21"/>
                <w:lang w:eastAsia="en-US"/>
              </w:rPr>
              <w:t>&gt;90</w:t>
            </w:r>
          </w:p>
        </w:tc>
        <w:tc>
          <w:tcPr>
            <w:tcW w:w="917" w:type="dxa"/>
            <w:tcBorders>
              <w:top w:val="single" w:color="000000" w:sz="4" w:space="0"/>
              <w:left w:val="single" w:color="000000" w:sz="4" w:space="0"/>
              <w:bottom w:val="single" w:color="000000" w:sz="4" w:space="0"/>
              <w:right w:val="single" w:color="000000" w:sz="4" w:space="0"/>
            </w:tcBorders>
            <w:vAlign w:val="center"/>
          </w:tcPr>
          <w:p w14:paraId="1E4C260C">
            <w:pPr>
              <w:pStyle w:val="65"/>
              <w:spacing w:before="22"/>
              <w:ind w:left="93"/>
              <w:jc w:val="center"/>
              <w:rPr>
                <w:rFonts w:ascii="宋体" w:hAnsi="宋体" w:eastAsia="宋体" w:cs="宋体"/>
                <w:sz w:val="21"/>
                <w:szCs w:val="21"/>
              </w:rPr>
            </w:pPr>
            <w:r>
              <w:rPr>
                <w:rFonts w:ascii="宋体" w:hAnsi="宋体" w:eastAsia="宋体" w:cs="宋体"/>
                <w:sz w:val="21"/>
                <w:szCs w:val="21"/>
              </w:rPr>
              <w:t>预期性</w:t>
            </w:r>
          </w:p>
        </w:tc>
      </w:tr>
      <w:tr w14:paraId="58CE5189">
        <w:tblPrEx>
          <w:tblCellMar>
            <w:top w:w="0" w:type="dxa"/>
            <w:left w:w="0" w:type="dxa"/>
            <w:bottom w:w="0" w:type="dxa"/>
            <w:right w:w="0" w:type="dxa"/>
          </w:tblCellMar>
        </w:tblPrEx>
        <w:trPr>
          <w:trHeight w:val="446" w:hRule="exact"/>
          <w:jc w:val="center"/>
        </w:trPr>
        <w:tc>
          <w:tcPr>
            <w:tcW w:w="1135" w:type="dxa"/>
            <w:vMerge w:val="continue"/>
            <w:tcBorders>
              <w:left w:val="single" w:color="000000" w:sz="4" w:space="0"/>
              <w:bottom w:val="single" w:color="000000" w:sz="4" w:space="0"/>
              <w:right w:val="single" w:color="000000" w:sz="4" w:space="0"/>
            </w:tcBorders>
            <w:vAlign w:val="center"/>
          </w:tcPr>
          <w:p w14:paraId="7281B825">
            <w:pPr>
              <w:jc w:val="center"/>
              <w:rPr>
                <w:rFonts w:ascii="宋体" w:hAnsi="宋体"/>
                <w:sz w:val="21"/>
                <w:szCs w:val="21"/>
                <w:lang w:eastAsia="en-US"/>
              </w:rPr>
            </w:pPr>
          </w:p>
        </w:tc>
        <w:tc>
          <w:tcPr>
            <w:tcW w:w="4110" w:type="dxa"/>
            <w:tcBorders>
              <w:top w:val="single" w:color="000000" w:sz="4" w:space="0"/>
              <w:left w:val="single" w:color="000000" w:sz="4" w:space="0"/>
              <w:bottom w:val="single" w:color="000000" w:sz="4" w:space="0"/>
              <w:right w:val="single" w:color="000000" w:sz="4" w:space="0"/>
            </w:tcBorders>
            <w:vAlign w:val="center"/>
          </w:tcPr>
          <w:p w14:paraId="75824E49">
            <w:pPr>
              <w:pStyle w:val="65"/>
              <w:spacing w:before="21"/>
              <w:ind w:left="50"/>
              <w:rPr>
                <w:rFonts w:ascii="宋体" w:hAnsi="宋体" w:eastAsia="宋体" w:cs="宋体"/>
                <w:sz w:val="21"/>
                <w:szCs w:val="21"/>
                <w:lang w:eastAsia="zh-CN"/>
              </w:rPr>
            </w:pPr>
            <w:r>
              <w:rPr>
                <w:rFonts w:ascii="宋体" w:hAnsi="宋体" w:eastAsia="宋体" w:cs="Times New Roman"/>
                <w:sz w:val="21"/>
                <w:szCs w:val="21"/>
                <w:lang w:eastAsia="zh-CN"/>
              </w:rPr>
              <w:t>13.</w:t>
            </w:r>
            <w:r>
              <w:rPr>
                <w:rFonts w:ascii="宋体" w:hAnsi="宋体" w:eastAsia="宋体" w:cs="宋体"/>
                <w:position w:val="1"/>
                <w:sz w:val="21"/>
                <w:szCs w:val="21"/>
                <w:lang w:eastAsia="zh-CN"/>
              </w:rPr>
              <w:t>重点水利工程自动化控制率</w:t>
            </w:r>
          </w:p>
        </w:tc>
        <w:tc>
          <w:tcPr>
            <w:tcW w:w="1135" w:type="dxa"/>
            <w:tcBorders>
              <w:top w:val="single" w:color="000000" w:sz="4" w:space="0"/>
              <w:left w:val="single" w:color="000000" w:sz="4" w:space="0"/>
              <w:bottom w:val="single" w:color="000000" w:sz="4" w:space="0"/>
              <w:right w:val="single" w:color="000000" w:sz="4" w:space="0"/>
            </w:tcBorders>
            <w:vAlign w:val="center"/>
          </w:tcPr>
          <w:p w14:paraId="230247A0">
            <w:pPr>
              <w:jc w:val="center"/>
              <w:rPr>
                <w:rFonts w:ascii="宋体" w:hAnsi="宋体"/>
                <w:sz w:val="21"/>
                <w:szCs w:val="21"/>
                <w:lang w:eastAsia="en-US"/>
              </w:rPr>
            </w:pPr>
            <w:r>
              <w:rPr>
                <w:rFonts w:ascii="宋体" w:hAnsi="宋体"/>
                <w:sz w:val="21"/>
                <w:szCs w:val="21"/>
                <w:lang w:eastAsia="en-US"/>
              </w:rPr>
              <w:t>-</w:t>
            </w:r>
          </w:p>
        </w:tc>
        <w:tc>
          <w:tcPr>
            <w:tcW w:w="1011" w:type="dxa"/>
            <w:tcBorders>
              <w:top w:val="single" w:color="000000" w:sz="4" w:space="0"/>
              <w:left w:val="single" w:color="000000" w:sz="4" w:space="0"/>
              <w:bottom w:val="single" w:color="000000" w:sz="4" w:space="0"/>
              <w:right w:val="single" w:color="000000" w:sz="4" w:space="0"/>
            </w:tcBorders>
            <w:vAlign w:val="center"/>
          </w:tcPr>
          <w:p w14:paraId="29827767">
            <w:pPr>
              <w:jc w:val="center"/>
              <w:rPr>
                <w:rFonts w:ascii="宋体" w:hAnsi="宋体"/>
                <w:sz w:val="21"/>
                <w:szCs w:val="21"/>
                <w:lang w:eastAsia="en-US"/>
              </w:rPr>
            </w:pPr>
            <w:r>
              <w:rPr>
                <w:rFonts w:ascii="宋体" w:hAnsi="宋体"/>
                <w:sz w:val="21"/>
                <w:szCs w:val="21"/>
                <w:lang w:eastAsia="en-US"/>
              </w:rPr>
              <w:t>&gt;90</w:t>
            </w:r>
          </w:p>
        </w:tc>
        <w:tc>
          <w:tcPr>
            <w:tcW w:w="917" w:type="dxa"/>
            <w:tcBorders>
              <w:top w:val="single" w:color="000000" w:sz="4" w:space="0"/>
              <w:left w:val="single" w:color="000000" w:sz="4" w:space="0"/>
              <w:bottom w:val="single" w:color="000000" w:sz="4" w:space="0"/>
              <w:right w:val="single" w:color="000000" w:sz="4" w:space="0"/>
            </w:tcBorders>
            <w:vAlign w:val="center"/>
          </w:tcPr>
          <w:p w14:paraId="0D2B7FB1">
            <w:pPr>
              <w:pStyle w:val="65"/>
              <w:spacing w:before="22"/>
              <w:ind w:left="93"/>
              <w:jc w:val="center"/>
              <w:rPr>
                <w:rFonts w:ascii="宋体" w:hAnsi="宋体" w:eastAsia="宋体" w:cs="宋体"/>
                <w:sz w:val="21"/>
                <w:szCs w:val="21"/>
              </w:rPr>
            </w:pPr>
            <w:r>
              <w:rPr>
                <w:rFonts w:ascii="宋体" w:hAnsi="宋体" w:eastAsia="宋体" w:cs="宋体"/>
                <w:sz w:val="21"/>
                <w:szCs w:val="21"/>
              </w:rPr>
              <w:t>预期性</w:t>
            </w:r>
          </w:p>
        </w:tc>
      </w:tr>
    </w:tbl>
    <w:p w14:paraId="2887493B">
      <w:pPr>
        <w:pStyle w:val="3"/>
        <w:numPr>
          <w:ilvl w:val="1"/>
          <w:numId w:val="2"/>
        </w:numPr>
        <w:rPr>
          <w:rFonts w:ascii="宋体" w:hAnsi="宋体"/>
          <w:color w:val="auto"/>
        </w:rPr>
      </w:pPr>
      <w:bookmarkStart w:id="27" w:name="_Toc216791696"/>
      <w:r>
        <w:rPr>
          <w:rFonts w:hint="eastAsia" w:ascii="宋体" w:hAnsi="宋体"/>
          <w:color w:val="auto"/>
        </w:rPr>
        <w:t>规划布局</w:t>
      </w:r>
      <w:bookmarkEnd w:id="27"/>
    </w:p>
    <w:p w14:paraId="5014BE60">
      <w:pPr>
        <w:pStyle w:val="4"/>
        <w:numPr>
          <w:ilvl w:val="2"/>
          <w:numId w:val="2"/>
        </w:numPr>
        <w:rPr>
          <w:rFonts w:ascii="宋体" w:hAnsi="宋体"/>
          <w:color w:val="auto"/>
        </w:rPr>
      </w:pPr>
      <w:r>
        <w:rPr>
          <w:rFonts w:hint="eastAsia" w:ascii="宋体" w:hAnsi="宋体"/>
          <w:color w:val="auto"/>
        </w:rPr>
        <w:t>国土空间规划</w:t>
      </w:r>
    </w:p>
    <w:p w14:paraId="71089DB6">
      <w:pPr>
        <w:ind w:firstLine="565" w:firstLineChars="202"/>
        <w:rPr>
          <w:rFonts w:ascii="宋体" w:hAnsi="宋体"/>
        </w:rPr>
      </w:pPr>
      <w:r>
        <w:rPr>
          <w:rFonts w:hint="eastAsia" w:ascii="宋体" w:hAnsi="宋体"/>
        </w:rPr>
        <w:t>长汀古称“汀州”，地处福建省西南部，武夷山脉南麓闽赣边陲要冲，隶属于龙岩市，北接三明市的宁化、清流，东邻连城，南毗上杭，西南与武平接壤，西北与江西瑞金交界，是福建省西大门。全县地势整体呈现东、西、北三面高，中、南部低，自北向南倾斜。全县地貌分为中山、低山、丘陵、盆地、阶地五个类型，海拔在300m到800m的低山丘陵占到80%以上。东西两侧主要分布着武夷山山脉和松毛岭支脉汀江、闽江和赣江等三大流域贯穿其中。全县林多田少，呈现“八山一水一分田”的自然地理格局。长汀的国土空间开发总体布局为“一江两屏三区多组团”。</w:t>
      </w:r>
    </w:p>
    <w:p w14:paraId="2F89089B">
      <w:pPr>
        <w:ind w:firstLine="565" w:firstLineChars="202"/>
        <w:rPr>
          <w:rFonts w:ascii="宋体" w:hAnsi="宋体"/>
        </w:rPr>
      </w:pPr>
      <w:r>
        <w:rPr>
          <w:rFonts w:hint="eastAsia" w:ascii="宋体" w:hAnsi="宋体"/>
        </w:rPr>
        <w:t>一江：依托汀江形成的水生态保育廊道，串联各重要水系，构建全县生态脉络。</w:t>
      </w:r>
    </w:p>
    <w:p w14:paraId="371BFA0D">
      <w:pPr>
        <w:ind w:firstLine="565" w:firstLineChars="202"/>
        <w:rPr>
          <w:rFonts w:ascii="宋体" w:hAnsi="宋体"/>
        </w:rPr>
      </w:pPr>
      <w:r>
        <w:rPr>
          <w:rFonts w:hint="eastAsia" w:ascii="宋体" w:hAnsi="宋体"/>
        </w:rPr>
        <w:t>两屏：西部的武夷山山脉和东部武夷山山脉松毛岭支脉形成的两处生态保育屏障。</w:t>
      </w:r>
    </w:p>
    <w:p w14:paraId="47549319">
      <w:pPr>
        <w:ind w:firstLine="565" w:firstLineChars="202"/>
        <w:rPr>
          <w:rFonts w:ascii="宋体" w:hAnsi="宋体"/>
        </w:rPr>
      </w:pPr>
      <w:r>
        <w:rPr>
          <w:rFonts w:hint="eastAsia" w:ascii="宋体" w:hAnsi="宋体"/>
        </w:rPr>
        <w:t>三区：汀江上游生态休闲观光农业区、汀江中游产业融合综合开发区、汀江下游特色生态有机农业区。</w:t>
      </w:r>
    </w:p>
    <w:p w14:paraId="129BFFC6">
      <w:pPr>
        <w:ind w:firstLine="565" w:firstLineChars="202"/>
        <w:rPr>
          <w:rFonts w:ascii="宋体" w:hAnsi="宋体"/>
        </w:rPr>
      </w:pPr>
      <w:r>
        <w:rPr>
          <w:rFonts w:hint="eastAsia" w:ascii="宋体" w:hAnsi="宋体"/>
        </w:rPr>
        <w:t>多组团：中心城区、河田镇、新桥镇、濯田镇、古城镇、南山镇、铁长乡等多个城乡组团。</w:t>
      </w:r>
    </w:p>
    <w:p w14:paraId="6E194B22">
      <w:pPr>
        <w:ind w:firstLine="565" w:firstLineChars="202"/>
        <w:rPr>
          <w:rFonts w:ascii="宋体" w:hAnsi="宋体"/>
        </w:rPr>
      </w:pPr>
    </w:p>
    <w:p w14:paraId="30385A19">
      <w:pPr>
        <w:ind w:firstLine="565" w:firstLineChars="202"/>
        <w:rPr>
          <w:rFonts w:ascii="宋体" w:hAnsi="宋体"/>
        </w:rPr>
      </w:pPr>
    </w:p>
    <w:p w14:paraId="00CED010">
      <w:pPr>
        <w:widowControl/>
        <w:spacing w:line="240" w:lineRule="auto"/>
        <w:jc w:val="left"/>
        <w:rPr>
          <w:rFonts w:ascii="宋体" w:hAnsi="宋体"/>
        </w:rPr>
      </w:pPr>
      <w:r>
        <w:rPr>
          <w:rFonts w:hint="eastAsia" w:ascii="宋体" w:hAnsi="宋体"/>
        </w:rPr>
        <w:br w:type="page"/>
      </w:r>
    </w:p>
    <w:p w14:paraId="30C72E6C">
      <w:pPr>
        <w:rPr>
          <w:rFonts w:ascii="宋体" w:hAnsi="宋体"/>
        </w:rPr>
      </w:pPr>
      <w:r>
        <w:rPr>
          <w:rFonts w:ascii="宋体" w:hAnsi="宋体"/>
        </w:rPr>
        <w:drawing>
          <wp:inline distT="0" distB="0" distL="0" distR="0">
            <wp:extent cx="5274310" cy="7466330"/>
            <wp:effectExtent l="0" t="0" r="2540" b="1270"/>
            <wp:docPr id="249293187" name="图片 249293187" descr="F:\武素萍\2025年\长汀县“十五五”水安全保障专项规划\资料\95a98a2c81b1c123b5f83d9df6189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93187" name="图片 249293187" descr="F:\武素萍\2025年\长汀县“十五五”水安全保障专项规划\资料\95a98a2c81b1c123b5f83d9df6189c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7466445"/>
                    </a:xfrm>
                    <a:prstGeom prst="rect">
                      <a:avLst/>
                    </a:prstGeom>
                    <a:noFill/>
                    <a:ln>
                      <a:noFill/>
                    </a:ln>
                  </pic:spPr>
                </pic:pic>
              </a:graphicData>
            </a:graphic>
          </wp:inline>
        </w:drawing>
      </w:r>
    </w:p>
    <w:p w14:paraId="4EC8E564">
      <w:pPr>
        <w:ind w:firstLine="568" w:firstLineChars="202"/>
        <w:jc w:val="center"/>
        <w:rPr>
          <w:rFonts w:ascii="宋体" w:hAnsi="宋体"/>
          <w:b/>
          <w:bCs/>
        </w:rPr>
      </w:pPr>
      <w:r>
        <w:rPr>
          <w:rFonts w:hint="eastAsia" w:ascii="宋体" w:hAnsi="宋体"/>
          <w:b/>
          <w:bCs/>
        </w:rPr>
        <w:t>（图</w:t>
      </w:r>
      <w:r>
        <w:rPr>
          <w:rFonts w:ascii="宋体" w:hAnsi="宋体"/>
          <w:b/>
          <w:bCs/>
        </w:rPr>
        <w:t>4</w:t>
      </w:r>
      <w:r>
        <w:rPr>
          <w:rFonts w:hint="eastAsia" w:ascii="宋体" w:hAnsi="宋体"/>
          <w:b/>
          <w:bCs/>
        </w:rPr>
        <w:t>-1长汀县国土空间规划总体格局规划图）</w:t>
      </w:r>
    </w:p>
    <w:p w14:paraId="1BE683A2">
      <w:pPr>
        <w:pStyle w:val="4"/>
        <w:numPr>
          <w:ilvl w:val="2"/>
          <w:numId w:val="2"/>
        </w:numPr>
        <w:rPr>
          <w:rFonts w:ascii="宋体" w:hAnsi="宋体"/>
          <w:color w:val="auto"/>
        </w:rPr>
      </w:pPr>
      <w:r>
        <w:rPr>
          <w:rFonts w:hint="eastAsia" w:ascii="宋体" w:hAnsi="宋体"/>
          <w:color w:val="auto"/>
        </w:rPr>
        <w:t>总体布局</w:t>
      </w:r>
    </w:p>
    <w:p w14:paraId="4C7145FC">
      <w:pPr>
        <w:ind w:firstLine="565" w:firstLineChars="202"/>
        <w:rPr>
          <w:rFonts w:ascii="宋体" w:hAnsi="宋体"/>
        </w:rPr>
      </w:pPr>
      <w:r>
        <w:rPr>
          <w:rFonts w:hint="eastAsia" w:ascii="宋体" w:hAnsi="宋体"/>
        </w:rPr>
        <w:t>以自然河湖水系为基础、以引调排水工程为通道、以调蓄工程为结点、以智能化调控为手段、以体制机制法治管理为支撑，把联网、补网、强链作为重点，统筹谋划工程布局，集水资源优化配置、防洪减灾、水生态保护修复等功能为一体，</w:t>
      </w:r>
      <w:bookmarkStart w:id="28" w:name="OLE_LINK12"/>
      <w:r>
        <w:rPr>
          <w:rFonts w:hint="eastAsia" w:ascii="宋体" w:hAnsi="宋体"/>
        </w:rPr>
        <w:t>初步形成“一江两岸，四库五网，多源保障”的长汀县水安全保障总体布局</w:t>
      </w:r>
      <w:bookmarkEnd w:id="28"/>
      <w:r>
        <w:rPr>
          <w:rFonts w:hint="eastAsia" w:ascii="宋体" w:hAnsi="宋体"/>
        </w:rPr>
        <w:t>。</w:t>
      </w:r>
    </w:p>
    <w:p w14:paraId="5914DE25">
      <w:pPr>
        <w:ind w:firstLine="565" w:firstLineChars="202"/>
        <w:rPr>
          <w:rFonts w:ascii="宋体" w:hAnsi="宋体"/>
        </w:rPr>
      </w:pPr>
      <w:bookmarkStart w:id="29" w:name="OLE_LINK15"/>
      <w:bookmarkStart w:id="30" w:name="OLE_LINK13"/>
      <w:r>
        <w:rPr>
          <w:rFonts w:hint="eastAsia" w:ascii="宋体" w:hAnsi="宋体"/>
        </w:rPr>
        <w:t>“一江两岸”：</w:t>
      </w:r>
    </w:p>
    <w:p w14:paraId="54D6D1A6">
      <w:pPr>
        <w:ind w:firstLine="565" w:firstLineChars="202"/>
        <w:rPr>
          <w:rFonts w:ascii="宋体" w:hAnsi="宋体"/>
        </w:rPr>
      </w:pPr>
      <w:r>
        <w:rPr>
          <w:rFonts w:hint="eastAsia" w:ascii="宋体" w:hAnsi="宋体"/>
        </w:rPr>
        <w:t>“一江”是指长汀境内的汀江流域。</w:t>
      </w:r>
    </w:p>
    <w:p w14:paraId="06F13BDB">
      <w:pPr>
        <w:ind w:firstLine="565" w:firstLineChars="202"/>
        <w:rPr>
          <w:rFonts w:ascii="宋体" w:hAnsi="宋体"/>
        </w:rPr>
      </w:pPr>
      <w:r>
        <w:rPr>
          <w:rFonts w:hint="eastAsia" w:ascii="宋体" w:hAnsi="宋体"/>
        </w:rPr>
        <w:t>“两岸”是指汀江沿河两岸防洪、供水、灌溉。</w:t>
      </w:r>
    </w:p>
    <w:p w14:paraId="7A07CB2D">
      <w:pPr>
        <w:ind w:firstLine="565" w:firstLineChars="202"/>
        <w:rPr>
          <w:rFonts w:ascii="宋体" w:hAnsi="宋体"/>
        </w:rPr>
      </w:pPr>
      <w:r>
        <w:rPr>
          <w:rFonts w:hint="eastAsia" w:ascii="宋体" w:hAnsi="宋体"/>
        </w:rPr>
        <w:t>“四库五网”：</w:t>
      </w:r>
    </w:p>
    <w:p w14:paraId="40112F7A">
      <w:pPr>
        <w:ind w:firstLine="565" w:firstLineChars="202"/>
        <w:rPr>
          <w:rFonts w:ascii="宋体" w:hAnsi="宋体"/>
        </w:rPr>
      </w:pPr>
      <w:r>
        <w:rPr>
          <w:rFonts w:hint="eastAsia" w:ascii="宋体" w:hAnsi="宋体"/>
        </w:rPr>
        <w:t>“四库”陂下水库、荣丰水库、溪源水库、龙门水库等重点中型水库。</w:t>
      </w:r>
    </w:p>
    <w:p w14:paraId="0CBFE903">
      <w:pPr>
        <w:ind w:firstLine="565" w:firstLineChars="202"/>
        <w:rPr>
          <w:rFonts w:ascii="宋体" w:hAnsi="宋体"/>
        </w:rPr>
      </w:pPr>
      <w:r>
        <w:rPr>
          <w:rFonts w:hint="eastAsia" w:ascii="宋体" w:hAnsi="宋体"/>
        </w:rPr>
        <w:t>“五网”防洪减灾网、水资源配置网、水生态修复网、幸福河湖网、智慧水利网。</w:t>
      </w:r>
    </w:p>
    <w:p w14:paraId="6CF34C9F">
      <w:pPr>
        <w:ind w:firstLine="565" w:firstLineChars="202"/>
        <w:rPr>
          <w:rFonts w:ascii="宋体" w:hAnsi="宋体"/>
        </w:rPr>
      </w:pPr>
      <w:r>
        <w:rPr>
          <w:rFonts w:hint="eastAsia" w:ascii="宋体" w:hAnsi="宋体"/>
        </w:rPr>
        <w:t>“多源保障”：桐睦、伯公前等51座小型水库。</w:t>
      </w:r>
      <w:bookmarkEnd w:id="29"/>
      <w:bookmarkEnd w:id="30"/>
    </w:p>
    <w:tbl>
      <w:tblPr>
        <w:tblStyle w:val="30"/>
        <w:tblW w:w="8385" w:type="dxa"/>
        <w:tblInd w:w="0" w:type="dxa"/>
        <w:tblLayout w:type="autofit"/>
        <w:tblCellMar>
          <w:top w:w="0" w:type="dxa"/>
          <w:left w:w="108" w:type="dxa"/>
          <w:bottom w:w="0" w:type="dxa"/>
          <w:right w:w="108" w:type="dxa"/>
        </w:tblCellMar>
      </w:tblPr>
      <w:tblGrid>
        <w:gridCol w:w="1132"/>
        <w:gridCol w:w="948"/>
        <w:gridCol w:w="6305"/>
      </w:tblGrid>
      <w:tr w14:paraId="79A74400">
        <w:tblPrEx>
          <w:tblCellMar>
            <w:top w:w="0" w:type="dxa"/>
            <w:left w:w="108" w:type="dxa"/>
            <w:bottom w:w="0" w:type="dxa"/>
            <w:right w:w="108" w:type="dxa"/>
          </w:tblCellMar>
        </w:tblPrEx>
        <w:trPr>
          <w:trHeight w:val="456" w:hRule="atLeast"/>
        </w:trPr>
        <w:tc>
          <w:tcPr>
            <w:tcW w:w="8385" w:type="dxa"/>
            <w:gridSpan w:val="3"/>
            <w:tcBorders>
              <w:bottom w:val="single" w:color="auto" w:sz="4" w:space="0"/>
            </w:tcBorders>
            <w:noWrap/>
            <w:vAlign w:val="center"/>
          </w:tcPr>
          <w:p w14:paraId="6626CD85">
            <w:pPr>
              <w:widowControl/>
              <w:spacing w:line="240" w:lineRule="auto"/>
              <w:jc w:val="left"/>
              <w:rPr>
                <w:rFonts w:ascii="宋体" w:hAnsi="宋体" w:cs="宋体"/>
                <w:b/>
                <w:bCs/>
                <w:kern w:val="0"/>
                <w:sz w:val="24"/>
                <w:szCs w:val="24"/>
              </w:rPr>
            </w:pPr>
            <w:r>
              <w:rPr>
                <w:rFonts w:hint="eastAsia" w:ascii="宋体" w:hAnsi="宋体" w:cs="宋体"/>
                <w:b/>
                <w:bCs/>
                <w:kern w:val="0"/>
                <w:sz w:val="24"/>
                <w:szCs w:val="24"/>
              </w:rPr>
              <w:t>专栏</w:t>
            </w:r>
            <w:r>
              <w:rPr>
                <w:rFonts w:ascii="宋体" w:hAnsi="宋体" w:cs="宋体"/>
                <w:b/>
                <w:bCs/>
                <w:kern w:val="0"/>
                <w:sz w:val="24"/>
                <w:szCs w:val="24"/>
              </w:rPr>
              <w:t>1</w:t>
            </w:r>
            <w:r>
              <w:rPr>
                <w:rFonts w:hint="eastAsia" w:ascii="宋体" w:hAnsi="宋体" w:cs="宋体"/>
                <w:b/>
                <w:bCs/>
                <w:kern w:val="0"/>
                <w:sz w:val="24"/>
                <w:szCs w:val="24"/>
              </w:rPr>
              <w:t xml:space="preserve">                   水安全保障总体布局简介表</w:t>
            </w:r>
          </w:p>
        </w:tc>
      </w:tr>
      <w:tr w14:paraId="72A4A915">
        <w:tblPrEx>
          <w:tblCellMar>
            <w:top w:w="0" w:type="dxa"/>
            <w:left w:w="108" w:type="dxa"/>
            <w:bottom w:w="0" w:type="dxa"/>
            <w:right w:w="108" w:type="dxa"/>
          </w:tblCellMar>
        </w:tblPrEx>
        <w:trPr>
          <w:trHeight w:val="456" w:hRule="atLeast"/>
        </w:trPr>
        <w:tc>
          <w:tcPr>
            <w:tcW w:w="2080" w:type="dxa"/>
            <w:gridSpan w:val="2"/>
            <w:tcBorders>
              <w:top w:val="single" w:color="auto" w:sz="4" w:space="0"/>
              <w:left w:val="single" w:color="auto" w:sz="4" w:space="0"/>
              <w:bottom w:val="single" w:color="auto" w:sz="4" w:space="0"/>
              <w:right w:val="single" w:color="auto" w:sz="4" w:space="0"/>
            </w:tcBorders>
            <w:vAlign w:val="center"/>
          </w:tcPr>
          <w:p w14:paraId="20E8A84A">
            <w:pPr>
              <w:widowControl/>
              <w:spacing w:line="240" w:lineRule="auto"/>
              <w:jc w:val="center"/>
              <w:rPr>
                <w:rFonts w:ascii="宋体" w:hAnsi="宋体" w:cs="宋体"/>
                <w:kern w:val="0"/>
                <w:sz w:val="24"/>
                <w:szCs w:val="24"/>
              </w:rPr>
            </w:pPr>
            <w:r>
              <w:rPr>
                <w:rFonts w:hint="eastAsia" w:ascii="宋体" w:hAnsi="宋体" w:cs="宋体"/>
                <w:kern w:val="0"/>
                <w:sz w:val="24"/>
                <w:szCs w:val="24"/>
              </w:rPr>
              <w:t>水安全保障布局</w:t>
            </w:r>
          </w:p>
        </w:tc>
        <w:tc>
          <w:tcPr>
            <w:tcW w:w="6304" w:type="dxa"/>
            <w:tcBorders>
              <w:top w:val="single" w:color="auto" w:sz="4" w:space="0"/>
              <w:left w:val="nil"/>
              <w:bottom w:val="single" w:color="auto" w:sz="4" w:space="0"/>
              <w:right w:val="single" w:color="auto" w:sz="4" w:space="0"/>
            </w:tcBorders>
            <w:vAlign w:val="center"/>
          </w:tcPr>
          <w:p w14:paraId="188CF521">
            <w:pPr>
              <w:widowControl/>
              <w:spacing w:line="240" w:lineRule="auto"/>
              <w:jc w:val="center"/>
              <w:rPr>
                <w:rFonts w:ascii="宋体" w:hAnsi="宋体" w:cs="宋体"/>
                <w:kern w:val="0"/>
                <w:sz w:val="24"/>
                <w:szCs w:val="24"/>
              </w:rPr>
            </w:pPr>
            <w:r>
              <w:rPr>
                <w:rFonts w:hint="eastAsia" w:ascii="宋体" w:hAnsi="宋体" w:cs="宋体"/>
                <w:kern w:val="0"/>
                <w:sz w:val="24"/>
                <w:szCs w:val="24"/>
              </w:rPr>
              <w:t>备注</w:t>
            </w:r>
          </w:p>
        </w:tc>
      </w:tr>
      <w:tr w14:paraId="005DF2A9">
        <w:tblPrEx>
          <w:tblCellMar>
            <w:top w:w="0" w:type="dxa"/>
            <w:left w:w="108" w:type="dxa"/>
            <w:bottom w:w="0" w:type="dxa"/>
            <w:right w:w="108" w:type="dxa"/>
          </w:tblCellMar>
        </w:tblPrEx>
        <w:trPr>
          <w:trHeight w:val="456" w:hRule="atLeast"/>
        </w:trPr>
        <w:tc>
          <w:tcPr>
            <w:tcW w:w="1132" w:type="dxa"/>
            <w:vMerge w:val="restart"/>
            <w:tcBorders>
              <w:top w:val="nil"/>
              <w:left w:val="single" w:color="auto" w:sz="4" w:space="0"/>
              <w:bottom w:val="single" w:color="auto" w:sz="4" w:space="0"/>
              <w:right w:val="single" w:color="auto" w:sz="4" w:space="0"/>
            </w:tcBorders>
            <w:vAlign w:val="center"/>
          </w:tcPr>
          <w:p w14:paraId="31F79061">
            <w:pPr>
              <w:widowControl/>
              <w:spacing w:line="240" w:lineRule="auto"/>
              <w:jc w:val="center"/>
              <w:rPr>
                <w:rFonts w:ascii="宋体" w:hAnsi="宋体" w:cs="宋体"/>
                <w:kern w:val="0"/>
                <w:sz w:val="24"/>
                <w:szCs w:val="24"/>
              </w:rPr>
            </w:pPr>
            <w:r>
              <w:rPr>
                <w:rFonts w:hint="eastAsia" w:ascii="宋体" w:hAnsi="宋体" w:cs="宋体"/>
                <w:kern w:val="0"/>
                <w:sz w:val="24"/>
                <w:szCs w:val="24"/>
              </w:rPr>
              <w:t>一江两岸</w:t>
            </w:r>
          </w:p>
        </w:tc>
        <w:tc>
          <w:tcPr>
            <w:tcW w:w="948" w:type="dxa"/>
            <w:tcBorders>
              <w:top w:val="nil"/>
              <w:left w:val="nil"/>
              <w:bottom w:val="single" w:color="auto" w:sz="4" w:space="0"/>
              <w:right w:val="single" w:color="auto" w:sz="4" w:space="0"/>
            </w:tcBorders>
            <w:vAlign w:val="center"/>
          </w:tcPr>
          <w:p w14:paraId="016A958F">
            <w:pPr>
              <w:widowControl/>
              <w:spacing w:line="240" w:lineRule="auto"/>
              <w:jc w:val="center"/>
              <w:rPr>
                <w:rFonts w:ascii="宋体" w:hAnsi="宋体" w:cs="宋体"/>
                <w:kern w:val="0"/>
                <w:sz w:val="24"/>
                <w:szCs w:val="24"/>
              </w:rPr>
            </w:pPr>
            <w:r>
              <w:rPr>
                <w:rFonts w:hint="eastAsia" w:ascii="宋体" w:hAnsi="宋体" w:cs="宋体"/>
                <w:kern w:val="0"/>
                <w:sz w:val="24"/>
                <w:szCs w:val="24"/>
              </w:rPr>
              <w:t>一江</w:t>
            </w:r>
          </w:p>
        </w:tc>
        <w:tc>
          <w:tcPr>
            <w:tcW w:w="6304" w:type="dxa"/>
            <w:tcBorders>
              <w:top w:val="nil"/>
              <w:left w:val="nil"/>
              <w:bottom w:val="single" w:color="auto" w:sz="4" w:space="0"/>
              <w:right w:val="single" w:color="auto" w:sz="4" w:space="0"/>
            </w:tcBorders>
            <w:vAlign w:val="center"/>
          </w:tcPr>
          <w:p w14:paraId="70F84AE4">
            <w:pPr>
              <w:widowControl/>
              <w:spacing w:line="240" w:lineRule="auto"/>
              <w:jc w:val="left"/>
              <w:rPr>
                <w:rFonts w:ascii="宋体" w:hAnsi="宋体" w:cs="宋体"/>
                <w:kern w:val="0"/>
                <w:sz w:val="24"/>
                <w:szCs w:val="24"/>
              </w:rPr>
            </w:pPr>
            <w:r>
              <w:rPr>
                <w:rFonts w:hint="eastAsia" w:ascii="宋体" w:hAnsi="宋体" w:cs="宋体"/>
                <w:kern w:val="0"/>
                <w:sz w:val="24"/>
                <w:szCs w:val="24"/>
              </w:rPr>
              <w:t>长汀境内的汀江流域</w:t>
            </w:r>
          </w:p>
        </w:tc>
      </w:tr>
      <w:tr w14:paraId="0D8F7EF2">
        <w:tblPrEx>
          <w:tblCellMar>
            <w:top w:w="0" w:type="dxa"/>
            <w:left w:w="108" w:type="dxa"/>
            <w:bottom w:w="0" w:type="dxa"/>
            <w:right w:w="108" w:type="dxa"/>
          </w:tblCellMar>
        </w:tblPrEx>
        <w:trPr>
          <w:trHeight w:val="456" w:hRule="atLeast"/>
        </w:trPr>
        <w:tc>
          <w:tcPr>
            <w:tcW w:w="1132" w:type="dxa"/>
            <w:vMerge w:val="continue"/>
            <w:tcBorders>
              <w:top w:val="nil"/>
              <w:left w:val="single" w:color="auto" w:sz="4" w:space="0"/>
              <w:bottom w:val="single" w:color="auto" w:sz="4" w:space="0"/>
              <w:right w:val="single" w:color="auto" w:sz="4" w:space="0"/>
            </w:tcBorders>
            <w:vAlign w:val="center"/>
          </w:tcPr>
          <w:p w14:paraId="2F32F6B7">
            <w:pPr>
              <w:widowControl/>
              <w:spacing w:line="240" w:lineRule="auto"/>
              <w:jc w:val="left"/>
              <w:rPr>
                <w:rFonts w:ascii="宋体" w:hAnsi="宋体" w:cs="宋体"/>
                <w:kern w:val="0"/>
                <w:sz w:val="24"/>
                <w:szCs w:val="24"/>
              </w:rPr>
            </w:pPr>
          </w:p>
        </w:tc>
        <w:tc>
          <w:tcPr>
            <w:tcW w:w="948" w:type="dxa"/>
            <w:tcBorders>
              <w:top w:val="nil"/>
              <w:left w:val="nil"/>
              <w:bottom w:val="single" w:color="auto" w:sz="4" w:space="0"/>
              <w:right w:val="single" w:color="auto" w:sz="4" w:space="0"/>
            </w:tcBorders>
            <w:vAlign w:val="center"/>
          </w:tcPr>
          <w:p w14:paraId="512FA299">
            <w:pPr>
              <w:widowControl/>
              <w:spacing w:line="240" w:lineRule="auto"/>
              <w:jc w:val="center"/>
              <w:rPr>
                <w:rFonts w:ascii="宋体" w:hAnsi="宋体" w:cs="宋体"/>
                <w:kern w:val="0"/>
                <w:sz w:val="24"/>
                <w:szCs w:val="24"/>
              </w:rPr>
            </w:pPr>
            <w:r>
              <w:rPr>
                <w:rFonts w:hint="eastAsia" w:ascii="宋体" w:hAnsi="宋体" w:cs="宋体"/>
                <w:kern w:val="0"/>
                <w:sz w:val="24"/>
                <w:szCs w:val="24"/>
              </w:rPr>
              <w:t>两岸</w:t>
            </w:r>
          </w:p>
        </w:tc>
        <w:tc>
          <w:tcPr>
            <w:tcW w:w="6304" w:type="dxa"/>
            <w:tcBorders>
              <w:top w:val="nil"/>
              <w:left w:val="nil"/>
              <w:bottom w:val="single" w:color="auto" w:sz="4" w:space="0"/>
              <w:right w:val="single" w:color="auto" w:sz="4" w:space="0"/>
            </w:tcBorders>
            <w:vAlign w:val="center"/>
          </w:tcPr>
          <w:p w14:paraId="2B7DA0D3">
            <w:pPr>
              <w:widowControl/>
              <w:spacing w:line="240" w:lineRule="auto"/>
              <w:jc w:val="left"/>
              <w:rPr>
                <w:rFonts w:ascii="宋体" w:hAnsi="宋体" w:cs="宋体"/>
                <w:kern w:val="0"/>
                <w:sz w:val="24"/>
                <w:szCs w:val="24"/>
              </w:rPr>
            </w:pPr>
            <w:r>
              <w:rPr>
                <w:rFonts w:hint="eastAsia" w:ascii="宋体" w:hAnsi="宋体" w:cs="宋体"/>
                <w:kern w:val="0"/>
                <w:sz w:val="24"/>
                <w:szCs w:val="24"/>
              </w:rPr>
              <w:t>汀江沿河两岸防洪、供水、灌溉</w:t>
            </w:r>
          </w:p>
        </w:tc>
      </w:tr>
      <w:tr w14:paraId="436B9EBD">
        <w:tblPrEx>
          <w:tblCellMar>
            <w:top w:w="0" w:type="dxa"/>
            <w:left w:w="108" w:type="dxa"/>
            <w:bottom w:w="0" w:type="dxa"/>
            <w:right w:w="108" w:type="dxa"/>
          </w:tblCellMar>
        </w:tblPrEx>
        <w:trPr>
          <w:trHeight w:val="456" w:hRule="atLeast"/>
        </w:trPr>
        <w:tc>
          <w:tcPr>
            <w:tcW w:w="1132" w:type="dxa"/>
            <w:vMerge w:val="restart"/>
            <w:tcBorders>
              <w:top w:val="nil"/>
              <w:left w:val="single" w:color="auto" w:sz="4" w:space="0"/>
              <w:bottom w:val="single" w:color="auto" w:sz="4" w:space="0"/>
              <w:right w:val="single" w:color="auto" w:sz="4" w:space="0"/>
            </w:tcBorders>
            <w:vAlign w:val="center"/>
          </w:tcPr>
          <w:p w14:paraId="5505B78B">
            <w:pPr>
              <w:widowControl/>
              <w:spacing w:line="240" w:lineRule="auto"/>
              <w:jc w:val="center"/>
              <w:rPr>
                <w:rFonts w:ascii="宋体" w:hAnsi="宋体" w:cs="宋体"/>
                <w:kern w:val="0"/>
                <w:sz w:val="24"/>
                <w:szCs w:val="24"/>
              </w:rPr>
            </w:pPr>
            <w:r>
              <w:rPr>
                <w:rFonts w:hint="eastAsia" w:ascii="宋体" w:hAnsi="宋体" w:cs="宋体"/>
                <w:kern w:val="0"/>
                <w:sz w:val="24"/>
                <w:szCs w:val="24"/>
              </w:rPr>
              <w:t>四库五网</w:t>
            </w:r>
          </w:p>
        </w:tc>
        <w:tc>
          <w:tcPr>
            <w:tcW w:w="948" w:type="dxa"/>
            <w:tcBorders>
              <w:top w:val="nil"/>
              <w:left w:val="nil"/>
              <w:bottom w:val="single" w:color="auto" w:sz="4" w:space="0"/>
              <w:right w:val="single" w:color="auto" w:sz="4" w:space="0"/>
            </w:tcBorders>
            <w:vAlign w:val="center"/>
          </w:tcPr>
          <w:p w14:paraId="575F4116">
            <w:pPr>
              <w:widowControl/>
              <w:spacing w:line="240" w:lineRule="auto"/>
              <w:jc w:val="center"/>
              <w:rPr>
                <w:rFonts w:ascii="宋体" w:hAnsi="宋体" w:cs="宋体"/>
                <w:kern w:val="0"/>
                <w:sz w:val="24"/>
                <w:szCs w:val="24"/>
              </w:rPr>
            </w:pPr>
            <w:r>
              <w:rPr>
                <w:rFonts w:hint="eastAsia" w:ascii="宋体" w:hAnsi="宋体" w:cs="宋体"/>
                <w:kern w:val="0"/>
                <w:sz w:val="24"/>
                <w:szCs w:val="24"/>
              </w:rPr>
              <w:t>四库</w:t>
            </w:r>
          </w:p>
        </w:tc>
        <w:tc>
          <w:tcPr>
            <w:tcW w:w="6304" w:type="dxa"/>
            <w:tcBorders>
              <w:top w:val="nil"/>
              <w:left w:val="nil"/>
              <w:bottom w:val="single" w:color="auto" w:sz="4" w:space="0"/>
              <w:right w:val="single" w:color="auto" w:sz="4" w:space="0"/>
            </w:tcBorders>
            <w:vAlign w:val="center"/>
          </w:tcPr>
          <w:p w14:paraId="7C50D0EA">
            <w:pPr>
              <w:widowControl/>
              <w:spacing w:line="240" w:lineRule="auto"/>
              <w:jc w:val="left"/>
              <w:rPr>
                <w:rFonts w:ascii="宋体" w:hAnsi="宋体" w:cs="宋体"/>
                <w:kern w:val="0"/>
                <w:sz w:val="24"/>
                <w:szCs w:val="24"/>
              </w:rPr>
            </w:pPr>
            <w:r>
              <w:rPr>
                <w:rFonts w:hint="eastAsia" w:ascii="宋体" w:hAnsi="宋体" w:cs="宋体"/>
                <w:kern w:val="0"/>
                <w:sz w:val="24"/>
                <w:szCs w:val="24"/>
              </w:rPr>
              <w:t>陂下水库、荣丰水库、溪源水库、龙门水库等重点中型水库。</w:t>
            </w:r>
          </w:p>
        </w:tc>
      </w:tr>
      <w:tr w14:paraId="76AC8302">
        <w:tblPrEx>
          <w:tblCellMar>
            <w:top w:w="0" w:type="dxa"/>
            <w:left w:w="108" w:type="dxa"/>
            <w:bottom w:w="0" w:type="dxa"/>
            <w:right w:w="108" w:type="dxa"/>
          </w:tblCellMar>
        </w:tblPrEx>
        <w:trPr>
          <w:trHeight w:val="456" w:hRule="atLeast"/>
        </w:trPr>
        <w:tc>
          <w:tcPr>
            <w:tcW w:w="1132" w:type="dxa"/>
            <w:vMerge w:val="continue"/>
            <w:tcBorders>
              <w:top w:val="nil"/>
              <w:left w:val="single" w:color="auto" w:sz="4" w:space="0"/>
              <w:bottom w:val="single" w:color="auto" w:sz="4" w:space="0"/>
              <w:right w:val="single" w:color="auto" w:sz="4" w:space="0"/>
            </w:tcBorders>
            <w:vAlign w:val="center"/>
          </w:tcPr>
          <w:p w14:paraId="12B58AB6">
            <w:pPr>
              <w:widowControl/>
              <w:spacing w:line="240" w:lineRule="auto"/>
              <w:jc w:val="left"/>
              <w:rPr>
                <w:rFonts w:ascii="宋体" w:hAnsi="宋体" w:cs="宋体"/>
                <w:kern w:val="0"/>
                <w:sz w:val="24"/>
                <w:szCs w:val="24"/>
              </w:rPr>
            </w:pPr>
          </w:p>
        </w:tc>
        <w:tc>
          <w:tcPr>
            <w:tcW w:w="948" w:type="dxa"/>
            <w:tcBorders>
              <w:top w:val="nil"/>
              <w:left w:val="nil"/>
              <w:bottom w:val="single" w:color="auto" w:sz="4" w:space="0"/>
              <w:right w:val="single" w:color="auto" w:sz="4" w:space="0"/>
            </w:tcBorders>
            <w:vAlign w:val="center"/>
          </w:tcPr>
          <w:p w14:paraId="5997179F">
            <w:pPr>
              <w:widowControl/>
              <w:spacing w:line="240" w:lineRule="auto"/>
              <w:jc w:val="center"/>
              <w:rPr>
                <w:rFonts w:ascii="宋体" w:hAnsi="宋体" w:cs="宋体"/>
                <w:kern w:val="0"/>
                <w:sz w:val="24"/>
                <w:szCs w:val="24"/>
              </w:rPr>
            </w:pPr>
            <w:r>
              <w:rPr>
                <w:rFonts w:hint="eastAsia" w:ascii="宋体" w:hAnsi="宋体" w:cs="宋体"/>
                <w:kern w:val="0"/>
                <w:sz w:val="24"/>
                <w:szCs w:val="24"/>
              </w:rPr>
              <w:t>五网</w:t>
            </w:r>
          </w:p>
        </w:tc>
        <w:tc>
          <w:tcPr>
            <w:tcW w:w="6304" w:type="dxa"/>
            <w:tcBorders>
              <w:top w:val="nil"/>
              <w:left w:val="nil"/>
              <w:bottom w:val="single" w:color="auto" w:sz="4" w:space="0"/>
              <w:right w:val="single" w:color="auto" w:sz="4" w:space="0"/>
            </w:tcBorders>
            <w:vAlign w:val="center"/>
          </w:tcPr>
          <w:p w14:paraId="14720EBF">
            <w:pPr>
              <w:widowControl/>
              <w:spacing w:line="240" w:lineRule="auto"/>
              <w:jc w:val="left"/>
              <w:rPr>
                <w:rFonts w:ascii="宋体" w:hAnsi="宋体" w:cs="宋体"/>
                <w:kern w:val="0"/>
                <w:sz w:val="24"/>
                <w:szCs w:val="24"/>
              </w:rPr>
            </w:pPr>
            <w:r>
              <w:rPr>
                <w:rFonts w:hint="eastAsia" w:ascii="宋体" w:hAnsi="宋体" w:cs="宋体"/>
                <w:kern w:val="0"/>
                <w:sz w:val="24"/>
                <w:szCs w:val="24"/>
              </w:rPr>
              <w:t>防洪减灾网、水资源配置网、水生态修复网、幸福河湖网、智慧水利网。</w:t>
            </w:r>
          </w:p>
        </w:tc>
      </w:tr>
      <w:tr w14:paraId="1AF2DBCC">
        <w:tblPrEx>
          <w:tblCellMar>
            <w:top w:w="0" w:type="dxa"/>
            <w:left w:w="108" w:type="dxa"/>
            <w:bottom w:w="0" w:type="dxa"/>
            <w:right w:w="108" w:type="dxa"/>
          </w:tblCellMar>
        </w:tblPrEx>
        <w:trPr>
          <w:trHeight w:val="456" w:hRule="atLeast"/>
        </w:trPr>
        <w:tc>
          <w:tcPr>
            <w:tcW w:w="1132" w:type="dxa"/>
            <w:tcBorders>
              <w:top w:val="nil"/>
              <w:left w:val="single" w:color="auto" w:sz="4" w:space="0"/>
              <w:bottom w:val="single" w:color="auto" w:sz="4" w:space="0"/>
              <w:right w:val="single" w:color="auto" w:sz="4" w:space="0"/>
            </w:tcBorders>
            <w:vAlign w:val="center"/>
          </w:tcPr>
          <w:p w14:paraId="532AEAD2">
            <w:pPr>
              <w:widowControl/>
              <w:spacing w:line="240" w:lineRule="auto"/>
              <w:jc w:val="center"/>
              <w:rPr>
                <w:rFonts w:ascii="宋体" w:hAnsi="宋体" w:cs="宋体"/>
                <w:kern w:val="0"/>
                <w:sz w:val="24"/>
                <w:szCs w:val="24"/>
              </w:rPr>
            </w:pPr>
            <w:r>
              <w:rPr>
                <w:rFonts w:hint="eastAsia" w:ascii="宋体" w:hAnsi="宋体" w:cs="宋体"/>
                <w:kern w:val="0"/>
                <w:sz w:val="24"/>
                <w:szCs w:val="24"/>
              </w:rPr>
              <w:t>多源保障</w:t>
            </w:r>
          </w:p>
        </w:tc>
        <w:tc>
          <w:tcPr>
            <w:tcW w:w="948" w:type="dxa"/>
            <w:tcBorders>
              <w:top w:val="nil"/>
              <w:left w:val="nil"/>
              <w:bottom w:val="single" w:color="auto" w:sz="4" w:space="0"/>
              <w:right w:val="single" w:color="auto" w:sz="4" w:space="0"/>
            </w:tcBorders>
            <w:vAlign w:val="center"/>
          </w:tcPr>
          <w:p w14:paraId="307F6750">
            <w:pPr>
              <w:widowControl/>
              <w:spacing w:line="240" w:lineRule="auto"/>
              <w:jc w:val="center"/>
              <w:rPr>
                <w:rFonts w:ascii="宋体" w:hAnsi="宋体" w:cs="宋体"/>
                <w:kern w:val="0"/>
                <w:sz w:val="24"/>
                <w:szCs w:val="24"/>
              </w:rPr>
            </w:pPr>
            <w:r>
              <w:rPr>
                <w:rFonts w:hint="eastAsia" w:ascii="宋体" w:hAnsi="宋体" w:cs="宋体"/>
                <w:kern w:val="0"/>
                <w:sz w:val="24"/>
                <w:szCs w:val="24"/>
              </w:rPr>
              <w:t>多源</w:t>
            </w:r>
          </w:p>
        </w:tc>
        <w:tc>
          <w:tcPr>
            <w:tcW w:w="6304" w:type="dxa"/>
            <w:tcBorders>
              <w:top w:val="nil"/>
              <w:left w:val="nil"/>
              <w:bottom w:val="single" w:color="auto" w:sz="4" w:space="0"/>
              <w:right w:val="single" w:color="auto" w:sz="4" w:space="0"/>
            </w:tcBorders>
            <w:vAlign w:val="center"/>
          </w:tcPr>
          <w:p w14:paraId="22AB268E">
            <w:pPr>
              <w:widowControl/>
              <w:spacing w:line="240" w:lineRule="auto"/>
              <w:jc w:val="left"/>
              <w:rPr>
                <w:rFonts w:ascii="宋体" w:hAnsi="宋体" w:cs="宋体"/>
                <w:kern w:val="0"/>
                <w:sz w:val="24"/>
                <w:szCs w:val="24"/>
              </w:rPr>
            </w:pPr>
            <w:r>
              <w:rPr>
                <w:rFonts w:hint="eastAsia" w:ascii="宋体" w:hAnsi="宋体" w:cs="宋体"/>
                <w:kern w:val="0"/>
                <w:sz w:val="24"/>
                <w:szCs w:val="24"/>
              </w:rPr>
              <w:t>桐睦、伯公前等51座小型水库</w:t>
            </w:r>
          </w:p>
        </w:tc>
      </w:tr>
    </w:tbl>
    <w:p w14:paraId="5F4D9877">
      <w:pPr>
        <w:ind w:firstLine="565" w:firstLineChars="202"/>
        <w:rPr>
          <w:rFonts w:ascii="宋体" w:hAnsi="宋体"/>
        </w:rPr>
        <w:sectPr>
          <w:pgSz w:w="11906" w:h="16838"/>
          <w:pgMar w:top="1440" w:right="1800" w:bottom="1440" w:left="1800" w:header="851" w:footer="992" w:gutter="0"/>
          <w:cols w:space="425" w:num="1"/>
          <w:docGrid w:type="lines" w:linePitch="312" w:charSpace="0"/>
        </w:sectPr>
      </w:pPr>
    </w:p>
    <w:p w14:paraId="0D82B9BB">
      <w:pPr>
        <w:pStyle w:val="2"/>
        <w:numPr>
          <w:ilvl w:val="0"/>
          <w:numId w:val="2"/>
        </w:numPr>
        <w:jc w:val="center"/>
        <w:rPr>
          <w:rFonts w:ascii="宋体" w:hAnsi="宋体"/>
          <w:b/>
          <w:bCs/>
          <w:color w:val="auto"/>
        </w:rPr>
      </w:pPr>
      <w:bookmarkStart w:id="31" w:name="_Toc216791697"/>
      <w:r>
        <w:rPr>
          <w:rFonts w:hint="eastAsia" w:ascii="宋体" w:hAnsi="宋体"/>
          <w:b/>
          <w:bCs/>
          <w:color w:val="auto"/>
        </w:rPr>
        <w:t>锚定“六条路径”，靶向策划主要任务</w:t>
      </w:r>
      <w:bookmarkEnd w:id="31"/>
    </w:p>
    <w:p w14:paraId="2AFD53A7">
      <w:pPr>
        <w:pStyle w:val="3"/>
        <w:numPr>
          <w:ilvl w:val="1"/>
          <w:numId w:val="2"/>
        </w:numPr>
        <w:rPr>
          <w:rFonts w:ascii="宋体" w:hAnsi="宋体"/>
          <w:color w:val="auto"/>
        </w:rPr>
      </w:pPr>
      <w:bookmarkStart w:id="32" w:name="_Toc216791698"/>
      <w:r>
        <w:rPr>
          <w:rFonts w:hint="eastAsia" w:ascii="宋体" w:hAnsi="宋体"/>
          <w:color w:val="auto"/>
        </w:rPr>
        <w:t>系统治理，完善防洪排涝水安全体系</w:t>
      </w:r>
      <w:bookmarkEnd w:id="32"/>
    </w:p>
    <w:p w14:paraId="3BD506E3">
      <w:pPr>
        <w:ind w:firstLine="560" w:firstLineChars="200"/>
        <w:rPr>
          <w:rFonts w:ascii="宋体" w:hAnsi="宋体"/>
        </w:rPr>
      </w:pPr>
      <w:bookmarkStart w:id="33" w:name="OLE_LINK2"/>
      <w:bookmarkStart w:id="34" w:name="OLE_LINK3"/>
      <w:r>
        <w:rPr>
          <w:rFonts w:hint="eastAsia" w:ascii="宋体" w:hAnsi="宋体"/>
        </w:rPr>
        <w:t>立足长汀“八山一水一分田”的地形特征，针对防洪薄弱环节突出的问题，以构建“蓄泄兼筹、攻防兼备”的防洪</w:t>
      </w:r>
      <w:r>
        <w:rPr>
          <w:rFonts w:ascii="宋体" w:hAnsi="宋体"/>
        </w:rPr>
        <w:t>工程体系为目标，破解水灾害难题。一方面，通过新建扩容蓄水工程强化流域调蓄能力，从源头提升洪水调控水平；另一方面，</w:t>
      </w:r>
      <w:r>
        <w:rPr>
          <w:rFonts w:hint="eastAsia" w:ascii="宋体" w:hAnsi="宋体"/>
        </w:rPr>
        <w:t>通过新建</w:t>
      </w:r>
      <w:r>
        <w:rPr>
          <w:rFonts w:ascii="宋体" w:hAnsi="宋体"/>
        </w:rPr>
        <w:t>城区分洪隧洞工程</w:t>
      </w:r>
      <w:r>
        <w:rPr>
          <w:rFonts w:hint="eastAsia" w:ascii="宋体" w:hAnsi="宋体"/>
        </w:rPr>
        <w:t>提升</w:t>
      </w:r>
      <w:r>
        <w:rPr>
          <w:rFonts w:ascii="宋体" w:hAnsi="宋体"/>
        </w:rPr>
        <w:t>城区防洪能力；</w:t>
      </w:r>
      <w:r>
        <w:rPr>
          <w:rFonts w:hint="eastAsia" w:ascii="宋体" w:hAnsi="宋体"/>
        </w:rPr>
        <w:t>此外，</w:t>
      </w:r>
      <w:r>
        <w:rPr>
          <w:rFonts w:ascii="宋体" w:hAnsi="宋体"/>
        </w:rPr>
        <w:t>持续推进“五江一溪”防洪提升工程，实施中小河流治理，系统开展山洪灾害防治与重点涝区综合治理，靶向提升城镇防洪排涝硬实力。通过全方位完善防洪工程体系，全面提高全</w:t>
      </w:r>
      <w:r>
        <w:rPr>
          <w:rFonts w:hint="eastAsia" w:ascii="宋体" w:hAnsi="宋体"/>
        </w:rPr>
        <w:t>县</w:t>
      </w:r>
      <w:r>
        <w:rPr>
          <w:rFonts w:ascii="宋体" w:hAnsi="宋体"/>
        </w:rPr>
        <w:t>洪水灾害防御能力，切实筑牢人民群众生命财产安全的坚固防线。</w:t>
      </w:r>
      <w:bookmarkEnd w:id="33"/>
      <w:bookmarkEnd w:id="34"/>
    </w:p>
    <w:p w14:paraId="127FD87C">
      <w:pPr>
        <w:pStyle w:val="4"/>
        <w:numPr>
          <w:ilvl w:val="2"/>
          <w:numId w:val="2"/>
        </w:numPr>
        <w:rPr>
          <w:rFonts w:ascii="宋体" w:hAnsi="宋体"/>
          <w:color w:val="auto"/>
        </w:rPr>
      </w:pPr>
      <w:r>
        <w:rPr>
          <w:rFonts w:ascii="宋体" w:hAnsi="宋体"/>
          <w:color w:val="auto"/>
        </w:rPr>
        <w:t>增强洪水调蓄能力</w:t>
      </w:r>
    </w:p>
    <w:p w14:paraId="4DA0B881">
      <w:pPr>
        <w:ind w:firstLine="560" w:firstLineChars="200"/>
        <w:rPr>
          <w:rFonts w:ascii="宋体" w:hAnsi="宋体"/>
        </w:rPr>
      </w:pPr>
      <w:r>
        <w:rPr>
          <w:rFonts w:hint="eastAsia" w:ascii="宋体" w:hAnsi="宋体"/>
        </w:rPr>
        <w:t>为控制上游山区洪水，增强洪水调蓄能力，缓解下游城区</w:t>
      </w:r>
      <w:r>
        <w:rPr>
          <w:rFonts w:ascii="宋体" w:hAnsi="宋体"/>
        </w:rPr>
        <w:t>防洪压力，根据地形条件选取合适坝址新建水库工程，本次规划龙门水库</w:t>
      </w:r>
      <w:r>
        <w:rPr>
          <w:rFonts w:hint="eastAsia" w:ascii="宋体" w:hAnsi="宋体"/>
        </w:rPr>
        <w:t>，具有防洪、供水、灌溉、兼顾发电等综合利用功能，</w:t>
      </w:r>
      <w:r>
        <w:rPr>
          <w:rFonts w:ascii="宋体" w:hAnsi="宋体"/>
        </w:rPr>
        <w:t>水库总库容为2909万m</w:t>
      </w:r>
      <w:r>
        <w:rPr>
          <w:rFonts w:ascii="宋体" w:hAnsi="宋体"/>
          <w:vertAlign w:val="superscript"/>
        </w:rPr>
        <w:t>3</w:t>
      </w:r>
      <w:r>
        <w:rPr>
          <w:rFonts w:ascii="宋体" w:hAnsi="宋体"/>
        </w:rPr>
        <w:t>，防洪库容739万m</w:t>
      </w:r>
      <w:r>
        <w:rPr>
          <w:rFonts w:ascii="宋体" w:hAnsi="宋体"/>
          <w:vertAlign w:val="superscript"/>
        </w:rPr>
        <w:t>3</w:t>
      </w:r>
      <w:r>
        <w:rPr>
          <w:rFonts w:ascii="宋体" w:hAnsi="宋体"/>
        </w:rPr>
        <w:t>，属中型水库，建成后</w:t>
      </w:r>
      <w:r>
        <w:rPr>
          <w:rFonts w:hint="eastAsia" w:ascii="宋体" w:hAnsi="宋体"/>
        </w:rPr>
        <w:t>通过水库调洪削峰作用，减轻下游长汀城区防洪压力，可使观音桥断面防洪标准由</w:t>
      </w:r>
      <w:r>
        <w:rPr>
          <w:rFonts w:ascii="宋体" w:hAnsi="宋体"/>
        </w:rPr>
        <w:t>20年一遇提高到25年一遇</w:t>
      </w:r>
      <w:r>
        <w:rPr>
          <w:rFonts w:hint="eastAsia" w:ascii="宋体" w:hAnsi="宋体"/>
        </w:rPr>
        <w:t>。</w:t>
      </w:r>
    </w:p>
    <w:p w14:paraId="4C801F38">
      <w:pPr>
        <w:pStyle w:val="4"/>
        <w:numPr>
          <w:ilvl w:val="2"/>
          <w:numId w:val="2"/>
        </w:numPr>
        <w:rPr>
          <w:rFonts w:ascii="宋体" w:hAnsi="宋体"/>
          <w:color w:val="auto"/>
        </w:rPr>
      </w:pPr>
      <w:r>
        <w:rPr>
          <w:rFonts w:hint="eastAsia" w:ascii="宋体" w:hAnsi="宋体"/>
          <w:color w:val="auto"/>
        </w:rPr>
        <w:t>增强</w:t>
      </w:r>
      <w:r>
        <w:rPr>
          <w:rFonts w:ascii="宋体" w:hAnsi="宋体"/>
          <w:color w:val="auto"/>
        </w:rPr>
        <w:t>分洪</w:t>
      </w:r>
      <w:r>
        <w:rPr>
          <w:rFonts w:hint="eastAsia" w:ascii="宋体" w:hAnsi="宋体"/>
          <w:color w:val="auto"/>
        </w:rPr>
        <w:t>能力</w:t>
      </w:r>
      <w:r>
        <w:rPr>
          <w:rFonts w:ascii="宋体" w:hAnsi="宋体"/>
          <w:color w:val="auto"/>
        </w:rPr>
        <w:t>，提高防洪标准</w:t>
      </w:r>
    </w:p>
    <w:p w14:paraId="38ED490C">
      <w:pPr>
        <w:ind w:firstLine="560" w:firstLineChars="200"/>
        <w:rPr>
          <w:rFonts w:ascii="宋体" w:hAnsi="宋体"/>
        </w:rPr>
      </w:pPr>
      <w:r>
        <w:rPr>
          <w:rFonts w:hint="eastAsia" w:ascii="宋体" w:hAnsi="宋体"/>
        </w:rPr>
        <w:t>当前，长汀县防洪排涝体系尚存在明显短板：城区汀江两岸防洪标准偏低，城镇防洪基础设施建设滞后，受汀江</w:t>
      </w:r>
      <w:r>
        <w:rPr>
          <w:rFonts w:ascii="宋体" w:hAnsi="宋体"/>
        </w:rPr>
        <w:t>两岸地形条件限制，城区防洪无法通过加高防洪堤的方式得到改善，</w:t>
      </w:r>
      <w:r>
        <w:rPr>
          <w:rFonts w:hint="eastAsia" w:ascii="宋体" w:hAnsi="宋体"/>
        </w:rPr>
        <w:t>秉持“两个坚持、三个转变”防灾减灾新理念，本规划以流域为单元、堤防为基础、水库为枢纽，构建“库堤协同、疏堵结合、滞排并重”的防洪治涝新格局。本次</w:t>
      </w:r>
      <w:r>
        <w:rPr>
          <w:rFonts w:ascii="宋体" w:hAnsi="宋体"/>
        </w:rPr>
        <w:t>规划长汀县城区分洪隧洞工程</w:t>
      </w:r>
      <w:r>
        <w:rPr>
          <w:rFonts w:hint="eastAsia" w:ascii="宋体" w:hAnsi="宋体"/>
        </w:rPr>
        <w:t>，工程</w:t>
      </w:r>
      <w:r>
        <w:rPr>
          <w:rFonts w:ascii="宋体" w:hAnsi="宋体"/>
        </w:rPr>
        <w:t>实施后将城区防洪标准从</w:t>
      </w:r>
      <w:r>
        <w:rPr>
          <w:rFonts w:hint="eastAsia" w:ascii="宋体" w:hAnsi="宋体"/>
        </w:rPr>
        <w:t>20年</w:t>
      </w:r>
      <w:r>
        <w:rPr>
          <w:rFonts w:ascii="宋体" w:hAnsi="宋体"/>
        </w:rPr>
        <w:t>提高至</w:t>
      </w:r>
      <w:r>
        <w:rPr>
          <w:rFonts w:hint="eastAsia" w:ascii="宋体" w:hAnsi="宋体"/>
        </w:rPr>
        <w:t>30年</w:t>
      </w:r>
      <w:r>
        <w:rPr>
          <w:rFonts w:ascii="宋体" w:hAnsi="宋体"/>
        </w:rPr>
        <w:t>一遇。</w:t>
      </w:r>
    </w:p>
    <w:p w14:paraId="48CBF4DE">
      <w:pPr>
        <w:pStyle w:val="4"/>
        <w:numPr>
          <w:ilvl w:val="2"/>
          <w:numId w:val="2"/>
        </w:numPr>
        <w:rPr>
          <w:rFonts w:ascii="宋体" w:hAnsi="宋体"/>
          <w:color w:val="auto"/>
        </w:rPr>
      </w:pPr>
      <w:r>
        <w:rPr>
          <w:rFonts w:hint="eastAsia" w:ascii="宋体" w:hAnsi="宋体"/>
          <w:color w:val="auto"/>
        </w:rPr>
        <w:t>推进“五江一溪”防洪工程</w:t>
      </w:r>
    </w:p>
    <w:p w14:paraId="563A70DA">
      <w:pPr>
        <w:ind w:firstLine="565" w:firstLineChars="202"/>
        <w:rPr>
          <w:rFonts w:ascii="宋体" w:hAnsi="宋体"/>
        </w:rPr>
      </w:pPr>
      <w:r>
        <w:rPr>
          <w:rFonts w:hint="eastAsia" w:ascii="宋体" w:hAnsi="宋体"/>
        </w:rPr>
        <w:t>为提高长汀县防洪能力，规划继续开展“五江一溪”防</w:t>
      </w:r>
      <w:r>
        <w:rPr>
          <w:rFonts w:ascii="宋体" w:hAnsi="宋体"/>
        </w:rPr>
        <w:t>洪综合治理，</w:t>
      </w:r>
      <w:bookmarkStart w:id="35" w:name="OLE_LINK6"/>
      <w:bookmarkStart w:id="36" w:name="OLE_LINK7"/>
      <w:r>
        <w:rPr>
          <w:rFonts w:ascii="宋体" w:hAnsi="宋体"/>
        </w:rPr>
        <w:t>大力实施汀江</w:t>
      </w:r>
      <w:r>
        <w:rPr>
          <w:rFonts w:hint="eastAsia" w:ascii="宋体" w:hAnsi="宋体"/>
        </w:rPr>
        <w:t>长汀</w:t>
      </w:r>
      <w:r>
        <w:rPr>
          <w:rFonts w:ascii="宋体" w:hAnsi="宋体"/>
        </w:rPr>
        <w:t>段防洪系统治理</w:t>
      </w:r>
      <w:bookmarkEnd w:id="35"/>
      <w:bookmarkEnd w:id="36"/>
      <w:r>
        <w:rPr>
          <w:rFonts w:ascii="宋体" w:hAnsi="宋体"/>
        </w:rPr>
        <w:t>，完善汀江</w:t>
      </w:r>
      <w:r>
        <w:rPr>
          <w:rFonts w:hint="eastAsia" w:ascii="宋体" w:hAnsi="宋体"/>
        </w:rPr>
        <w:t>长汀</w:t>
      </w:r>
      <w:r>
        <w:rPr>
          <w:rFonts w:ascii="宋体" w:hAnsi="宋体"/>
        </w:rPr>
        <w:t>段防洪体系。主要建设内容为</w:t>
      </w:r>
      <w:r>
        <w:rPr>
          <w:rFonts w:hint="eastAsia" w:ascii="宋体" w:hAnsi="宋体"/>
        </w:rPr>
        <w:t>建设21条</w:t>
      </w:r>
      <w:r>
        <w:rPr>
          <w:rFonts w:ascii="宋体" w:hAnsi="宋体"/>
        </w:rPr>
        <w:t>堤段，新建堤防</w:t>
      </w:r>
      <w:r>
        <w:rPr>
          <w:rFonts w:hint="eastAsia" w:ascii="宋体" w:hAnsi="宋体"/>
        </w:rPr>
        <w:t>（</w:t>
      </w:r>
      <w:r>
        <w:rPr>
          <w:rFonts w:ascii="宋体" w:hAnsi="宋体"/>
        </w:rPr>
        <w:t>护岸</w:t>
      </w:r>
      <w:r>
        <w:rPr>
          <w:rFonts w:hint="eastAsia" w:ascii="宋体" w:hAnsi="宋体"/>
        </w:rPr>
        <w:t>）长</w:t>
      </w:r>
      <w:r>
        <w:rPr>
          <w:rFonts w:ascii="宋体" w:hAnsi="宋体"/>
        </w:rPr>
        <w:t>49.53km。汀江防洪提升工程</w:t>
      </w:r>
      <w:r>
        <w:rPr>
          <w:rFonts w:hint="eastAsia" w:ascii="宋体" w:hAnsi="宋体"/>
        </w:rPr>
        <w:t>（</w:t>
      </w:r>
      <w:r>
        <w:rPr>
          <w:rFonts w:ascii="宋体" w:hAnsi="宋体"/>
        </w:rPr>
        <w:t>永定、长汀段</w:t>
      </w:r>
      <w:r>
        <w:rPr>
          <w:rFonts w:hint="eastAsia" w:ascii="宋体" w:hAnsi="宋体"/>
        </w:rPr>
        <w:t>）</w:t>
      </w:r>
      <w:r>
        <w:rPr>
          <w:rFonts w:ascii="宋体" w:hAnsi="宋体"/>
        </w:rPr>
        <w:t>，</w:t>
      </w:r>
      <w:r>
        <w:rPr>
          <w:rFonts w:hint="eastAsia" w:ascii="宋体" w:hAnsi="宋体"/>
        </w:rPr>
        <w:t>共</w:t>
      </w:r>
      <w:r>
        <w:rPr>
          <w:rFonts w:ascii="宋体" w:hAnsi="宋体"/>
        </w:rPr>
        <w:t>布置</w:t>
      </w:r>
      <w:r>
        <w:rPr>
          <w:rFonts w:hint="eastAsia" w:ascii="宋体" w:hAnsi="宋体"/>
        </w:rPr>
        <w:t>1条</w:t>
      </w:r>
      <w:r>
        <w:rPr>
          <w:rFonts w:ascii="宋体" w:hAnsi="宋体"/>
        </w:rPr>
        <w:t>堤段，位于濯田镇，堤线长</w:t>
      </w:r>
      <w:r>
        <w:rPr>
          <w:rFonts w:hint="eastAsia" w:ascii="宋体" w:hAnsi="宋体"/>
        </w:rPr>
        <w:t>5.839km，</w:t>
      </w:r>
      <w:r>
        <w:rPr>
          <w:rFonts w:ascii="宋体" w:hAnsi="宋体"/>
        </w:rPr>
        <w:t>其中新建防洪堤</w:t>
      </w:r>
      <w:r>
        <w:rPr>
          <w:rFonts w:hint="eastAsia" w:ascii="宋体" w:hAnsi="宋体"/>
        </w:rPr>
        <w:t>4.553km，</w:t>
      </w:r>
      <w:r>
        <w:rPr>
          <w:rFonts w:ascii="宋体" w:hAnsi="宋体"/>
        </w:rPr>
        <w:t>加高加固防洪堤</w:t>
      </w:r>
      <w:r>
        <w:rPr>
          <w:rFonts w:hint="eastAsia" w:ascii="宋体" w:hAnsi="宋体"/>
        </w:rPr>
        <w:t>1.286km，</w:t>
      </w:r>
      <w:r>
        <w:rPr>
          <w:rFonts w:ascii="宋体" w:hAnsi="宋体"/>
        </w:rPr>
        <w:t>建设水闸</w:t>
      </w:r>
      <w:r>
        <w:rPr>
          <w:rFonts w:hint="eastAsia" w:ascii="宋体" w:hAnsi="宋体"/>
        </w:rPr>
        <w:t>3座</w:t>
      </w:r>
      <w:r>
        <w:rPr>
          <w:rFonts w:ascii="宋体" w:hAnsi="宋体"/>
        </w:rPr>
        <w:t>，排水涵管</w:t>
      </w:r>
      <w:r>
        <w:rPr>
          <w:rFonts w:hint="eastAsia" w:ascii="宋体" w:hAnsi="宋体"/>
        </w:rPr>
        <w:t>21根</w:t>
      </w:r>
      <w:r>
        <w:rPr>
          <w:rFonts w:ascii="宋体" w:hAnsi="宋体"/>
        </w:rPr>
        <w:t>。结合系统治理工程，全面提升防洪排涝能力。</w:t>
      </w:r>
    </w:p>
    <w:p w14:paraId="08013EB0">
      <w:pPr>
        <w:pStyle w:val="4"/>
        <w:numPr>
          <w:ilvl w:val="2"/>
          <w:numId w:val="2"/>
        </w:numPr>
        <w:rPr>
          <w:rFonts w:ascii="宋体" w:hAnsi="宋体"/>
          <w:color w:val="auto"/>
        </w:rPr>
      </w:pPr>
      <w:r>
        <w:rPr>
          <w:rFonts w:hint="eastAsia" w:ascii="宋体" w:hAnsi="宋体"/>
          <w:color w:val="auto"/>
        </w:rPr>
        <w:t>开展中小河流系统治理</w:t>
      </w:r>
    </w:p>
    <w:p w14:paraId="41ED3899">
      <w:pPr>
        <w:ind w:firstLine="565" w:firstLineChars="202"/>
        <w:rPr>
          <w:rFonts w:ascii="宋体" w:hAnsi="宋体"/>
        </w:rPr>
      </w:pPr>
      <w:r>
        <w:rPr>
          <w:rFonts w:hint="eastAsia" w:ascii="宋体" w:hAnsi="宋体"/>
        </w:rPr>
        <w:t>本次规划以受洪水威胁、人口规模较大的乡镇为重点，</w:t>
      </w:r>
      <w:r>
        <w:rPr>
          <w:rFonts w:ascii="宋体" w:hAnsi="宋体"/>
        </w:rPr>
        <w:t>主要以维持和提升河道行洪能力为主，兼顾上下游、左右岸，根据不同河流特点，因地制宜地完善堤防、护岸工程建设。本次规划治理</w:t>
      </w:r>
      <w:r>
        <w:rPr>
          <w:rFonts w:hint="eastAsia" w:ascii="宋体" w:hAnsi="宋体"/>
        </w:rPr>
        <w:t>长汀县</w:t>
      </w:r>
      <w:r>
        <w:rPr>
          <w:rFonts w:ascii="宋体" w:hAnsi="宋体"/>
        </w:rPr>
        <w:t>3条河流共4个项目，综合治理长度为111.02km。</w:t>
      </w:r>
    </w:p>
    <w:p w14:paraId="6A5981C8">
      <w:pPr>
        <w:pStyle w:val="4"/>
        <w:numPr>
          <w:ilvl w:val="2"/>
          <w:numId w:val="2"/>
        </w:numPr>
        <w:rPr>
          <w:rFonts w:ascii="宋体" w:hAnsi="宋体"/>
          <w:color w:val="auto"/>
        </w:rPr>
      </w:pPr>
      <w:r>
        <w:rPr>
          <w:rFonts w:hint="eastAsia" w:ascii="宋体" w:hAnsi="宋体"/>
          <w:color w:val="auto"/>
        </w:rPr>
        <w:t>加强山洪灾害防治</w:t>
      </w:r>
    </w:p>
    <w:p w14:paraId="4450AF05">
      <w:pPr>
        <w:ind w:firstLine="562" w:firstLineChars="200"/>
        <w:rPr>
          <w:rFonts w:ascii="宋体" w:hAnsi="宋体"/>
          <w:b/>
          <w:bCs/>
        </w:rPr>
      </w:pPr>
      <w:r>
        <w:rPr>
          <w:rFonts w:hint="eastAsia" w:ascii="宋体" w:hAnsi="宋体"/>
          <w:b/>
          <w:bCs/>
        </w:rPr>
        <w:t>（1）山洪灾害防治工程</w:t>
      </w:r>
    </w:p>
    <w:p w14:paraId="0EBA2D76">
      <w:pPr>
        <w:ind w:firstLine="560" w:firstLineChars="200"/>
        <w:rPr>
          <w:rFonts w:ascii="宋体" w:hAnsi="宋体"/>
        </w:rPr>
      </w:pPr>
      <w:r>
        <w:rPr>
          <w:rFonts w:hint="eastAsia" w:ascii="宋体" w:hAnsi="宋体"/>
        </w:rPr>
        <w:t>按照“防治结合、以防为主”的方针，以重点防治区和</w:t>
      </w:r>
      <w:r>
        <w:rPr>
          <w:rFonts w:ascii="宋体" w:hAnsi="宋体"/>
        </w:rPr>
        <w:t>近期发生山洪灾害的地区为重点，继续加大山洪灾害防治力度，加快实施重点山洪沟治理。根据重点山区河道地形、地</w:t>
      </w:r>
      <w:r>
        <w:rPr>
          <w:rFonts w:hint="eastAsia" w:ascii="宋体" w:hAnsi="宋体"/>
        </w:rPr>
        <w:t>质条件，因地制宜采取清淤疏浚、护岸建设等措施，全县共规划了43</w:t>
      </w:r>
      <w:r>
        <w:rPr>
          <w:rFonts w:hint="eastAsia" w:ascii="宋体" w:hAnsi="宋体"/>
          <w:szCs w:val="28"/>
        </w:rPr>
        <w:t>条</w:t>
      </w:r>
      <w:r>
        <w:rPr>
          <w:rFonts w:hint="eastAsia" w:ascii="宋体" w:hAnsi="宋体"/>
        </w:rPr>
        <w:t>山洪沟进行</w:t>
      </w:r>
      <w:r>
        <w:rPr>
          <w:rFonts w:ascii="宋体" w:hAnsi="宋体"/>
        </w:rPr>
        <w:t>综合治理</w:t>
      </w:r>
      <w:r>
        <w:rPr>
          <w:rFonts w:hint="eastAsia" w:ascii="宋体" w:hAnsi="宋体"/>
        </w:rPr>
        <w:t>，重点</w:t>
      </w:r>
      <w:r>
        <w:rPr>
          <w:rFonts w:ascii="宋体" w:hAnsi="宋体"/>
        </w:rPr>
        <w:t>选取了</w:t>
      </w:r>
      <w:r>
        <w:rPr>
          <w:rFonts w:hint="eastAsia" w:ascii="宋体" w:hAnsi="宋体"/>
        </w:rPr>
        <w:t>兰田溪、李田河、朱坊河、杨梅溪等18条山洪沟进行综合</w:t>
      </w:r>
      <w:r>
        <w:rPr>
          <w:rFonts w:ascii="宋体" w:hAnsi="宋体"/>
        </w:rPr>
        <w:t>治理</w:t>
      </w:r>
      <w:r>
        <w:rPr>
          <w:rFonts w:hint="eastAsia" w:ascii="宋体" w:hAnsi="宋体"/>
        </w:rPr>
        <w:t>，治理河道总长</w:t>
      </w:r>
      <w:r>
        <w:rPr>
          <w:rFonts w:ascii="宋体" w:hAnsi="宋体"/>
        </w:rPr>
        <w:t>90</w:t>
      </w:r>
      <w:r>
        <w:rPr>
          <w:rFonts w:hint="eastAsia" w:ascii="宋体" w:hAnsi="宋体"/>
        </w:rPr>
        <w:t>km，项目</w:t>
      </w:r>
      <w:r>
        <w:rPr>
          <w:rFonts w:ascii="宋体" w:hAnsi="宋体"/>
        </w:rPr>
        <w:t>建成后</w:t>
      </w:r>
      <w:r>
        <w:rPr>
          <w:rFonts w:hint="eastAsia" w:ascii="宋体" w:hAnsi="宋体"/>
        </w:rPr>
        <w:t>可保护耕地11.18万亩，人口12.9万人。</w:t>
      </w:r>
    </w:p>
    <w:p w14:paraId="3376CAB3">
      <w:pPr>
        <w:ind w:firstLine="568" w:firstLineChars="202"/>
        <w:rPr>
          <w:rFonts w:ascii="宋体" w:hAnsi="宋体"/>
          <w:b/>
          <w:bCs/>
        </w:rPr>
      </w:pPr>
      <w:r>
        <w:rPr>
          <w:rFonts w:hint="eastAsia" w:ascii="宋体" w:hAnsi="宋体"/>
          <w:b/>
          <w:bCs/>
        </w:rPr>
        <w:t>（2）重点涝区综合治理</w:t>
      </w:r>
    </w:p>
    <w:p w14:paraId="05060792">
      <w:pPr>
        <w:ind w:firstLine="565" w:firstLineChars="202"/>
        <w:rPr>
          <w:rFonts w:ascii="宋体" w:hAnsi="宋体"/>
        </w:rPr>
      </w:pPr>
      <w:r>
        <w:rPr>
          <w:rFonts w:hint="eastAsia" w:ascii="宋体" w:hAnsi="宋体"/>
        </w:rPr>
        <w:t>长汀县防洪治涝规划以"全面规划、统筹兼顾、因地施策、突出重点"为原则，聚焦城区保护，针对防洪体系薄弱环节，涝区排涝沟渠及田间配套排水沟渠淤积严重的问题，重点推进</w:t>
      </w:r>
      <w:bookmarkStart w:id="37" w:name="OLE_LINK1"/>
      <w:r>
        <w:rPr>
          <w:rFonts w:hint="eastAsia" w:ascii="宋体" w:hAnsi="宋体"/>
        </w:rPr>
        <w:t>福建省韩江上游福建片（长汀县河田、大同、新桥、策武、三洲、四都、濯田、涂坊）排涝工程、福建省闽江上游沙溪片（长汀县馆前、童坊）排涝工程</w:t>
      </w:r>
      <w:bookmarkEnd w:id="37"/>
      <w:r>
        <w:rPr>
          <w:rFonts w:hint="eastAsia" w:ascii="宋体" w:hAnsi="宋体"/>
        </w:rPr>
        <w:t>项目，项目通过加固或新建排涝截排沟渠、压排泵站和挡水水闸等综合措施，完善韩江上游福建</w:t>
      </w:r>
      <w:r>
        <w:rPr>
          <w:rFonts w:ascii="宋体" w:hAnsi="宋体"/>
        </w:rPr>
        <w:t>片</w:t>
      </w:r>
      <w:r>
        <w:rPr>
          <w:rFonts w:hint="eastAsia" w:ascii="宋体" w:hAnsi="宋体"/>
        </w:rPr>
        <w:t>、闽江</w:t>
      </w:r>
      <w:r>
        <w:rPr>
          <w:rFonts w:ascii="宋体" w:hAnsi="宋体"/>
        </w:rPr>
        <w:t>上游</w:t>
      </w:r>
      <w:r>
        <w:rPr>
          <w:rFonts w:hint="eastAsia" w:ascii="宋体" w:hAnsi="宋体"/>
        </w:rPr>
        <w:t>沙溪片防洪排涝体系，提高长汀县各涝片的防洪治涝标准，防范或减轻洪涝灾害、减轻上游洪水对重点片区防</w:t>
      </w:r>
      <w:r>
        <w:rPr>
          <w:rFonts w:ascii="宋体" w:hAnsi="宋体"/>
        </w:rPr>
        <w:t>洪排涝造成的压力。</w:t>
      </w:r>
    </w:p>
    <w:p w14:paraId="5006E652">
      <w:pPr>
        <w:ind w:firstLine="562" w:firstLineChars="200"/>
        <w:rPr>
          <w:rFonts w:ascii="宋体" w:hAnsi="宋体"/>
          <w:b/>
          <w:bCs/>
        </w:rPr>
      </w:pPr>
      <w:r>
        <w:rPr>
          <w:rFonts w:hint="eastAsia" w:ascii="宋体" w:hAnsi="宋体"/>
          <w:b/>
          <w:bCs/>
        </w:rPr>
        <w:t>（3）病险水库除险加固</w:t>
      </w:r>
    </w:p>
    <w:p w14:paraId="78F20952">
      <w:pPr>
        <w:ind w:firstLine="560" w:firstLineChars="200"/>
        <w:rPr>
          <w:rFonts w:ascii="宋体" w:hAnsi="宋体"/>
        </w:rPr>
      </w:pPr>
      <w:r>
        <w:rPr>
          <w:rFonts w:hint="eastAsia" w:ascii="宋体" w:hAnsi="宋体"/>
        </w:rPr>
        <w:t>按照“应检必检、该修即修、能改则改”的思路，开展水库、水闸等工程设施隐患排查和安全鉴定，实施水库、水闸除险加固。重点开展溪源水库除险加固工程，同步推进鉴定为二类坝的42座公益性小型水库除险加固、23座土石坝公益性水库输水涵管改造及150座年久失修山塘除险加固。</w:t>
      </w:r>
    </w:p>
    <w:p w14:paraId="62136C94">
      <w:pPr>
        <w:ind w:firstLine="560" w:firstLineChars="200"/>
        <w:rPr>
          <w:rFonts w:ascii="宋体" w:hAnsi="宋体"/>
        </w:rPr>
      </w:pPr>
    </w:p>
    <w:p w14:paraId="40F7E86E">
      <w:pPr>
        <w:ind w:firstLine="560" w:firstLineChars="200"/>
        <w:rPr>
          <w:rFonts w:ascii="宋体" w:hAnsi="宋体"/>
        </w:rPr>
      </w:pPr>
    </w:p>
    <w:p w14:paraId="2A3929BB">
      <w:pPr>
        <w:tabs>
          <w:tab w:val="left" w:pos="3456"/>
        </w:tabs>
        <w:spacing w:line="406" w:lineRule="exact"/>
        <w:rPr>
          <w:rFonts w:ascii="宋体" w:hAnsi="宋体" w:cs="Microsoft JhengHei"/>
          <w:b/>
          <w:bCs/>
          <w:sz w:val="30"/>
          <w:szCs w:val="30"/>
        </w:rPr>
      </w:pPr>
      <w:r>
        <w:rPr>
          <w:rFonts w:ascii="宋体" w:hAnsi="宋体" w:cs="Microsoft JhengHei"/>
          <w:b/>
          <w:bCs/>
          <w:sz w:val="30"/>
          <w:szCs w:val="30"/>
        </w:rPr>
        <w:t>专栏5-1</w:t>
      </w:r>
      <w:r>
        <w:rPr>
          <w:rFonts w:hint="eastAsia" w:ascii="宋体" w:hAnsi="宋体" w:cs="Microsoft JhengHei"/>
          <w:b/>
          <w:bCs/>
          <w:sz w:val="30"/>
          <w:szCs w:val="30"/>
        </w:rPr>
        <w:t xml:space="preserve">          长汀县</w:t>
      </w:r>
      <w:r>
        <w:rPr>
          <w:rFonts w:ascii="宋体" w:hAnsi="宋体" w:cs="Microsoft JhengHei"/>
          <w:b/>
          <w:bCs/>
          <w:sz w:val="30"/>
          <w:szCs w:val="30"/>
        </w:rPr>
        <w:t>水安全规划项目表</w:t>
      </w:r>
    </w:p>
    <w:tbl>
      <w:tblPr>
        <w:tblStyle w:val="63"/>
        <w:tblW w:w="8833" w:type="dxa"/>
        <w:tblInd w:w="115" w:type="dxa"/>
        <w:tblLayout w:type="fixed"/>
        <w:tblCellMar>
          <w:top w:w="0" w:type="dxa"/>
          <w:left w:w="0" w:type="dxa"/>
          <w:bottom w:w="0" w:type="dxa"/>
          <w:right w:w="0" w:type="dxa"/>
        </w:tblCellMar>
      </w:tblPr>
      <w:tblGrid>
        <w:gridCol w:w="8833"/>
      </w:tblGrid>
      <w:tr w14:paraId="3C56ED9B">
        <w:tblPrEx>
          <w:tblCellMar>
            <w:top w:w="0" w:type="dxa"/>
            <w:left w:w="0" w:type="dxa"/>
            <w:bottom w:w="0" w:type="dxa"/>
            <w:right w:w="0" w:type="dxa"/>
          </w:tblCellMar>
        </w:tblPrEx>
        <w:trPr>
          <w:trHeight w:val="881" w:hRule="exact"/>
        </w:trPr>
        <w:tc>
          <w:tcPr>
            <w:tcW w:w="8833" w:type="dxa"/>
            <w:tcBorders>
              <w:top w:val="single" w:color="000000" w:sz="4" w:space="0"/>
              <w:left w:val="single" w:color="000000" w:sz="4" w:space="0"/>
              <w:bottom w:val="dotted" w:color="000000" w:sz="4" w:space="0"/>
              <w:right w:val="single" w:color="000000" w:sz="4" w:space="0"/>
            </w:tcBorders>
          </w:tcPr>
          <w:p w14:paraId="6E02AF57">
            <w:pPr>
              <w:pStyle w:val="65"/>
              <w:spacing w:line="345" w:lineRule="exact"/>
              <w:ind w:left="103" w:right="-13"/>
              <w:rPr>
                <w:rFonts w:ascii="宋体" w:hAnsi="宋体" w:eastAsia="宋体" w:cs="Microsoft JhengHei"/>
                <w:sz w:val="24"/>
                <w:szCs w:val="24"/>
                <w:lang w:eastAsia="zh-CN"/>
              </w:rPr>
            </w:pPr>
            <w:r>
              <w:rPr>
                <w:rFonts w:ascii="宋体" w:hAnsi="宋体" w:eastAsia="宋体" w:cs="Times New Roman"/>
                <w:b/>
                <w:bCs/>
                <w:sz w:val="24"/>
                <w:szCs w:val="24"/>
                <w:lang w:eastAsia="zh-CN"/>
              </w:rPr>
              <w:t>1.</w:t>
            </w:r>
            <w:r>
              <w:rPr>
                <w:rFonts w:ascii="宋体" w:hAnsi="宋体" w:eastAsia="宋体" w:cs="Microsoft JhengHei"/>
                <w:b/>
                <w:bCs/>
                <w:sz w:val="24"/>
                <w:szCs w:val="24"/>
                <w:lang w:eastAsia="zh-CN"/>
              </w:rPr>
              <w:t>“五江一溪”防洪工程</w:t>
            </w:r>
          </w:p>
          <w:p w14:paraId="780D9696">
            <w:pPr>
              <w:pStyle w:val="65"/>
              <w:spacing w:before="18" w:line="276" w:lineRule="auto"/>
              <w:ind w:left="103" w:right="-13"/>
              <w:rPr>
                <w:rFonts w:ascii="宋体" w:hAnsi="宋体" w:eastAsia="宋体" w:cs="宋体"/>
                <w:sz w:val="28"/>
                <w:szCs w:val="28"/>
                <w:lang w:eastAsia="zh-CN"/>
              </w:rPr>
            </w:pPr>
            <w:r>
              <w:rPr>
                <w:rFonts w:hint="eastAsia" w:ascii="宋体" w:hAnsi="宋体" w:eastAsia="宋体" w:cs="宋体"/>
                <w:spacing w:val="-6"/>
                <w:sz w:val="24"/>
                <w:szCs w:val="24"/>
                <w:lang w:eastAsia="zh-CN"/>
              </w:rPr>
              <w:t>汀江</w:t>
            </w:r>
            <w:r>
              <w:rPr>
                <w:rFonts w:ascii="宋体" w:hAnsi="宋体" w:eastAsia="宋体" w:cs="宋体"/>
                <w:spacing w:val="-6"/>
                <w:sz w:val="24"/>
                <w:szCs w:val="24"/>
                <w:lang w:eastAsia="zh-CN"/>
              </w:rPr>
              <w:t>(永定、长汀段）防洪提升工程</w:t>
            </w:r>
            <w:r>
              <w:rPr>
                <w:rFonts w:hint="eastAsia" w:ascii="宋体" w:hAnsi="宋体" w:eastAsia="宋体" w:cs="宋体"/>
                <w:spacing w:val="-6"/>
                <w:sz w:val="24"/>
                <w:szCs w:val="24"/>
                <w:lang w:eastAsia="zh-CN"/>
              </w:rPr>
              <w:t>，福建省汀江（龙岩长汀段）防洪治理工程。</w:t>
            </w:r>
          </w:p>
        </w:tc>
      </w:tr>
      <w:tr w14:paraId="187350DA">
        <w:tblPrEx>
          <w:tblCellMar>
            <w:top w:w="0" w:type="dxa"/>
            <w:left w:w="0" w:type="dxa"/>
            <w:bottom w:w="0" w:type="dxa"/>
            <w:right w:w="0" w:type="dxa"/>
          </w:tblCellMar>
        </w:tblPrEx>
        <w:trPr>
          <w:trHeight w:val="894" w:hRule="exact"/>
        </w:trPr>
        <w:tc>
          <w:tcPr>
            <w:tcW w:w="8833" w:type="dxa"/>
            <w:tcBorders>
              <w:top w:val="single" w:color="000000" w:sz="4" w:space="0"/>
              <w:left w:val="single" w:color="000000" w:sz="4" w:space="0"/>
              <w:bottom w:val="dotted" w:color="000000" w:sz="4" w:space="0"/>
              <w:right w:val="single" w:color="000000" w:sz="4" w:space="0"/>
            </w:tcBorders>
          </w:tcPr>
          <w:p w14:paraId="250E0183">
            <w:pPr>
              <w:pStyle w:val="65"/>
              <w:spacing w:line="345" w:lineRule="exact"/>
              <w:ind w:left="103" w:right="-13"/>
              <w:rPr>
                <w:rFonts w:ascii="宋体" w:hAnsi="宋体" w:eastAsia="宋体" w:cs="Times New Roman"/>
                <w:b/>
                <w:bCs/>
                <w:sz w:val="24"/>
                <w:szCs w:val="24"/>
                <w:lang w:eastAsia="zh-CN"/>
              </w:rPr>
            </w:pPr>
            <w:r>
              <w:rPr>
                <w:rFonts w:hint="eastAsia" w:ascii="宋体" w:hAnsi="宋体" w:eastAsia="宋体" w:cs="Times New Roman"/>
                <w:b/>
                <w:bCs/>
                <w:sz w:val="24"/>
                <w:szCs w:val="24"/>
                <w:lang w:eastAsia="zh-CN"/>
              </w:rPr>
              <w:t>2.城区</w:t>
            </w:r>
            <w:r>
              <w:rPr>
                <w:rFonts w:ascii="宋体" w:hAnsi="宋体" w:eastAsia="宋体" w:cs="Times New Roman"/>
                <w:b/>
                <w:bCs/>
                <w:sz w:val="24"/>
                <w:szCs w:val="24"/>
                <w:lang w:eastAsia="zh-CN"/>
              </w:rPr>
              <w:t>分洪工程</w:t>
            </w:r>
          </w:p>
          <w:p w14:paraId="0F24F90E">
            <w:pPr>
              <w:pStyle w:val="65"/>
              <w:spacing w:line="345" w:lineRule="exact"/>
              <w:ind w:left="103" w:right="-13"/>
              <w:rPr>
                <w:rFonts w:ascii="宋体" w:hAnsi="宋体" w:eastAsia="宋体" w:cs="Times New Roman"/>
                <w:bCs/>
                <w:sz w:val="28"/>
                <w:szCs w:val="28"/>
                <w:lang w:eastAsia="zh-CN"/>
              </w:rPr>
            </w:pPr>
            <w:r>
              <w:rPr>
                <w:rFonts w:hint="eastAsia" w:ascii="宋体" w:hAnsi="宋体" w:eastAsia="宋体" w:cs="Times New Roman"/>
                <w:bCs/>
                <w:sz w:val="24"/>
                <w:szCs w:val="24"/>
                <w:lang w:eastAsia="zh-CN"/>
              </w:rPr>
              <w:t>福建省长汀县城区分洪隧洞工程。</w:t>
            </w:r>
          </w:p>
        </w:tc>
      </w:tr>
      <w:tr w14:paraId="4F09331B">
        <w:tblPrEx>
          <w:tblCellMar>
            <w:top w:w="0" w:type="dxa"/>
            <w:left w:w="0" w:type="dxa"/>
            <w:bottom w:w="0" w:type="dxa"/>
            <w:right w:w="0" w:type="dxa"/>
          </w:tblCellMar>
        </w:tblPrEx>
        <w:trPr>
          <w:trHeight w:val="768" w:hRule="exact"/>
        </w:trPr>
        <w:tc>
          <w:tcPr>
            <w:tcW w:w="8833" w:type="dxa"/>
            <w:tcBorders>
              <w:top w:val="dotted" w:color="000000" w:sz="4" w:space="0"/>
              <w:left w:val="single" w:color="000000" w:sz="4" w:space="0"/>
              <w:bottom w:val="dotted" w:color="000000" w:sz="4" w:space="0"/>
              <w:right w:val="single" w:color="000000" w:sz="4" w:space="0"/>
            </w:tcBorders>
          </w:tcPr>
          <w:p w14:paraId="6DE6298C">
            <w:pPr>
              <w:pStyle w:val="65"/>
              <w:spacing w:line="345" w:lineRule="exact"/>
              <w:ind w:left="103"/>
              <w:rPr>
                <w:rFonts w:ascii="宋体" w:hAnsi="宋体" w:eastAsia="宋体" w:cs="Microsoft JhengHei"/>
                <w:sz w:val="24"/>
                <w:szCs w:val="24"/>
                <w:lang w:eastAsia="zh-CN"/>
              </w:rPr>
            </w:pPr>
            <w:r>
              <w:rPr>
                <w:rFonts w:ascii="宋体" w:hAnsi="宋体" w:eastAsia="宋体" w:cs="Times New Roman"/>
                <w:b/>
                <w:bCs/>
                <w:sz w:val="24"/>
                <w:szCs w:val="24"/>
                <w:lang w:eastAsia="zh-CN"/>
              </w:rPr>
              <w:t>3.</w:t>
            </w:r>
            <w:r>
              <w:rPr>
                <w:rFonts w:ascii="宋体" w:hAnsi="宋体" w:eastAsia="宋体" w:cs="Microsoft JhengHei"/>
                <w:b/>
                <w:bCs/>
                <w:sz w:val="24"/>
                <w:szCs w:val="24"/>
                <w:lang w:eastAsia="zh-CN"/>
              </w:rPr>
              <w:t>中小河流系统治理</w:t>
            </w:r>
          </w:p>
          <w:p w14:paraId="31D4E2AF">
            <w:pPr>
              <w:pStyle w:val="65"/>
              <w:spacing w:before="18"/>
              <w:ind w:left="103"/>
              <w:rPr>
                <w:rFonts w:ascii="宋体" w:hAnsi="宋体" w:eastAsia="宋体" w:cs="宋体"/>
                <w:sz w:val="28"/>
                <w:szCs w:val="28"/>
                <w:lang w:eastAsia="zh-CN"/>
              </w:rPr>
            </w:pPr>
            <w:r>
              <w:rPr>
                <w:rFonts w:ascii="宋体" w:hAnsi="宋体" w:eastAsia="宋体" w:cs="宋体"/>
                <w:sz w:val="24"/>
                <w:szCs w:val="24"/>
                <w:lang w:eastAsia="zh-CN"/>
              </w:rPr>
              <w:t>本次规划治理</w:t>
            </w:r>
            <w:r>
              <w:rPr>
                <w:rFonts w:hint="eastAsia" w:ascii="宋体" w:hAnsi="宋体" w:eastAsia="宋体" w:cs="宋体"/>
                <w:sz w:val="24"/>
                <w:szCs w:val="24"/>
                <w:lang w:eastAsia="zh-CN"/>
              </w:rPr>
              <w:t>长汀县</w:t>
            </w:r>
            <w:r>
              <w:rPr>
                <w:rFonts w:ascii="宋体" w:hAnsi="宋体" w:eastAsia="宋体" w:cs="宋体"/>
                <w:sz w:val="24"/>
                <w:szCs w:val="24"/>
                <w:lang w:eastAsia="zh-CN"/>
              </w:rPr>
              <w:t>3条河流共4个项目，综合治理长度为111.02km。</w:t>
            </w:r>
          </w:p>
        </w:tc>
      </w:tr>
      <w:tr w14:paraId="6DDBBE14">
        <w:tblPrEx>
          <w:tblCellMar>
            <w:top w:w="0" w:type="dxa"/>
            <w:left w:w="0" w:type="dxa"/>
            <w:bottom w:w="0" w:type="dxa"/>
            <w:right w:w="0" w:type="dxa"/>
          </w:tblCellMar>
        </w:tblPrEx>
        <w:trPr>
          <w:trHeight w:val="868" w:hRule="exact"/>
        </w:trPr>
        <w:tc>
          <w:tcPr>
            <w:tcW w:w="8833" w:type="dxa"/>
            <w:tcBorders>
              <w:top w:val="dotted" w:color="000000" w:sz="4" w:space="0"/>
              <w:left w:val="single" w:color="000000" w:sz="4" w:space="0"/>
              <w:bottom w:val="dotted" w:color="000000" w:sz="4" w:space="0"/>
              <w:right w:val="single" w:color="000000" w:sz="4" w:space="0"/>
            </w:tcBorders>
          </w:tcPr>
          <w:p w14:paraId="2EFA835A">
            <w:pPr>
              <w:pStyle w:val="65"/>
              <w:spacing w:line="347" w:lineRule="exact"/>
              <w:ind w:left="103"/>
              <w:rPr>
                <w:rFonts w:ascii="宋体" w:hAnsi="宋体" w:eastAsia="宋体" w:cs="Microsoft JhengHei"/>
                <w:sz w:val="24"/>
                <w:szCs w:val="24"/>
                <w:lang w:eastAsia="zh-CN"/>
              </w:rPr>
            </w:pPr>
            <w:r>
              <w:rPr>
                <w:rFonts w:ascii="宋体" w:hAnsi="宋体" w:eastAsia="宋体" w:cs="Times New Roman"/>
                <w:b/>
                <w:bCs/>
                <w:sz w:val="24"/>
                <w:szCs w:val="24"/>
                <w:lang w:eastAsia="zh-CN"/>
              </w:rPr>
              <w:t>4.</w:t>
            </w:r>
            <w:r>
              <w:rPr>
                <w:rFonts w:ascii="宋体" w:hAnsi="宋体" w:eastAsia="宋体" w:cs="Microsoft JhengHei"/>
                <w:b/>
                <w:bCs/>
                <w:sz w:val="24"/>
                <w:szCs w:val="24"/>
                <w:lang w:eastAsia="zh-CN"/>
              </w:rPr>
              <w:t>山洪灾害防治</w:t>
            </w:r>
          </w:p>
          <w:p w14:paraId="5B8DE6CA">
            <w:pPr>
              <w:pStyle w:val="65"/>
              <w:spacing w:before="18"/>
              <w:ind w:left="103"/>
              <w:rPr>
                <w:rFonts w:ascii="宋体" w:hAnsi="宋体" w:eastAsia="宋体" w:cs="宋体"/>
                <w:sz w:val="24"/>
                <w:szCs w:val="24"/>
                <w:lang w:eastAsia="zh-CN"/>
              </w:rPr>
            </w:pPr>
            <w:r>
              <w:rPr>
                <w:rFonts w:hint="eastAsia" w:ascii="宋体" w:hAnsi="宋体" w:eastAsia="宋体" w:cs="宋体"/>
                <w:sz w:val="24"/>
                <w:szCs w:val="24"/>
                <w:lang w:eastAsia="zh-CN"/>
              </w:rPr>
              <w:t>全县</w:t>
            </w:r>
            <w:r>
              <w:rPr>
                <w:rFonts w:ascii="宋体" w:hAnsi="宋体" w:eastAsia="宋体" w:cs="宋体"/>
                <w:sz w:val="24"/>
                <w:szCs w:val="24"/>
                <w:lang w:eastAsia="zh-CN"/>
              </w:rPr>
              <w:t>重点选取</w:t>
            </w:r>
            <w:r>
              <w:rPr>
                <w:rFonts w:ascii="宋体" w:hAnsi="宋体" w:eastAsia="宋体" w:cs="Times New Roman"/>
                <w:sz w:val="24"/>
                <w:szCs w:val="24"/>
                <w:lang w:eastAsia="zh-CN"/>
              </w:rPr>
              <w:t>18</w:t>
            </w:r>
            <w:r>
              <w:rPr>
                <w:rFonts w:ascii="宋体" w:hAnsi="宋体" w:eastAsia="宋体" w:cs="宋体"/>
                <w:sz w:val="24"/>
                <w:szCs w:val="24"/>
                <w:lang w:eastAsia="zh-CN"/>
              </w:rPr>
              <w:t>条山洪沟进行综合治理，治理总长度为</w:t>
            </w:r>
            <w:r>
              <w:rPr>
                <w:rFonts w:ascii="宋体" w:hAnsi="宋体" w:eastAsia="宋体" w:cs="Times New Roman"/>
                <w:sz w:val="24"/>
                <w:szCs w:val="24"/>
                <w:lang w:eastAsia="zh-CN"/>
              </w:rPr>
              <w:t>90km</w:t>
            </w:r>
            <w:r>
              <w:rPr>
                <w:rFonts w:ascii="宋体" w:hAnsi="宋体" w:eastAsia="宋体" w:cs="宋体"/>
                <w:sz w:val="24"/>
                <w:szCs w:val="24"/>
                <w:lang w:eastAsia="zh-CN"/>
              </w:rPr>
              <w:t>。</w:t>
            </w:r>
          </w:p>
        </w:tc>
      </w:tr>
      <w:tr w14:paraId="271C1ACA">
        <w:tblPrEx>
          <w:tblCellMar>
            <w:top w:w="0" w:type="dxa"/>
            <w:left w:w="0" w:type="dxa"/>
            <w:bottom w:w="0" w:type="dxa"/>
            <w:right w:w="0" w:type="dxa"/>
          </w:tblCellMar>
        </w:tblPrEx>
        <w:trPr>
          <w:trHeight w:val="1157" w:hRule="exact"/>
        </w:trPr>
        <w:tc>
          <w:tcPr>
            <w:tcW w:w="8833" w:type="dxa"/>
            <w:tcBorders>
              <w:top w:val="dotted" w:color="000000" w:sz="4" w:space="0"/>
              <w:left w:val="single" w:color="000000" w:sz="4" w:space="0"/>
              <w:bottom w:val="dotted" w:color="000000" w:sz="4" w:space="0"/>
              <w:right w:val="single" w:color="000000" w:sz="4" w:space="0"/>
            </w:tcBorders>
          </w:tcPr>
          <w:p w14:paraId="102ABBAC">
            <w:pPr>
              <w:pStyle w:val="65"/>
              <w:spacing w:line="345" w:lineRule="exact"/>
              <w:ind w:left="103"/>
              <w:rPr>
                <w:rFonts w:ascii="宋体" w:hAnsi="宋体" w:eastAsia="宋体" w:cs="Microsoft JhengHei"/>
                <w:sz w:val="24"/>
                <w:szCs w:val="24"/>
                <w:lang w:eastAsia="zh-CN"/>
              </w:rPr>
            </w:pPr>
            <w:r>
              <w:rPr>
                <w:rFonts w:ascii="宋体" w:hAnsi="宋体" w:eastAsia="宋体" w:cs="Times New Roman"/>
                <w:b/>
                <w:bCs/>
                <w:sz w:val="24"/>
                <w:szCs w:val="24"/>
                <w:lang w:eastAsia="zh-CN"/>
              </w:rPr>
              <w:t>5.</w:t>
            </w:r>
            <w:r>
              <w:rPr>
                <w:rFonts w:ascii="宋体" w:hAnsi="宋体" w:eastAsia="宋体" w:cs="Microsoft JhengHei"/>
                <w:b/>
                <w:bCs/>
                <w:sz w:val="24"/>
                <w:szCs w:val="24"/>
                <w:lang w:eastAsia="zh-CN"/>
              </w:rPr>
              <w:t>重点涝区综合治理</w:t>
            </w:r>
          </w:p>
          <w:p w14:paraId="7B4BD44A">
            <w:pPr>
              <w:pStyle w:val="65"/>
              <w:spacing w:line="347" w:lineRule="exact"/>
              <w:ind w:left="103"/>
              <w:rPr>
                <w:rFonts w:ascii="宋体" w:hAnsi="宋体" w:eastAsia="宋体" w:cs="Times New Roman"/>
                <w:b/>
                <w:bCs/>
                <w:sz w:val="24"/>
                <w:szCs w:val="24"/>
                <w:lang w:eastAsia="zh-CN"/>
              </w:rPr>
            </w:pPr>
            <w:r>
              <w:rPr>
                <w:rFonts w:hint="eastAsia" w:ascii="宋体" w:hAnsi="宋体" w:eastAsia="宋体" w:cs="宋体"/>
                <w:spacing w:val="-3"/>
                <w:sz w:val="24"/>
                <w:szCs w:val="24"/>
                <w:lang w:eastAsia="zh-CN"/>
              </w:rPr>
              <w:t>福建省韩江上游福建片（长汀县河田、大同、新桥、策武、三洲、四都、濯田、涂坊）排涝工程、福建省闽江上游沙溪片（长汀县馆前、童坊）排涝工程</w:t>
            </w:r>
          </w:p>
        </w:tc>
      </w:tr>
      <w:tr w14:paraId="72DC8334">
        <w:tblPrEx>
          <w:tblCellMar>
            <w:top w:w="0" w:type="dxa"/>
            <w:left w:w="0" w:type="dxa"/>
            <w:bottom w:w="0" w:type="dxa"/>
            <w:right w:w="0" w:type="dxa"/>
          </w:tblCellMar>
        </w:tblPrEx>
        <w:trPr>
          <w:trHeight w:val="864" w:hRule="exact"/>
        </w:trPr>
        <w:tc>
          <w:tcPr>
            <w:tcW w:w="8833" w:type="dxa"/>
            <w:tcBorders>
              <w:top w:val="dotted" w:color="000000" w:sz="4" w:space="0"/>
              <w:left w:val="single" w:color="000000" w:sz="4" w:space="0"/>
              <w:bottom w:val="single" w:color="000000" w:sz="4" w:space="0"/>
              <w:right w:val="single" w:color="000000" w:sz="4" w:space="0"/>
            </w:tcBorders>
          </w:tcPr>
          <w:p w14:paraId="591D10F9">
            <w:pPr>
              <w:pStyle w:val="65"/>
              <w:spacing w:line="345" w:lineRule="exact"/>
              <w:ind w:left="103"/>
              <w:rPr>
                <w:rFonts w:ascii="宋体" w:hAnsi="宋体" w:eastAsia="宋体" w:cs="Microsoft JhengHei"/>
                <w:sz w:val="24"/>
                <w:szCs w:val="24"/>
                <w:lang w:eastAsia="zh-CN"/>
              </w:rPr>
            </w:pPr>
            <w:r>
              <w:rPr>
                <w:rFonts w:ascii="宋体" w:hAnsi="宋体" w:eastAsia="宋体" w:cs="Times New Roman"/>
                <w:b/>
                <w:bCs/>
                <w:sz w:val="24"/>
                <w:szCs w:val="24"/>
                <w:lang w:eastAsia="zh-CN"/>
              </w:rPr>
              <w:t>6.</w:t>
            </w:r>
            <w:r>
              <w:rPr>
                <w:rFonts w:hint="eastAsia" w:ascii="宋体" w:hAnsi="宋体" w:eastAsia="宋体" w:cs="Microsoft JhengHei"/>
                <w:b/>
                <w:bCs/>
                <w:sz w:val="24"/>
                <w:szCs w:val="24"/>
                <w:lang w:eastAsia="zh-CN"/>
              </w:rPr>
              <w:t>病险水库除险加固</w:t>
            </w:r>
          </w:p>
          <w:p w14:paraId="0C9CB51B">
            <w:pPr>
              <w:pStyle w:val="65"/>
              <w:spacing w:before="18" w:line="276" w:lineRule="auto"/>
              <w:ind w:left="103" w:right="-13"/>
              <w:rPr>
                <w:rFonts w:ascii="宋体" w:hAnsi="宋体" w:eastAsia="宋体" w:cs="宋体"/>
                <w:sz w:val="24"/>
                <w:szCs w:val="24"/>
                <w:lang w:eastAsia="zh-CN"/>
              </w:rPr>
            </w:pPr>
            <w:r>
              <w:rPr>
                <w:rFonts w:hint="eastAsia" w:ascii="宋体" w:hAnsi="宋体" w:eastAsia="宋体" w:cs="宋体"/>
                <w:spacing w:val="-3"/>
                <w:sz w:val="24"/>
                <w:szCs w:val="24"/>
                <w:lang w:eastAsia="zh-CN"/>
              </w:rPr>
              <w:t>溪源水库除险加固工程，</w:t>
            </w:r>
          </w:p>
        </w:tc>
      </w:tr>
    </w:tbl>
    <w:p w14:paraId="7BEDE3C9">
      <w:pPr>
        <w:pStyle w:val="3"/>
        <w:numPr>
          <w:ilvl w:val="1"/>
          <w:numId w:val="2"/>
        </w:numPr>
        <w:rPr>
          <w:rFonts w:ascii="宋体" w:hAnsi="宋体"/>
          <w:color w:val="auto"/>
        </w:rPr>
      </w:pPr>
      <w:bookmarkStart w:id="38" w:name="_Toc216791699"/>
      <w:bookmarkStart w:id="39" w:name="_Hlk213081408"/>
      <w:r>
        <w:rPr>
          <w:rFonts w:hint="eastAsia" w:ascii="宋体" w:hAnsi="宋体"/>
          <w:color w:val="auto"/>
        </w:rPr>
        <w:t>节水优先，筑牢水资源高效利用根基</w:t>
      </w:r>
      <w:bookmarkEnd w:id="38"/>
    </w:p>
    <w:bookmarkEnd w:id="39"/>
    <w:p w14:paraId="2DD5B048">
      <w:pPr>
        <w:ind w:firstLine="565" w:firstLineChars="202"/>
        <w:rPr>
          <w:rFonts w:ascii="宋体" w:hAnsi="宋体"/>
        </w:rPr>
      </w:pPr>
      <w:r>
        <w:rPr>
          <w:rFonts w:hint="eastAsia" w:ascii="宋体" w:hAnsi="宋体"/>
        </w:rPr>
        <w:t>坚持节水优先，严格落实水利部“用水总量和强度双控”，</w:t>
      </w:r>
      <w:r>
        <w:rPr>
          <w:rFonts w:ascii="宋体" w:hAnsi="宋体"/>
        </w:rPr>
        <w:t>结合</w:t>
      </w:r>
      <w:r>
        <w:rPr>
          <w:rFonts w:hint="eastAsia" w:ascii="宋体" w:hAnsi="宋体"/>
        </w:rPr>
        <w:t>长汀</w:t>
      </w:r>
      <w:r>
        <w:rPr>
          <w:rFonts w:ascii="宋体" w:hAnsi="宋体"/>
        </w:rPr>
        <w:t>产业结构特点，通过“政策闭环构建+特色产业培育”双路径，以刚性标准管住用水总量、以激励政策激活市场活力，打造节水产业集群，推动节水从“行政要求”向“产业优势”转变，为全市节水工作提供制度与产业双重支撑。规划至2030年，用水总量指标控制在3.2亿m</w:t>
      </w:r>
      <w:r>
        <w:rPr>
          <w:rFonts w:ascii="宋体" w:hAnsi="宋体"/>
          <w:vertAlign w:val="superscript"/>
        </w:rPr>
        <w:t>3</w:t>
      </w:r>
      <w:r>
        <w:rPr>
          <w:rFonts w:ascii="宋体" w:hAnsi="宋体"/>
        </w:rPr>
        <w:t>。</w:t>
      </w:r>
    </w:p>
    <w:p w14:paraId="79D87738">
      <w:pPr>
        <w:pStyle w:val="4"/>
        <w:numPr>
          <w:ilvl w:val="2"/>
          <w:numId w:val="2"/>
        </w:numPr>
        <w:rPr>
          <w:rFonts w:ascii="宋体" w:hAnsi="宋体"/>
          <w:color w:val="auto"/>
        </w:rPr>
      </w:pPr>
      <w:r>
        <w:rPr>
          <w:rFonts w:ascii="宋体" w:hAnsi="宋体"/>
          <w:color w:val="auto"/>
        </w:rPr>
        <w:t>建立高效农业用水模式</w:t>
      </w:r>
    </w:p>
    <w:p w14:paraId="67C1C976">
      <w:pPr>
        <w:ind w:firstLine="565" w:firstLineChars="202"/>
        <w:rPr>
          <w:rFonts w:ascii="宋体" w:hAnsi="宋体"/>
        </w:rPr>
      </w:pPr>
      <w:r>
        <w:rPr>
          <w:rFonts w:hint="eastAsia" w:ascii="宋体" w:hAnsi="宋体"/>
        </w:rPr>
        <w:t>以节水增效为核心目标，对灌区实施“两改一提高”行</w:t>
      </w:r>
      <w:r>
        <w:rPr>
          <w:rFonts w:ascii="宋体" w:hAnsi="宋体"/>
        </w:rPr>
        <w:t>动—改革管理体制、改造灌溉设施与技术，提升灌溉水有效利用率。推广微灌技术，推动其与地膜覆盖、水肥同步供给</w:t>
      </w:r>
      <w:r>
        <w:rPr>
          <w:rFonts w:hint="eastAsia" w:ascii="宋体" w:hAnsi="宋体"/>
        </w:rPr>
        <w:t>等农艺技术融合；山丘区依托自然坡降发展自压微喷灌、滴</w:t>
      </w:r>
      <w:r>
        <w:rPr>
          <w:rFonts w:ascii="宋体" w:hAnsi="宋体"/>
        </w:rPr>
        <w:t>灌等，结合雨水集蓄工程应用低水头重力式微灌。特经作物种植区及城郊蔬菜基地全面普及喷微灌、温室大棚滴灌；山区缺水地区推行非充分灌溉，聚焦作物需水临界期与关键生长阶段精准灌“关键水”。通过提高灌区节水技术，目标在2030年</w:t>
      </w:r>
      <w:r>
        <w:rPr>
          <w:rFonts w:hint="eastAsia" w:ascii="宋体" w:hAnsi="宋体"/>
        </w:rPr>
        <w:t>长汀县</w:t>
      </w:r>
      <w:r>
        <w:rPr>
          <w:rFonts w:ascii="宋体" w:hAnsi="宋体"/>
        </w:rPr>
        <w:t>灌溉水利用系数提高至0.595。</w:t>
      </w:r>
    </w:p>
    <w:p w14:paraId="105A8F5C">
      <w:pPr>
        <w:pStyle w:val="4"/>
        <w:numPr>
          <w:ilvl w:val="2"/>
          <w:numId w:val="2"/>
        </w:numPr>
        <w:rPr>
          <w:rFonts w:ascii="宋体" w:hAnsi="宋体"/>
          <w:color w:val="auto"/>
        </w:rPr>
      </w:pPr>
      <w:r>
        <w:rPr>
          <w:rFonts w:ascii="宋体" w:hAnsi="宋体"/>
          <w:color w:val="auto"/>
        </w:rPr>
        <w:t>多策并举加强工业节水</w:t>
      </w:r>
    </w:p>
    <w:p w14:paraId="44A48A95">
      <w:pPr>
        <w:ind w:firstLine="565" w:firstLineChars="202"/>
        <w:rPr>
          <w:rFonts w:ascii="宋体" w:hAnsi="宋体"/>
        </w:rPr>
      </w:pPr>
      <w:r>
        <w:rPr>
          <w:rFonts w:hint="eastAsia" w:ascii="宋体" w:hAnsi="宋体"/>
        </w:rPr>
        <w:t>推广“厂际串联用水”，要求工业冷却用水循环使用；</w:t>
      </w:r>
      <w:r>
        <w:rPr>
          <w:rFonts w:ascii="宋体" w:hAnsi="宋体"/>
        </w:rPr>
        <w:t>工业节水需强化用水管理、提升用水效率，同步推行节水生产工艺—通过优化生产工艺与布局减水需求，实施清洁生产、推广节水设备降废水排放；污水处理厂按需分级处理污水实现再生回用。持续推进节水型工业项目，打造高耗水企业节水改造示范点、工业园区循环用水示范点、稀土行业节水创新示范点等标杆，加强</w:t>
      </w:r>
      <w:r>
        <w:rPr>
          <w:rFonts w:hint="eastAsia" w:ascii="宋体" w:hAnsi="宋体"/>
        </w:rPr>
        <w:t>长汀</w:t>
      </w:r>
      <w:r>
        <w:rPr>
          <w:rFonts w:ascii="宋体" w:hAnsi="宋体"/>
        </w:rPr>
        <w:t>整体工业节水水平。力争2030年万元GDP用水量下降至70m</w:t>
      </w:r>
      <w:r>
        <w:rPr>
          <w:rFonts w:ascii="宋体" w:hAnsi="宋体"/>
          <w:vertAlign w:val="superscript"/>
        </w:rPr>
        <w:t>3</w:t>
      </w:r>
      <w:r>
        <w:rPr>
          <w:rFonts w:ascii="宋体" w:hAnsi="宋体"/>
        </w:rPr>
        <w:t>，万元工业增加值用水定额降</w:t>
      </w:r>
      <w:r>
        <w:rPr>
          <w:rFonts w:hint="eastAsia" w:ascii="宋体" w:hAnsi="宋体"/>
        </w:rPr>
        <w:t>至</w:t>
      </w:r>
      <w:r>
        <w:rPr>
          <w:rFonts w:ascii="宋体" w:hAnsi="宋体"/>
        </w:rPr>
        <w:t>15m</w:t>
      </w:r>
      <w:r>
        <w:rPr>
          <w:rFonts w:ascii="宋体" w:hAnsi="宋体"/>
          <w:vertAlign w:val="superscript"/>
        </w:rPr>
        <w:t>3</w:t>
      </w:r>
      <w:r>
        <w:rPr>
          <w:rFonts w:ascii="宋体" w:hAnsi="宋体"/>
        </w:rPr>
        <w:t>。</w:t>
      </w:r>
    </w:p>
    <w:p w14:paraId="07498066">
      <w:pPr>
        <w:pStyle w:val="4"/>
        <w:numPr>
          <w:ilvl w:val="2"/>
          <w:numId w:val="2"/>
        </w:numPr>
        <w:rPr>
          <w:rFonts w:ascii="宋体" w:hAnsi="宋体"/>
          <w:color w:val="auto"/>
        </w:rPr>
      </w:pPr>
      <w:r>
        <w:rPr>
          <w:rFonts w:ascii="宋体" w:hAnsi="宋体"/>
          <w:color w:val="auto"/>
        </w:rPr>
        <w:t>推动城镇节水管网降损</w:t>
      </w:r>
    </w:p>
    <w:p w14:paraId="49F18243">
      <w:pPr>
        <w:ind w:firstLine="565" w:firstLineChars="202"/>
        <w:rPr>
          <w:rFonts w:ascii="宋体" w:hAnsi="宋体"/>
        </w:rPr>
      </w:pPr>
      <w:r>
        <w:rPr>
          <w:rFonts w:ascii="宋体" w:hAnsi="宋体"/>
        </w:rPr>
        <w:t>以建设节水型县域</w:t>
      </w:r>
      <w:r>
        <w:rPr>
          <w:rFonts w:hint="eastAsia" w:ascii="宋体" w:hAnsi="宋体"/>
        </w:rPr>
        <w:t>、</w:t>
      </w:r>
      <w:r>
        <w:rPr>
          <w:rFonts w:ascii="宋体" w:hAnsi="宋体"/>
        </w:rPr>
        <w:t>节水型社会为抓手，落实</w:t>
      </w:r>
      <w:r>
        <w:rPr>
          <w:rFonts w:hint="eastAsia" w:ascii="宋体" w:hAnsi="宋体"/>
        </w:rPr>
        <w:t>县城节水各项基础管理制度；从严控制高耗水行业用水定额管理，</w:t>
      </w:r>
      <w:r>
        <w:rPr>
          <w:rFonts w:ascii="宋体" w:hAnsi="宋体"/>
        </w:rPr>
        <w:t>推广低耗水或者循环用水等节水技术、设备与工艺；加强城镇供水管网检漏和更新改造，建立精细化管理平台和漏损管</w:t>
      </w:r>
      <w:r>
        <w:rPr>
          <w:rFonts w:hint="eastAsia" w:ascii="宋体" w:hAnsi="宋体"/>
        </w:rPr>
        <w:t>控体系，进一步降低供水管网漏损率，适时更新升级老旧管</w:t>
      </w:r>
      <w:r>
        <w:rPr>
          <w:rFonts w:ascii="宋体" w:hAnsi="宋体"/>
        </w:rPr>
        <w:t>网，争取至2030年</w:t>
      </w:r>
      <w:r>
        <w:rPr>
          <w:rFonts w:hint="eastAsia" w:ascii="宋体" w:hAnsi="宋体"/>
        </w:rPr>
        <w:t>长汀县</w:t>
      </w:r>
      <w:r>
        <w:rPr>
          <w:rFonts w:ascii="宋体" w:hAnsi="宋体"/>
        </w:rPr>
        <w:t>供水管网漏损率下降至10%；深化节水型载体，同步开展节水型单位和居民小区建设，推广节水器具采取等措施，培育水效领跑标杆，开展“水效领跑者”遴选。</w:t>
      </w:r>
    </w:p>
    <w:p w14:paraId="511F2FDC">
      <w:pPr>
        <w:pStyle w:val="4"/>
        <w:numPr>
          <w:ilvl w:val="2"/>
          <w:numId w:val="2"/>
        </w:numPr>
        <w:rPr>
          <w:rFonts w:ascii="宋体" w:hAnsi="宋体"/>
          <w:color w:val="auto"/>
        </w:rPr>
      </w:pPr>
      <w:r>
        <w:rPr>
          <w:rFonts w:ascii="宋体" w:hAnsi="宋体"/>
          <w:color w:val="auto"/>
        </w:rPr>
        <w:t>促进市场化节水改革</w:t>
      </w:r>
    </w:p>
    <w:p w14:paraId="215C5588">
      <w:pPr>
        <w:ind w:firstLine="565" w:firstLineChars="202"/>
        <w:rPr>
          <w:rFonts w:ascii="宋体" w:hAnsi="宋体"/>
        </w:rPr>
      </w:pPr>
      <w:r>
        <w:rPr>
          <w:rFonts w:hint="eastAsia" w:ascii="宋体" w:hAnsi="宋体"/>
        </w:rPr>
        <w:t>紧扣“培育和规范水权市场”的战略导向，结合长汀水</w:t>
      </w:r>
      <w:r>
        <w:rPr>
          <w:rFonts w:ascii="宋体" w:hAnsi="宋体"/>
        </w:rPr>
        <w:t>资源时空分布不均、产业用水需求差异化的特点，以市场化改革为核心抓手，通过水权交易、合同节水、金融赋能等创新举措，打通水资源“节约－增值－流转”的价值转化通道。为节水工作提供可持续、高效率的保障体系，助力</w:t>
      </w:r>
      <w:r>
        <w:rPr>
          <w:rFonts w:hint="eastAsia" w:ascii="宋体" w:hAnsi="宋体"/>
        </w:rPr>
        <w:t>长汀</w:t>
      </w:r>
      <w:r>
        <w:rPr>
          <w:rFonts w:ascii="宋体" w:hAnsi="宋体"/>
        </w:rPr>
        <w:t>革命老区高质量发展示范区建设。深化水权交易改革，让“节余水”变“增值水”，优化全域水资源配置，搭建特色水权交易平台，</w:t>
      </w:r>
      <w:r>
        <w:rPr>
          <w:rFonts w:hint="eastAsia" w:ascii="宋体" w:hAnsi="宋体"/>
        </w:rPr>
        <w:t>依托</w:t>
      </w:r>
      <w:r>
        <w:rPr>
          <w:rFonts w:ascii="宋体" w:hAnsi="宋体"/>
        </w:rPr>
        <w:t>“</w:t>
      </w:r>
      <w:r>
        <w:rPr>
          <w:rFonts w:hint="eastAsia" w:ascii="宋体" w:hAnsi="宋体"/>
        </w:rPr>
        <w:t>长汀县</w:t>
      </w:r>
      <w:r>
        <w:rPr>
          <w:rFonts w:ascii="宋体" w:hAnsi="宋体"/>
        </w:rPr>
        <w:t>水权交易平台”，适配</w:t>
      </w:r>
      <w:r>
        <w:rPr>
          <w:rFonts w:hint="eastAsia" w:ascii="宋体" w:hAnsi="宋体"/>
        </w:rPr>
        <w:t>县</w:t>
      </w:r>
      <w:r>
        <w:rPr>
          <w:rFonts w:ascii="宋体" w:hAnsi="宋体"/>
        </w:rPr>
        <w:t>域交易需求；引导农业节余水量向工业园区、</w:t>
      </w:r>
      <w:r>
        <w:rPr>
          <w:rFonts w:hint="eastAsia" w:ascii="宋体" w:hAnsi="宋体"/>
        </w:rPr>
        <w:t>城镇</w:t>
      </w:r>
      <w:r>
        <w:rPr>
          <w:rFonts w:ascii="宋体" w:hAnsi="宋体"/>
        </w:rPr>
        <w:t>供水等高效益领域流转。加快建立“水权交易+智慧</w:t>
      </w:r>
      <w:r>
        <w:rPr>
          <w:rFonts w:hint="eastAsia" w:ascii="宋体" w:hAnsi="宋体"/>
        </w:rPr>
        <w:t>监管”体系，推动更多行业参与水</w:t>
      </w:r>
      <w:r>
        <w:rPr>
          <w:rFonts w:ascii="宋体" w:hAnsi="宋体"/>
        </w:rPr>
        <w:t>权市场建设，打造可复制、可推广的</w:t>
      </w:r>
      <w:r>
        <w:rPr>
          <w:rFonts w:hint="eastAsia" w:ascii="宋体" w:hAnsi="宋体"/>
        </w:rPr>
        <w:t>长汀</w:t>
      </w:r>
      <w:r>
        <w:rPr>
          <w:rFonts w:ascii="宋体" w:hAnsi="宋体"/>
        </w:rPr>
        <w:t>经验。</w:t>
      </w:r>
    </w:p>
    <w:p w14:paraId="5EFAA0E0">
      <w:pPr>
        <w:pStyle w:val="3"/>
        <w:numPr>
          <w:ilvl w:val="1"/>
          <w:numId w:val="2"/>
        </w:numPr>
        <w:rPr>
          <w:rFonts w:ascii="宋体" w:hAnsi="宋体"/>
          <w:color w:val="auto"/>
        </w:rPr>
      </w:pPr>
      <w:bookmarkStart w:id="40" w:name="_Toc216791700"/>
      <w:r>
        <w:rPr>
          <w:rFonts w:hint="eastAsia" w:ascii="宋体" w:hAnsi="宋体"/>
          <w:color w:val="auto"/>
        </w:rPr>
        <w:t>空间均衡，织密多源的水资源配置网</w:t>
      </w:r>
      <w:bookmarkEnd w:id="40"/>
    </w:p>
    <w:p w14:paraId="48DD18C7">
      <w:pPr>
        <w:ind w:firstLine="565" w:firstLineChars="202"/>
        <w:rPr>
          <w:rFonts w:ascii="宋体" w:hAnsi="宋体"/>
        </w:rPr>
      </w:pPr>
      <w:r>
        <w:rPr>
          <w:rFonts w:hint="eastAsia" w:ascii="宋体" w:hAnsi="宋体"/>
        </w:rPr>
        <w:t>结合《长汀县水网建设规划（</w:t>
      </w:r>
      <w:r>
        <w:rPr>
          <w:rFonts w:ascii="宋体" w:hAnsi="宋体"/>
        </w:rPr>
        <w:t>2024-2035）》，加强水源调蓄工程建设，实施引调水工程建设、新建大中型灌区和完善城乡供水一体化等重点水资源配置工程，破解山丘区供水</w:t>
      </w:r>
      <w:r>
        <w:rPr>
          <w:rFonts w:hint="eastAsia" w:ascii="宋体" w:hAnsi="宋体"/>
        </w:rPr>
        <w:t>瓶颈，打造四核多源的供水保障体系。</w:t>
      </w:r>
    </w:p>
    <w:p w14:paraId="20F251D3">
      <w:pPr>
        <w:ind w:firstLine="565" w:firstLineChars="202"/>
        <w:rPr>
          <w:rFonts w:ascii="宋体" w:hAnsi="宋体"/>
        </w:rPr>
      </w:pPr>
      <w:r>
        <w:rPr>
          <w:rFonts w:hint="eastAsia" w:ascii="宋体" w:hAnsi="宋体"/>
        </w:rPr>
        <w:t>初步计划与上杭联合策划汀江大型灌区，通过新建水源水库及骨干引调水工程等，优化全县水资源配置，提高灌区灌溉保障及农村供水保障。汀江大型灌区长汀灌片建成后保障灌溉面积</w:t>
      </w:r>
      <w:r>
        <w:rPr>
          <w:rFonts w:ascii="宋体" w:hAnsi="宋体"/>
        </w:rPr>
        <w:t>30万亩、新增灌溉面积8万亩、保障40万人供水。根据国家政策，大型灌区需灌溉面积50万亩以上，新增灌溉面积占总灌溉面积50万亩30%，约15万亩</w:t>
      </w:r>
      <w:r>
        <w:rPr>
          <w:rFonts w:hint="eastAsia" w:ascii="宋体" w:hAnsi="宋体"/>
        </w:rPr>
        <w:t>。</w:t>
      </w:r>
    </w:p>
    <w:p w14:paraId="437EA5D0">
      <w:pPr>
        <w:pStyle w:val="4"/>
        <w:numPr>
          <w:ilvl w:val="2"/>
          <w:numId w:val="2"/>
        </w:numPr>
        <w:rPr>
          <w:rFonts w:ascii="宋体" w:hAnsi="宋体"/>
          <w:color w:val="auto"/>
        </w:rPr>
      </w:pPr>
      <w:r>
        <w:rPr>
          <w:rFonts w:ascii="宋体" w:hAnsi="宋体"/>
          <w:color w:val="auto"/>
        </w:rPr>
        <w:t>优化水源调蓄工程建设</w:t>
      </w:r>
    </w:p>
    <w:p w14:paraId="44388AE1">
      <w:pPr>
        <w:ind w:firstLine="566"/>
        <w:rPr>
          <w:rFonts w:ascii="宋体" w:hAnsi="宋体"/>
        </w:rPr>
      </w:pPr>
      <w:r>
        <w:rPr>
          <w:rFonts w:ascii="宋体" w:hAnsi="宋体"/>
        </w:rPr>
        <w:t>以水源工程为基础，“大中小库群联动”，破解“储水</w:t>
      </w:r>
      <w:r>
        <w:rPr>
          <w:rFonts w:hint="eastAsia" w:ascii="宋体" w:hAnsi="宋体"/>
        </w:rPr>
        <w:t>难”短板。“十五五”期间，推进建设共</w:t>
      </w:r>
      <w:r>
        <w:rPr>
          <w:rFonts w:ascii="宋体" w:hAnsi="宋体"/>
        </w:rPr>
        <w:t>6座水库工程（中型1</w:t>
      </w:r>
      <w:r>
        <w:rPr>
          <w:rFonts w:hint="eastAsia" w:ascii="宋体" w:hAnsi="宋体"/>
        </w:rPr>
        <w:t>座、小型</w:t>
      </w:r>
      <w:r>
        <w:rPr>
          <w:rFonts w:ascii="宋体" w:hAnsi="宋体"/>
        </w:rPr>
        <w:t>5座），</w:t>
      </w:r>
      <w:r>
        <w:rPr>
          <w:rFonts w:hint="eastAsia" w:ascii="宋体" w:hAnsi="宋体"/>
        </w:rPr>
        <w:t>加快建设桐睦</w:t>
      </w:r>
      <w:r>
        <w:rPr>
          <w:rFonts w:ascii="宋体" w:hAnsi="宋体"/>
        </w:rPr>
        <w:t>水库</w:t>
      </w:r>
      <w:r>
        <w:rPr>
          <w:rFonts w:hint="eastAsia" w:ascii="宋体" w:hAnsi="宋体"/>
        </w:rPr>
        <w:t>，</w:t>
      </w:r>
      <w:r>
        <w:rPr>
          <w:rFonts w:ascii="宋体" w:hAnsi="宋体"/>
        </w:rPr>
        <w:t>力争“十五五”期间建成并发挥效益。持续推进龙门中型水库</w:t>
      </w:r>
      <w:r>
        <w:rPr>
          <w:rFonts w:hint="eastAsia" w:ascii="宋体" w:hAnsi="宋体"/>
        </w:rPr>
        <w:t>和伯公前</w:t>
      </w:r>
      <w:r>
        <w:rPr>
          <w:rFonts w:ascii="宋体" w:hAnsi="宋体"/>
        </w:rPr>
        <w:t>、</w:t>
      </w:r>
      <w:r>
        <w:rPr>
          <w:rFonts w:hint="eastAsia" w:ascii="宋体" w:hAnsi="宋体"/>
        </w:rPr>
        <w:t>云霄山2座</w:t>
      </w:r>
      <w:r>
        <w:rPr>
          <w:rFonts w:ascii="宋体" w:hAnsi="宋体"/>
        </w:rPr>
        <w:t>小型水库前期工作，适时开工建设。推进板寮</w:t>
      </w:r>
      <w:r>
        <w:rPr>
          <w:rFonts w:hint="eastAsia" w:ascii="宋体" w:hAnsi="宋体"/>
        </w:rPr>
        <w:t>、</w:t>
      </w:r>
      <w:r>
        <w:rPr>
          <w:rFonts w:ascii="宋体" w:hAnsi="宋体"/>
        </w:rPr>
        <w:t>半坑小型水库的前期相关工</w:t>
      </w:r>
      <w:r>
        <w:rPr>
          <w:rFonts w:hint="eastAsia" w:ascii="宋体" w:hAnsi="宋体"/>
        </w:rPr>
        <w:t>作，争取完成相关论证。“十五五”期间预计建成</w:t>
      </w:r>
      <w:r>
        <w:rPr>
          <w:rFonts w:ascii="宋体" w:hAnsi="宋体"/>
        </w:rPr>
        <w:t>4座水库，</w:t>
      </w:r>
      <w:r>
        <w:rPr>
          <w:rFonts w:hint="eastAsia" w:ascii="宋体" w:hAnsi="宋体"/>
        </w:rPr>
        <w:t>共增加水库库容</w:t>
      </w:r>
      <w:r>
        <w:rPr>
          <w:rFonts w:ascii="宋体" w:hAnsi="宋体"/>
        </w:rPr>
        <w:t>0.48亿m</w:t>
      </w:r>
      <w:r>
        <w:rPr>
          <w:rFonts w:ascii="宋体" w:hAnsi="宋体"/>
          <w:vertAlign w:val="superscript"/>
        </w:rPr>
        <w:t>3</w:t>
      </w:r>
      <w:r>
        <w:rPr>
          <w:rFonts w:ascii="宋体" w:hAnsi="宋体"/>
        </w:rPr>
        <w:t>。</w:t>
      </w:r>
    </w:p>
    <w:p w14:paraId="7A62E6D9">
      <w:pPr>
        <w:pStyle w:val="4"/>
        <w:numPr>
          <w:ilvl w:val="2"/>
          <w:numId w:val="2"/>
        </w:numPr>
        <w:rPr>
          <w:rFonts w:ascii="宋体" w:hAnsi="宋体"/>
          <w:color w:val="auto"/>
        </w:rPr>
      </w:pPr>
      <w:r>
        <w:rPr>
          <w:rFonts w:ascii="宋体" w:hAnsi="宋体"/>
          <w:color w:val="auto"/>
        </w:rPr>
        <w:t>构建现代供水保障体系</w:t>
      </w:r>
    </w:p>
    <w:p w14:paraId="5DE4BFCB">
      <w:pPr>
        <w:ind w:firstLine="565" w:firstLineChars="202"/>
        <w:rPr>
          <w:rFonts w:ascii="宋体" w:hAnsi="宋体"/>
        </w:rPr>
      </w:pPr>
      <w:r>
        <w:rPr>
          <w:rFonts w:ascii="宋体" w:hAnsi="宋体"/>
        </w:rPr>
        <w:t>针对</w:t>
      </w:r>
      <w:r>
        <w:rPr>
          <w:rFonts w:hint="eastAsia" w:ascii="宋体" w:hAnsi="宋体"/>
        </w:rPr>
        <w:t>长汀县</w:t>
      </w:r>
      <w:r>
        <w:rPr>
          <w:rFonts w:ascii="宋体" w:hAnsi="宋体"/>
        </w:rPr>
        <w:t>内水资源紧缺区域，结合已建水库，推进引</w:t>
      </w:r>
      <w:r>
        <w:rPr>
          <w:rFonts w:hint="eastAsia" w:ascii="宋体" w:hAnsi="宋体"/>
        </w:rPr>
        <w:t>调水工程建设，初步计划与上杭联合策划</w:t>
      </w:r>
      <w:r>
        <w:rPr>
          <w:rFonts w:ascii="宋体" w:hAnsi="宋体"/>
        </w:rPr>
        <w:t>汀江大型灌区</w:t>
      </w:r>
      <w:r>
        <w:rPr>
          <w:rFonts w:hint="eastAsia" w:ascii="宋体" w:hAnsi="宋体"/>
        </w:rPr>
        <w:t>（其中：长汀</w:t>
      </w:r>
      <w:r>
        <w:rPr>
          <w:rFonts w:ascii="宋体" w:hAnsi="宋体"/>
        </w:rPr>
        <w:t>30万亩，上杭20万亩），长汀灌片计划以汀江干流为脉，通过龙门、荣丰、陂下、溪源水库等四</w:t>
      </w:r>
      <w:r>
        <w:rPr>
          <w:rFonts w:hint="eastAsia" w:ascii="宋体" w:hAnsi="宋体"/>
        </w:rPr>
        <w:t>座</w:t>
      </w:r>
      <w:r>
        <w:rPr>
          <w:rFonts w:ascii="宋体" w:hAnsi="宋体"/>
        </w:rPr>
        <w:t>中型</w:t>
      </w:r>
      <w:r>
        <w:rPr>
          <w:rFonts w:hint="eastAsia" w:ascii="宋体" w:hAnsi="宋体"/>
        </w:rPr>
        <w:t>水库</w:t>
      </w:r>
      <w:r>
        <w:rPr>
          <w:rFonts w:ascii="宋体" w:hAnsi="宋体"/>
        </w:rPr>
        <w:t>与51座小型水库构建“四核多源”的水源保障体系，实施陂下水库引调水、龙门水库干渠、双溪口水库干渠、福盛水库干渠等骨干工程，整合荣丰灌区（不含古城镇）、河策灌区、汀南灌区、陂下灌区、三洲旱片灌区、千工陂灌区等6个中型灌区，可初步建成“一干四核六片多源”长汀县现代化灌溉保障网、农村供水保障网。并将地势较低的旱地、林地纳入，实施“旱改水”及发展林下经济，新增灌溉面积8万亩。</w:t>
      </w:r>
    </w:p>
    <w:p w14:paraId="3707F526">
      <w:pPr>
        <w:pStyle w:val="4"/>
        <w:numPr>
          <w:ilvl w:val="2"/>
          <w:numId w:val="2"/>
        </w:numPr>
        <w:rPr>
          <w:rFonts w:ascii="宋体" w:hAnsi="宋体"/>
          <w:color w:val="auto"/>
        </w:rPr>
      </w:pPr>
      <w:r>
        <w:rPr>
          <w:rFonts w:ascii="宋体" w:hAnsi="宋体"/>
          <w:color w:val="auto"/>
        </w:rPr>
        <w:t>加强城区应急供水保障</w:t>
      </w:r>
    </w:p>
    <w:p w14:paraId="47548A65">
      <w:pPr>
        <w:ind w:firstLine="565" w:firstLineChars="202"/>
        <w:rPr>
          <w:rFonts w:ascii="宋体" w:hAnsi="宋体"/>
        </w:rPr>
      </w:pPr>
      <w:r>
        <w:rPr>
          <w:rFonts w:hint="eastAsia" w:ascii="宋体" w:hAnsi="宋体"/>
        </w:rPr>
        <w:t>构建“主备互补、区域联动”的水源保障网络，通过引</w:t>
      </w:r>
      <w:r>
        <w:rPr>
          <w:rFonts w:ascii="宋体" w:hAnsi="宋体"/>
        </w:rPr>
        <w:t>调水工程</w:t>
      </w:r>
      <w:r>
        <w:rPr>
          <w:rFonts w:hint="eastAsia" w:ascii="宋体" w:hAnsi="宋体"/>
        </w:rPr>
        <w:t>、</w:t>
      </w:r>
      <w:r>
        <w:rPr>
          <w:rFonts w:ascii="宋体" w:hAnsi="宋体"/>
        </w:rPr>
        <w:t>汀江大型灌区的联通，目标实现“一源受限、多源互补”的韧性水网。结合现有工程、新建调蓄及水网规划，规划龙门水库为</w:t>
      </w:r>
      <w:r>
        <w:rPr>
          <w:rFonts w:hint="eastAsia" w:ascii="宋体" w:hAnsi="宋体"/>
        </w:rPr>
        <w:t>长汀县</w:t>
      </w:r>
      <w:r>
        <w:rPr>
          <w:rFonts w:ascii="宋体" w:hAnsi="宋体"/>
        </w:rPr>
        <w:t>城区</w:t>
      </w:r>
      <w:r>
        <w:rPr>
          <w:rFonts w:hint="eastAsia" w:ascii="宋体" w:hAnsi="宋体"/>
        </w:rPr>
        <w:t>主要</w:t>
      </w:r>
      <w:r>
        <w:rPr>
          <w:rFonts w:ascii="宋体" w:hAnsi="宋体"/>
        </w:rPr>
        <w:t>应急备用水源。</w:t>
      </w:r>
    </w:p>
    <w:p w14:paraId="114E2B7F">
      <w:pPr>
        <w:ind w:firstLine="565" w:firstLineChars="202"/>
        <w:rPr>
          <w:rFonts w:ascii="宋体" w:hAnsi="宋体"/>
        </w:rPr>
      </w:pPr>
      <w:r>
        <w:rPr>
          <w:rFonts w:hint="eastAsia" w:ascii="宋体" w:hAnsi="宋体"/>
        </w:rPr>
        <w:t>特枯水年供水紧急时，先深挖本地供水潜力，调整荣丰、</w:t>
      </w:r>
      <w:r>
        <w:rPr>
          <w:rFonts w:ascii="宋体" w:hAnsi="宋体"/>
        </w:rPr>
        <w:t>正方等水库调度，按“先生活后生产”压缩农业用水、优先保障城乡生活供水，仍不足则启动应急备用水源、临时采地下水，保障基本民生与重要行业用水。</w:t>
      </w:r>
    </w:p>
    <w:p w14:paraId="7EE762B4">
      <w:pPr>
        <w:pStyle w:val="4"/>
        <w:numPr>
          <w:ilvl w:val="2"/>
          <w:numId w:val="2"/>
        </w:numPr>
        <w:rPr>
          <w:rFonts w:ascii="宋体" w:hAnsi="宋体"/>
          <w:color w:val="auto"/>
        </w:rPr>
      </w:pPr>
      <w:r>
        <w:rPr>
          <w:rFonts w:ascii="宋体" w:hAnsi="宋体"/>
          <w:color w:val="auto"/>
        </w:rPr>
        <w:t>完善灌溉体系建设</w:t>
      </w:r>
    </w:p>
    <w:p w14:paraId="7F1B3E4E">
      <w:pPr>
        <w:ind w:firstLine="565" w:firstLineChars="202"/>
        <w:rPr>
          <w:rFonts w:ascii="宋体" w:hAnsi="宋体"/>
        </w:rPr>
      </w:pPr>
      <w:r>
        <w:rPr>
          <w:rFonts w:hint="eastAsia" w:ascii="宋体" w:hAnsi="宋体"/>
        </w:rPr>
        <w:t>围绕“保障粮食安全、提升节水效能、支撑乡村振兴”</w:t>
      </w:r>
      <w:r>
        <w:rPr>
          <w:rFonts w:ascii="宋体" w:hAnsi="宋体"/>
        </w:rPr>
        <w:t>定位，以“大型灌区为骨干、中型灌区为支撑”构建全域灌溉保障体系。“十五五”期间重点推进汀江大型灌区前期工作与7处中型灌区</w:t>
      </w:r>
      <w:r>
        <w:rPr>
          <w:rFonts w:hint="eastAsia" w:ascii="宋体" w:hAnsi="宋体"/>
        </w:rPr>
        <w:t>续建配套</w:t>
      </w:r>
      <w:r>
        <w:rPr>
          <w:rFonts w:ascii="宋体" w:hAnsi="宋体"/>
        </w:rPr>
        <w:t>与现代化改造，规划项目总投资34.71亿元，“十五</w:t>
      </w:r>
      <w:r>
        <w:rPr>
          <w:rFonts w:hint="eastAsia" w:ascii="宋体" w:hAnsi="宋体"/>
        </w:rPr>
        <w:t>五”期间规划投资</w:t>
      </w:r>
      <w:r>
        <w:rPr>
          <w:rFonts w:ascii="宋体" w:hAnsi="宋体"/>
        </w:rPr>
        <w:t>3.74亿元，新增设计灌溉面积17.72万亩。解决灌区渠道老化损坏、量水设施不完善，信息化建设较为落后等问题，打造</w:t>
      </w:r>
      <w:r>
        <w:rPr>
          <w:rFonts w:hint="eastAsia" w:ascii="宋体" w:hAnsi="宋体"/>
        </w:rPr>
        <w:t>“一干四核六片多源”的长汀县现代化灌溉保障网、农村供水保障网</w:t>
      </w:r>
      <w:r>
        <w:rPr>
          <w:rFonts w:ascii="宋体" w:hAnsi="宋体"/>
        </w:rPr>
        <w:t>。</w:t>
      </w:r>
    </w:p>
    <w:p w14:paraId="458EBE78">
      <w:pPr>
        <w:pStyle w:val="4"/>
        <w:numPr>
          <w:ilvl w:val="2"/>
          <w:numId w:val="2"/>
        </w:numPr>
        <w:rPr>
          <w:rFonts w:ascii="宋体" w:hAnsi="宋体"/>
          <w:color w:val="auto"/>
        </w:rPr>
      </w:pPr>
      <w:r>
        <w:rPr>
          <w:rFonts w:ascii="宋体" w:hAnsi="宋体"/>
          <w:color w:val="auto"/>
        </w:rPr>
        <w:t>完成城乡供水一体化建设</w:t>
      </w:r>
    </w:p>
    <w:p w14:paraId="3156D5FA">
      <w:pPr>
        <w:ind w:firstLine="565" w:firstLineChars="202"/>
        <w:rPr>
          <w:rFonts w:ascii="宋体" w:hAnsi="宋体"/>
        </w:rPr>
      </w:pPr>
      <w:r>
        <w:rPr>
          <w:rFonts w:hint="eastAsia" w:ascii="宋体" w:hAnsi="宋体"/>
        </w:rPr>
        <w:t>以“续建攻坚、提质增效、全域覆盖”为核心，聚焦长汀</w:t>
      </w:r>
      <w:r>
        <w:rPr>
          <w:rFonts w:ascii="宋体" w:hAnsi="宋体"/>
        </w:rPr>
        <w:t>县城乡供水一体化续建项目，通过“硬件补短板、软件提效能”双轮驱动，“十五五”期间规划完成投资5.69亿元，推动项目全面完工。实现</w:t>
      </w:r>
      <w:r>
        <w:rPr>
          <w:rFonts w:hint="eastAsia" w:ascii="宋体" w:hAnsi="宋体"/>
        </w:rPr>
        <w:t>全县</w:t>
      </w:r>
      <w:r>
        <w:rPr>
          <w:rFonts w:ascii="宋体" w:hAnsi="宋体"/>
        </w:rPr>
        <w:t>规模</w:t>
      </w:r>
      <w:r>
        <w:rPr>
          <w:rFonts w:hint="eastAsia" w:ascii="宋体" w:hAnsi="宋体"/>
        </w:rPr>
        <w:t>化供水覆盖率提升至</w:t>
      </w:r>
      <w:r>
        <w:rPr>
          <w:rFonts w:ascii="宋体" w:hAnsi="宋体"/>
        </w:rPr>
        <w:t>85%以上，农村自来水普及率稳定在95%以上，构建“水源可靠、管网联通、管理专业、服务优质”的城乡供水保障体系，让城乡居民共享“同网、同质、同价、同服务”的供水成果。规划至2030年</w:t>
      </w:r>
      <w:r>
        <w:rPr>
          <w:rFonts w:hint="eastAsia" w:ascii="宋体" w:hAnsi="宋体"/>
        </w:rPr>
        <w:t>，</w:t>
      </w:r>
      <w:r>
        <w:rPr>
          <w:rFonts w:ascii="宋体" w:hAnsi="宋体"/>
        </w:rPr>
        <w:t>规模化供水工程服务农村人口比例达75%。</w:t>
      </w:r>
    </w:p>
    <w:p w14:paraId="48263FD9">
      <w:pPr>
        <w:ind w:firstLine="565" w:firstLineChars="202"/>
        <w:rPr>
          <w:rFonts w:ascii="宋体" w:hAnsi="宋体"/>
        </w:rPr>
      </w:pPr>
    </w:p>
    <w:p w14:paraId="1F072AC9">
      <w:pPr>
        <w:tabs>
          <w:tab w:val="left" w:pos="3456"/>
        </w:tabs>
        <w:spacing w:line="406" w:lineRule="exact"/>
        <w:rPr>
          <w:rFonts w:ascii="宋体" w:hAnsi="宋体" w:cs="Microsoft JhengHei"/>
          <w:b/>
          <w:bCs/>
          <w:sz w:val="30"/>
          <w:szCs w:val="30"/>
        </w:rPr>
      </w:pPr>
      <w:r>
        <w:rPr>
          <w:rFonts w:ascii="宋体" w:hAnsi="宋体" w:cs="Microsoft JhengHei"/>
          <w:b/>
          <w:bCs/>
          <w:sz w:val="30"/>
          <w:szCs w:val="30"/>
        </w:rPr>
        <w:t>专栏</w:t>
      </w:r>
      <w:r>
        <w:rPr>
          <w:rFonts w:ascii="宋体" w:hAnsi="宋体" w:cs="Times New Roman"/>
          <w:b/>
          <w:bCs/>
          <w:sz w:val="30"/>
          <w:szCs w:val="30"/>
        </w:rPr>
        <w:t>5-2</w:t>
      </w:r>
      <w:r>
        <w:rPr>
          <w:rFonts w:hint="eastAsia" w:ascii="宋体" w:hAnsi="宋体" w:cs="Times New Roman"/>
          <w:b/>
          <w:bCs/>
          <w:sz w:val="30"/>
          <w:szCs w:val="30"/>
        </w:rPr>
        <w:t xml:space="preserve">           </w:t>
      </w:r>
      <w:r>
        <w:rPr>
          <w:rFonts w:hint="eastAsia" w:ascii="宋体" w:hAnsi="宋体" w:cs="Microsoft JhengHei"/>
          <w:b/>
          <w:bCs/>
          <w:sz w:val="30"/>
          <w:szCs w:val="30"/>
        </w:rPr>
        <w:t>长汀县</w:t>
      </w:r>
      <w:r>
        <w:rPr>
          <w:rFonts w:ascii="宋体" w:hAnsi="宋体" w:cs="Microsoft JhengHei"/>
          <w:b/>
          <w:bCs/>
          <w:sz w:val="30"/>
          <w:szCs w:val="30"/>
        </w:rPr>
        <w:t>水资源配置任务</w:t>
      </w:r>
    </w:p>
    <w:p w14:paraId="710124FA">
      <w:pPr>
        <w:spacing w:before="4"/>
        <w:rPr>
          <w:rFonts w:ascii="宋体" w:hAnsi="宋体" w:cs="Microsoft JhengHei"/>
          <w:b/>
          <w:bCs/>
          <w:sz w:val="11"/>
          <w:szCs w:val="11"/>
        </w:rPr>
      </w:pPr>
    </w:p>
    <w:tbl>
      <w:tblPr>
        <w:tblStyle w:val="63"/>
        <w:tblW w:w="8580" w:type="dxa"/>
        <w:tblInd w:w="120" w:type="dxa"/>
        <w:tblLayout w:type="fixed"/>
        <w:tblCellMar>
          <w:top w:w="0" w:type="dxa"/>
          <w:left w:w="0" w:type="dxa"/>
          <w:bottom w:w="0" w:type="dxa"/>
          <w:right w:w="0" w:type="dxa"/>
        </w:tblCellMar>
      </w:tblPr>
      <w:tblGrid>
        <w:gridCol w:w="8580"/>
      </w:tblGrid>
      <w:tr w14:paraId="117D866F">
        <w:trPr>
          <w:trHeight w:val="1257" w:hRule="exact"/>
        </w:trPr>
        <w:tc>
          <w:tcPr>
            <w:tcW w:w="8580" w:type="dxa"/>
            <w:tcBorders>
              <w:top w:val="single" w:color="000000" w:sz="4" w:space="0"/>
              <w:left w:val="single" w:color="000000" w:sz="4" w:space="0"/>
              <w:bottom w:val="dotted" w:color="000000" w:sz="4" w:space="0"/>
              <w:right w:val="single" w:color="000000" w:sz="4" w:space="0"/>
            </w:tcBorders>
          </w:tcPr>
          <w:p w14:paraId="53F4815B">
            <w:pPr>
              <w:pStyle w:val="65"/>
              <w:spacing w:before="2" w:line="360" w:lineRule="exact"/>
              <w:ind w:left="103" w:right="2161"/>
              <w:rPr>
                <w:rFonts w:ascii="宋体" w:hAnsi="宋体" w:eastAsia="宋体" w:cs="Microsoft JhengHei"/>
                <w:sz w:val="24"/>
                <w:szCs w:val="24"/>
                <w:lang w:eastAsia="zh-CN"/>
              </w:rPr>
            </w:pPr>
            <w:r>
              <w:rPr>
                <w:rFonts w:ascii="宋体" w:hAnsi="宋体" w:eastAsia="宋体" w:cs="Microsoft JhengHei"/>
                <w:b/>
                <w:bCs/>
                <w:sz w:val="24"/>
                <w:szCs w:val="24"/>
                <w:lang w:eastAsia="zh-CN"/>
              </w:rPr>
              <w:t>水源建设工程：</w:t>
            </w:r>
          </w:p>
          <w:p w14:paraId="384BC639">
            <w:pPr>
              <w:pStyle w:val="65"/>
              <w:spacing w:line="360" w:lineRule="exact"/>
              <w:ind w:left="103" w:right="258"/>
              <w:rPr>
                <w:rFonts w:ascii="宋体" w:hAnsi="宋体" w:eastAsia="宋体" w:cs="宋体"/>
                <w:sz w:val="24"/>
                <w:szCs w:val="24"/>
                <w:lang w:eastAsia="zh-CN"/>
              </w:rPr>
            </w:pPr>
            <w:r>
              <w:rPr>
                <w:rFonts w:ascii="宋体" w:hAnsi="宋体" w:eastAsia="宋体" w:cs="Microsoft JhengHei"/>
                <w:b/>
                <w:bCs/>
                <w:sz w:val="24"/>
                <w:szCs w:val="24"/>
                <w:lang w:eastAsia="zh-CN"/>
              </w:rPr>
              <w:t>中型水库</w:t>
            </w:r>
            <w:r>
              <w:rPr>
                <w:rFonts w:ascii="宋体" w:hAnsi="宋体" w:eastAsia="宋体" w:cs="宋体"/>
                <w:sz w:val="24"/>
                <w:szCs w:val="24"/>
                <w:lang w:eastAsia="zh-CN"/>
              </w:rPr>
              <w:t>：</w:t>
            </w:r>
            <w:r>
              <w:rPr>
                <w:rFonts w:ascii="宋体" w:hAnsi="宋体" w:eastAsia="宋体" w:cs="宋体"/>
                <w:b/>
                <w:sz w:val="24"/>
                <w:szCs w:val="24"/>
                <w:lang w:eastAsia="zh-CN"/>
              </w:rPr>
              <w:t>龙门水库</w:t>
            </w:r>
          </w:p>
          <w:p w14:paraId="661367AF">
            <w:pPr>
              <w:pStyle w:val="65"/>
              <w:spacing w:line="360" w:lineRule="exact"/>
              <w:ind w:left="103" w:right="258"/>
              <w:rPr>
                <w:rFonts w:ascii="宋体" w:hAnsi="宋体" w:eastAsia="宋体" w:cs="宋体"/>
                <w:sz w:val="24"/>
                <w:szCs w:val="24"/>
                <w:lang w:eastAsia="zh-CN"/>
              </w:rPr>
            </w:pPr>
            <w:r>
              <w:rPr>
                <w:rFonts w:ascii="宋体" w:hAnsi="宋体" w:eastAsia="宋体" w:cs="Microsoft JhengHei"/>
                <w:b/>
                <w:bCs/>
                <w:sz w:val="24"/>
                <w:szCs w:val="24"/>
                <w:lang w:eastAsia="zh-CN"/>
              </w:rPr>
              <w:t>小型水库：</w:t>
            </w:r>
            <w:r>
              <w:rPr>
                <w:rFonts w:ascii="宋体" w:hAnsi="宋体" w:eastAsia="宋体" w:cs="宋体"/>
                <w:sz w:val="24"/>
                <w:szCs w:val="24"/>
                <w:lang w:eastAsia="zh-CN"/>
              </w:rPr>
              <w:t>伯公前水库、云霄山水库、桐睦水库、</w:t>
            </w:r>
            <w:r>
              <w:rPr>
                <w:rFonts w:hint="eastAsia" w:ascii="宋体" w:hAnsi="宋体" w:eastAsia="宋体" w:cs="宋体"/>
                <w:sz w:val="24"/>
                <w:szCs w:val="24"/>
                <w:lang w:eastAsia="zh-CN"/>
              </w:rPr>
              <w:t>板寮水库、</w:t>
            </w:r>
            <w:r>
              <w:rPr>
                <w:rFonts w:ascii="宋体" w:hAnsi="宋体" w:eastAsia="宋体" w:cs="宋体"/>
                <w:sz w:val="24"/>
                <w:szCs w:val="24"/>
                <w:lang w:eastAsia="zh-CN"/>
              </w:rPr>
              <w:t>半坑水库</w:t>
            </w:r>
            <w:r>
              <w:rPr>
                <w:rFonts w:hint="eastAsia" w:ascii="宋体" w:hAnsi="宋体" w:eastAsia="宋体" w:cs="宋体"/>
                <w:sz w:val="24"/>
                <w:szCs w:val="24"/>
                <w:lang w:eastAsia="zh-CN"/>
              </w:rPr>
              <w:t>。</w:t>
            </w:r>
          </w:p>
        </w:tc>
      </w:tr>
      <w:tr w14:paraId="32355267">
        <w:tblPrEx>
          <w:tblCellMar>
            <w:top w:w="0" w:type="dxa"/>
            <w:left w:w="0" w:type="dxa"/>
            <w:bottom w:w="0" w:type="dxa"/>
            <w:right w:w="0" w:type="dxa"/>
          </w:tblCellMar>
        </w:tblPrEx>
        <w:trPr>
          <w:trHeight w:val="504" w:hRule="exact"/>
        </w:trPr>
        <w:tc>
          <w:tcPr>
            <w:tcW w:w="8580" w:type="dxa"/>
            <w:tcBorders>
              <w:top w:val="dotted" w:color="000000" w:sz="4" w:space="0"/>
              <w:left w:val="single" w:color="000000" w:sz="4" w:space="0"/>
              <w:bottom w:val="dotted" w:color="000000" w:sz="4" w:space="0"/>
              <w:right w:val="single" w:color="000000" w:sz="4" w:space="0"/>
            </w:tcBorders>
          </w:tcPr>
          <w:p w14:paraId="179B0C58">
            <w:pPr>
              <w:pStyle w:val="65"/>
              <w:spacing w:line="360" w:lineRule="exact"/>
              <w:ind w:left="103" w:right="102"/>
              <w:rPr>
                <w:rFonts w:ascii="宋体" w:hAnsi="宋体" w:eastAsia="宋体" w:cs="宋体"/>
                <w:sz w:val="24"/>
                <w:szCs w:val="24"/>
                <w:lang w:eastAsia="zh-CN"/>
              </w:rPr>
            </w:pPr>
            <w:r>
              <w:rPr>
                <w:rFonts w:ascii="宋体" w:hAnsi="宋体" w:eastAsia="宋体" w:cs="Microsoft JhengHei"/>
                <w:b/>
                <w:bCs/>
                <w:sz w:val="24"/>
                <w:szCs w:val="24"/>
                <w:lang w:eastAsia="zh-CN"/>
              </w:rPr>
              <w:t>引调水工程：</w:t>
            </w:r>
            <w:r>
              <w:rPr>
                <w:rFonts w:ascii="宋体" w:hAnsi="宋体" w:eastAsia="宋体" w:cs="宋体"/>
                <w:spacing w:val="-3"/>
                <w:sz w:val="24"/>
                <w:szCs w:val="24"/>
                <w:lang w:eastAsia="zh-CN"/>
              </w:rPr>
              <w:t>陂下水库引水工程</w:t>
            </w:r>
            <w:r>
              <w:rPr>
                <w:rFonts w:ascii="宋体" w:hAnsi="宋体" w:eastAsia="宋体" w:cs="宋体"/>
                <w:sz w:val="24"/>
                <w:szCs w:val="24"/>
                <w:lang w:eastAsia="zh-CN"/>
              </w:rPr>
              <w:t>。</w:t>
            </w:r>
          </w:p>
        </w:tc>
      </w:tr>
      <w:tr w14:paraId="5029CC20">
        <w:tblPrEx>
          <w:tblCellMar>
            <w:top w:w="0" w:type="dxa"/>
            <w:left w:w="0" w:type="dxa"/>
            <w:bottom w:w="0" w:type="dxa"/>
            <w:right w:w="0" w:type="dxa"/>
          </w:tblCellMar>
        </w:tblPrEx>
        <w:trPr>
          <w:trHeight w:val="1196" w:hRule="exact"/>
        </w:trPr>
        <w:tc>
          <w:tcPr>
            <w:tcW w:w="8580" w:type="dxa"/>
            <w:tcBorders>
              <w:top w:val="dotted" w:color="000000" w:sz="4" w:space="0"/>
              <w:left w:val="single" w:color="000000" w:sz="4" w:space="0"/>
              <w:bottom w:val="dotted" w:color="000000" w:sz="4" w:space="0"/>
              <w:right w:val="single" w:color="000000" w:sz="4" w:space="0"/>
            </w:tcBorders>
          </w:tcPr>
          <w:p w14:paraId="2016A884">
            <w:pPr>
              <w:pStyle w:val="65"/>
              <w:spacing w:line="360" w:lineRule="exact"/>
              <w:ind w:left="103" w:right="102"/>
              <w:rPr>
                <w:rFonts w:ascii="宋体" w:hAnsi="宋体" w:eastAsia="宋体" w:cs="Microsoft JhengHei"/>
                <w:b/>
                <w:bCs/>
                <w:sz w:val="24"/>
                <w:szCs w:val="24"/>
                <w:lang w:eastAsia="zh-CN"/>
              </w:rPr>
            </w:pPr>
            <w:r>
              <w:rPr>
                <w:rFonts w:ascii="宋体" w:hAnsi="宋体" w:eastAsia="宋体" w:cs="Microsoft JhengHei"/>
                <w:b/>
                <w:bCs/>
                <w:sz w:val="24"/>
                <w:szCs w:val="24"/>
                <w:lang w:eastAsia="zh-CN"/>
              </w:rPr>
              <w:t>灌区建设工程：汀江大型灌区</w:t>
            </w:r>
          </w:p>
          <w:p w14:paraId="1D1F2DB9">
            <w:pPr>
              <w:pStyle w:val="65"/>
              <w:spacing w:line="360" w:lineRule="exact"/>
              <w:ind w:left="103" w:right="102"/>
              <w:rPr>
                <w:rFonts w:ascii="宋体" w:hAnsi="宋体" w:eastAsia="宋体" w:cs="宋体"/>
                <w:sz w:val="24"/>
                <w:szCs w:val="24"/>
                <w:lang w:eastAsia="zh-CN"/>
              </w:rPr>
            </w:pPr>
            <w:r>
              <w:rPr>
                <w:rFonts w:hint="eastAsia" w:ascii="宋体" w:hAnsi="宋体" w:eastAsia="宋体" w:cs="宋体"/>
                <w:spacing w:val="-3"/>
                <w:sz w:val="24"/>
                <w:szCs w:val="24"/>
                <w:lang w:eastAsia="zh-CN"/>
              </w:rPr>
              <w:t>长汀县陂下、千工陂、河策、荣丰、</w:t>
            </w:r>
            <w:r>
              <w:rPr>
                <w:rFonts w:ascii="宋体" w:hAnsi="宋体" w:eastAsia="宋体" w:cs="宋体"/>
                <w:spacing w:val="-3"/>
                <w:sz w:val="24"/>
                <w:szCs w:val="24"/>
                <w:lang w:eastAsia="zh-CN"/>
              </w:rPr>
              <w:t>汀东、汀南、三洲旱片</w:t>
            </w:r>
            <w:r>
              <w:rPr>
                <w:rFonts w:hint="eastAsia" w:ascii="宋体" w:hAnsi="宋体" w:eastAsia="宋体" w:cs="宋体"/>
                <w:spacing w:val="-3"/>
                <w:sz w:val="24"/>
                <w:szCs w:val="24"/>
                <w:lang w:eastAsia="zh-CN"/>
              </w:rPr>
              <w:t>等</w:t>
            </w:r>
            <w:r>
              <w:rPr>
                <w:rFonts w:ascii="宋体" w:hAnsi="宋体" w:eastAsia="宋体" w:cs="宋体"/>
                <w:spacing w:val="-3"/>
                <w:sz w:val="24"/>
                <w:szCs w:val="24"/>
                <w:lang w:eastAsia="zh-CN"/>
              </w:rPr>
              <w:t>7个中型灌区续建配套及现代化改造</w:t>
            </w:r>
            <w:r>
              <w:rPr>
                <w:rFonts w:hint="eastAsia" w:ascii="宋体" w:hAnsi="宋体" w:eastAsia="宋体" w:cs="宋体"/>
                <w:spacing w:val="-3"/>
                <w:sz w:val="24"/>
                <w:szCs w:val="24"/>
                <w:lang w:eastAsia="zh-CN"/>
              </w:rPr>
              <w:t>工程</w:t>
            </w:r>
          </w:p>
        </w:tc>
      </w:tr>
      <w:tr w14:paraId="11CB88E0">
        <w:tblPrEx>
          <w:tblCellMar>
            <w:top w:w="0" w:type="dxa"/>
            <w:left w:w="0" w:type="dxa"/>
            <w:bottom w:w="0" w:type="dxa"/>
            <w:right w:w="0" w:type="dxa"/>
          </w:tblCellMar>
        </w:tblPrEx>
        <w:trPr>
          <w:trHeight w:val="433" w:hRule="exact"/>
        </w:trPr>
        <w:tc>
          <w:tcPr>
            <w:tcW w:w="8580" w:type="dxa"/>
            <w:tcBorders>
              <w:top w:val="dotted" w:color="000000" w:sz="4" w:space="0"/>
              <w:left w:val="single" w:color="000000" w:sz="4" w:space="0"/>
              <w:bottom w:val="single" w:color="000000" w:sz="4" w:space="0"/>
              <w:right w:val="single" w:color="000000" w:sz="4" w:space="0"/>
            </w:tcBorders>
          </w:tcPr>
          <w:p w14:paraId="6E88D11F">
            <w:pPr>
              <w:pStyle w:val="65"/>
              <w:spacing w:line="360" w:lineRule="exact"/>
              <w:ind w:left="103" w:right="263"/>
              <w:rPr>
                <w:rFonts w:ascii="宋体" w:hAnsi="宋体" w:eastAsia="宋体" w:cs="宋体"/>
                <w:sz w:val="24"/>
                <w:szCs w:val="24"/>
                <w:lang w:eastAsia="zh-CN"/>
              </w:rPr>
            </w:pPr>
            <w:r>
              <w:rPr>
                <w:rFonts w:ascii="宋体" w:hAnsi="宋体" w:eastAsia="宋体" w:cs="Microsoft JhengHei"/>
                <w:b/>
                <w:bCs/>
                <w:sz w:val="24"/>
                <w:szCs w:val="24"/>
                <w:lang w:eastAsia="zh-CN"/>
              </w:rPr>
              <w:t>城乡供水一体化工程：</w:t>
            </w:r>
            <w:r>
              <w:rPr>
                <w:rFonts w:ascii="宋体" w:hAnsi="宋体" w:eastAsia="宋体" w:cs="宋体"/>
                <w:sz w:val="24"/>
                <w:szCs w:val="24"/>
                <w:lang w:eastAsia="zh-CN"/>
              </w:rPr>
              <w:t>长汀县城乡供水一体化工程</w:t>
            </w:r>
          </w:p>
        </w:tc>
      </w:tr>
    </w:tbl>
    <w:p w14:paraId="36598B52">
      <w:pPr>
        <w:ind w:firstLine="565" w:firstLineChars="202"/>
        <w:rPr>
          <w:rFonts w:ascii="宋体" w:hAnsi="宋体"/>
        </w:rPr>
      </w:pPr>
    </w:p>
    <w:p w14:paraId="6DF7CDBC">
      <w:pPr>
        <w:pStyle w:val="3"/>
        <w:numPr>
          <w:ilvl w:val="1"/>
          <w:numId w:val="2"/>
        </w:numPr>
        <w:rPr>
          <w:rFonts w:ascii="宋体" w:hAnsi="宋体"/>
          <w:color w:val="auto"/>
        </w:rPr>
      </w:pPr>
      <w:bookmarkStart w:id="41" w:name="_Toc216791701"/>
      <w:r>
        <w:rPr>
          <w:rFonts w:hint="eastAsia" w:ascii="宋体" w:hAnsi="宋体"/>
          <w:color w:val="auto"/>
        </w:rPr>
        <w:t>久久为功，筑牢流域水生态保护屏障</w:t>
      </w:r>
      <w:bookmarkEnd w:id="41"/>
    </w:p>
    <w:p w14:paraId="1F7C5D89">
      <w:pPr>
        <w:ind w:firstLine="565" w:firstLineChars="202"/>
        <w:rPr>
          <w:rFonts w:ascii="宋体" w:hAnsi="宋体"/>
        </w:rPr>
      </w:pPr>
      <w:r>
        <w:rPr>
          <w:rFonts w:hint="eastAsia" w:ascii="宋体" w:hAnsi="宋体"/>
        </w:rPr>
        <w:t>为深入贯彻习近平总书记生态文明思想，因地制宜推进长汀县</w:t>
      </w:r>
      <w:r>
        <w:rPr>
          <w:rFonts w:ascii="宋体" w:hAnsi="宋体"/>
        </w:rPr>
        <w:t>水生态修复工程</w:t>
      </w:r>
      <w:r>
        <w:rPr>
          <w:rFonts w:hint="eastAsia" w:ascii="宋体" w:hAnsi="宋体"/>
        </w:rPr>
        <w:t>，</w:t>
      </w:r>
      <w:r>
        <w:rPr>
          <w:rFonts w:ascii="宋体" w:hAnsi="宋体"/>
        </w:rPr>
        <w:t>不断提升</w:t>
      </w:r>
      <w:r>
        <w:rPr>
          <w:rFonts w:hint="eastAsia" w:ascii="宋体" w:hAnsi="宋体"/>
        </w:rPr>
        <w:t>长汀县</w:t>
      </w:r>
      <w:r>
        <w:rPr>
          <w:rFonts w:ascii="宋体" w:hAnsi="宋体"/>
        </w:rPr>
        <w:t>生态修复水平。流域水生态保护非一日之功，唯有秉持“久久为功”的韧劲，</w:t>
      </w:r>
      <w:r>
        <w:rPr>
          <w:rFonts w:hint="eastAsia" w:ascii="宋体" w:hAnsi="宋体"/>
        </w:rPr>
        <w:t>以系统思维织密治理网络，方能筑牢永续发展的生态屏障。</w:t>
      </w:r>
      <w:r>
        <w:rPr>
          <w:rFonts w:ascii="宋体" w:hAnsi="宋体"/>
        </w:rPr>
        <w:t>“十五五”期间，</w:t>
      </w:r>
      <w:r>
        <w:rPr>
          <w:rFonts w:hint="eastAsia" w:ascii="宋体" w:hAnsi="宋体"/>
        </w:rPr>
        <w:t>长汀县</w:t>
      </w:r>
      <w:r>
        <w:rPr>
          <w:rFonts w:ascii="宋体" w:hAnsi="宋体"/>
        </w:rPr>
        <w:t>水生态修复建设主要以“重要流域生态修复，水土流失治理”为主，“</w:t>
      </w:r>
      <w:r>
        <w:rPr>
          <w:rFonts w:hint="eastAsia" w:ascii="宋体" w:hAnsi="宋体"/>
        </w:rPr>
        <w:t>小水电站</w:t>
      </w:r>
      <w:r>
        <w:rPr>
          <w:rFonts w:ascii="宋体" w:hAnsi="宋体"/>
        </w:rPr>
        <w:t>退出、生态流量保障”为辅的模式，系统推进</w:t>
      </w:r>
      <w:r>
        <w:rPr>
          <w:rFonts w:hint="eastAsia" w:ascii="宋体" w:hAnsi="宋体"/>
        </w:rPr>
        <w:t>长汀县</w:t>
      </w:r>
      <w:r>
        <w:rPr>
          <w:rFonts w:ascii="宋体" w:hAnsi="宋体"/>
        </w:rPr>
        <w:t>水生态系统治理，致力于形成“一套可复制、可推广”的</w:t>
      </w:r>
      <w:r>
        <w:rPr>
          <w:rFonts w:hint="eastAsia" w:ascii="宋体" w:hAnsi="宋体"/>
        </w:rPr>
        <w:t>长汀</w:t>
      </w:r>
      <w:r>
        <w:rPr>
          <w:rFonts w:ascii="宋体" w:hAnsi="宋体"/>
        </w:rPr>
        <w:t>特色经验，既破解流域治理难题，更实现生态保护与富民发展的双赢。</w:t>
      </w:r>
    </w:p>
    <w:p w14:paraId="4EB77D03">
      <w:pPr>
        <w:pStyle w:val="4"/>
        <w:numPr>
          <w:ilvl w:val="2"/>
          <w:numId w:val="2"/>
        </w:numPr>
        <w:rPr>
          <w:rFonts w:ascii="宋体" w:hAnsi="宋体"/>
          <w:color w:val="auto"/>
        </w:rPr>
      </w:pPr>
      <w:bookmarkStart w:id="42" w:name="OLE_LINK5"/>
      <w:bookmarkStart w:id="43" w:name="OLE_LINK4"/>
      <w:r>
        <w:rPr>
          <w:rFonts w:hint="eastAsia" w:ascii="宋体" w:hAnsi="宋体"/>
          <w:color w:val="auto"/>
        </w:rPr>
        <w:t>实施重点河段水生态修复与治理</w:t>
      </w:r>
    </w:p>
    <w:bookmarkEnd w:id="42"/>
    <w:bookmarkEnd w:id="43"/>
    <w:p w14:paraId="72FA425C">
      <w:pPr>
        <w:ind w:firstLine="565" w:firstLineChars="202"/>
        <w:rPr>
          <w:rFonts w:ascii="宋体" w:hAnsi="宋体"/>
        </w:rPr>
      </w:pPr>
      <w:r>
        <w:rPr>
          <w:rFonts w:hint="eastAsia" w:ascii="宋体" w:hAnsi="宋体"/>
        </w:rPr>
        <w:t>流域生态韧性是维持水资源可持续供给与水质安全的天然屏障。“十五五”期间</w:t>
      </w:r>
      <w:r>
        <w:rPr>
          <w:rFonts w:ascii="宋体" w:hAnsi="宋体"/>
        </w:rPr>
        <w:t>，</w:t>
      </w:r>
      <w:r>
        <w:rPr>
          <w:rFonts w:hint="eastAsia" w:ascii="宋体" w:hAnsi="宋体"/>
        </w:rPr>
        <w:t>规划福建省汀江流域（长汀段）水生态保护修复工程。该工程通过实施生态清淤、建设生态沟渠与护岸、栽植水源涵养林与水生植物、构筑前置净化生态坝等系统性措施，可直接改善汀江流域</w:t>
      </w:r>
      <w:r>
        <w:rPr>
          <w:rFonts w:ascii="宋体" w:hAnsi="宋体"/>
        </w:rPr>
        <w:t>（</w:t>
      </w:r>
      <w:r>
        <w:rPr>
          <w:rFonts w:hint="eastAsia" w:ascii="宋体" w:hAnsi="宋体"/>
        </w:rPr>
        <w:t>长汀</w:t>
      </w:r>
      <w:r>
        <w:rPr>
          <w:rFonts w:ascii="宋体" w:hAnsi="宋体"/>
        </w:rPr>
        <w:t>段）</w:t>
      </w:r>
      <w:r>
        <w:rPr>
          <w:rFonts w:hint="eastAsia" w:ascii="宋体" w:hAnsi="宋体"/>
        </w:rPr>
        <w:t>局部环境，更从整体上增强了流域的污染拦截、水源涵养与水文调节能力。构建水生态廊道，为发展流域水经济奠定基础。</w:t>
      </w:r>
    </w:p>
    <w:p w14:paraId="0A56794A">
      <w:pPr>
        <w:pStyle w:val="4"/>
        <w:numPr>
          <w:ilvl w:val="2"/>
          <w:numId w:val="2"/>
        </w:numPr>
        <w:rPr>
          <w:rFonts w:ascii="宋体" w:hAnsi="宋体"/>
          <w:color w:val="auto"/>
        </w:rPr>
      </w:pPr>
      <w:bookmarkStart w:id="44" w:name="OLE_LINK14"/>
      <w:r>
        <w:rPr>
          <w:rFonts w:hint="eastAsia" w:ascii="宋体" w:hAnsi="宋体"/>
          <w:color w:val="auto"/>
        </w:rPr>
        <w:t>全力推进水土流失全域治理</w:t>
      </w:r>
    </w:p>
    <w:p w14:paraId="3AF729AE">
      <w:pPr>
        <w:ind w:firstLine="565" w:firstLineChars="202"/>
        <w:rPr>
          <w:rFonts w:ascii="宋体" w:hAnsi="宋体"/>
        </w:rPr>
      </w:pPr>
      <w:r>
        <w:rPr>
          <w:rFonts w:hint="eastAsia" w:ascii="宋体" w:hAnsi="宋体"/>
        </w:rPr>
        <w:t>聚焦水土流失治理“全胜”目标，以“生态治理--价值转化--全域振兴”为路径，统筹推进高质量发展与高效能治理，筑牢生态安全屏障，增强绿色发展动能，在更高起点上打造新时代水土流失治理“长汀经验”升级版。主要围绕以下重点方向开展工作：</w:t>
      </w:r>
    </w:p>
    <w:p w14:paraId="4F7791F0">
      <w:pPr>
        <w:ind w:firstLine="568" w:firstLineChars="202"/>
        <w:rPr>
          <w:rFonts w:ascii="宋体" w:hAnsi="宋体"/>
          <w:b/>
        </w:rPr>
      </w:pPr>
      <w:r>
        <w:rPr>
          <w:rFonts w:ascii="宋体" w:hAnsi="宋体"/>
          <w:b/>
        </w:rPr>
        <w:t>1.打造示范样板，构建双层治理格局</w:t>
      </w:r>
    </w:p>
    <w:p w14:paraId="14D1C350">
      <w:pPr>
        <w:ind w:firstLine="565" w:firstLineChars="202"/>
        <w:rPr>
          <w:rFonts w:ascii="宋体" w:hAnsi="宋体"/>
        </w:rPr>
      </w:pPr>
      <w:bookmarkStart w:id="45" w:name="OLE_LINK38"/>
      <w:r>
        <w:rPr>
          <w:rFonts w:hint="eastAsia" w:ascii="宋体" w:hAnsi="宋体"/>
        </w:rPr>
        <w:t>推进国家重点项目：高标准实施长汀县国家水土保持重点工程，完成水土流失治理与生态修复</w:t>
      </w:r>
      <w:r>
        <w:rPr>
          <w:rFonts w:ascii="宋体" w:hAnsi="宋体"/>
        </w:rPr>
        <w:t>10万亩，同步建成5条生态清洁小流域，着力打造“山青、水净、村美、民富”的南方红壤区示范样板。</w:t>
      </w:r>
    </w:p>
    <w:p w14:paraId="513E5B28">
      <w:pPr>
        <w:ind w:firstLine="565" w:firstLineChars="202"/>
        <w:rPr>
          <w:rFonts w:ascii="宋体" w:hAnsi="宋体"/>
        </w:rPr>
      </w:pPr>
      <w:r>
        <w:rPr>
          <w:rFonts w:hint="eastAsia" w:ascii="宋体" w:hAnsi="宋体"/>
        </w:rPr>
        <w:t>深化省级综合治理：接续推进长汀县省级水土流失治理项目，完成治理与修复</w:t>
      </w:r>
      <w:r>
        <w:rPr>
          <w:rFonts w:ascii="宋体" w:hAnsi="宋体"/>
        </w:rPr>
        <w:t>20万亩，新建5条生态清洁小流域。推动国家与省级项目优势互补、连片打造，形成“国家引领、省级协同”的双层治理格局，持续巩固与提升“长汀经验”在全国的示范引领地位。</w:t>
      </w:r>
      <w:bookmarkEnd w:id="45"/>
    </w:p>
    <w:p w14:paraId="751999D4">
      <w:pPr>
        <w:ind w:firstLine="568" w:firstLineChars="202"/>
        <w:rPr>
          <w:rFonts w:ascii="宋体" w:hAnsi="宋体"/>
          <w:b/>
        </w:rPr>
      </w:pPr>
      <w:r>
        <w:rPr>
          <w:rFonts w:ascii="宋体" w:hAnsi="宋体"/>
          <w:b/>
        </w:rPr>
        <w:t>2.强化源头预防，严守生态保护红线</w:t>
      </w:r>
    </w:p>
    <w:p w14:paraId="1AEA6772">
      <w:pPr>
        <w:ind w:firstLine="565" w:firstLineChars="202"/>
        <w:rPr>
          <w:rFonts w:ascii="宋体" w:hAnsi="宋体"/>
        </w:rPr>
      </w:pPr>
      <w:r>
        <w:rPr>
          <w:rFonts w:hint="eastAsia" w:ascii="宋体" w:hAnsi="宋体"/>
        </w:rPr>
        <w:t>坚持“预防为主、保护优先”，将省级以上自然保护区、森林公园等关键区域作为重点，实施更严格的生态系统保护。</w:t>
      </w:r>
    </w:p>
    <w:p w14:paraId="6A507D4A">
      <w:pPr>
        <w:ind w:firstLine="565" w:firstLineChars="202"/>
        <w:rPr>
          <w:rFonts w:ascii="宋体" w:hAnsi="宋体"/>
        </w:rPr>
      </w:pPr>
      <w:r>
        <w:rPr>
          <w:rFonts w:hint="eastAsia" w:ascii="宋体" w:hAnsi="宋体"/>
        </w:rPr>
        <w:t>综合运用“造林育林、封山禁牧、严格管控”等举措，筑牢生态屏障，切实巩固流域生态保护与修复成果，稳步提升林草植被覆盖度与生态系统质量。</w:t>
      </w:r>
    </w:p>
    <w:p w14:paraId="2DBE68CA">
      <w:pPr>
        <w:ind w:firstLine="568" w:firstLineChars="202"/>
        <w:rPr>
          <w:rFonts w:ascii="宋体" w:hAnsi="宋体"/>
          <w:b/>
        </w:rPr>
      </w:pPr>
      <w:r>
        <w:rPr>
          <w:rFonts w:ascii="宋体" w:hAnsi="宋体"/>
          <w:b/>
        </w:rPr>
        <w:t>3.优化生态系统，提升综合服务功能</w:t>
      </w:r>
    </w:p>
    <w:p w14:paraId="32506113">
      <w:pPr>
        <w:ind w:firstLine="565" w:firstLineChars="202"/>
        <w:rPr>
          <w:rFonts w:ascii="宋体" w:hAnsi="宋体"/>
        </w:rPr>
      </w:pPr>
      <w:r>
        <w:rPr>
          <w:rFonts w:hint="eastAsia" w:ascii="宋体" w:hAnsi="宋体"/>
        </w:rPr>
        <w:t>精准提升森林质量：针对针叶林纯林等生态功能薄弱环节，采取“去针套阔”、补植复壮等措施，加速退化林分修复，优化林分结构。实施森林质量精准提升工程，增强生物多样性，强化森林固碳增汇能力。</w:t>
      </w:r>
    </w:p>
    <w:p w14:paraId="50A8F73C">
      <w:pPr>
        <w:ind w:firstLine="565" w:firstLineChars="202"/>
        <w:rPr>
          <w:rFonts w:ascii="宋体" w:hAnsi="宋体"/>
        </w:rPr>
      </w:pPr>
      <w:r>
        <w:rPr>
          <w:rFonts w:hint="eastAsia" w:ascii="宋体" w:hAnsi="宋体"/>
        </w:rPr>
        <w:t>推进城镇生态建设：将水土保持措施融入城市发展，加强城镇区域生态修复，助力建设人与自然和谐共生的绿色城市。</w:t>
      </w:r>
    </w:p>
    <w:p w14:paraId="0BBB6C20">
      <w:pPr>
        <w:ind w:firstLine="568" w:firstLineChars="202"/>
        <w:rPr>
          <w:rFonts w:ascii="宋体" w:hAnsi="宋体"/>
          <w:b/>
        </w:rPr>
      </w:pPr>
      <w:r>
        <w:rPr>
          <w:rFonts w:ascii="宋体" w:hAnsi="宋体"/>
          <w:b/>
        </w:rPr>
        <w:t>4.聚焦重点难点，深化区域综合治理</w:t>
      </w:r>
    </w:p>
    <w:p w14:paraId="304C7B96">
      <w:pPr>
        <w:ind w:firstLine="565" w:firstLineChars="202"/>
        <w:rPr>
          <w:rFonts w:ascii="宋体" w:hAnsi="宋体"/>
        </w:rPr>
      </w:pPr>
      <w:r>
        <w:rPr>
          <w:rFonts w:hint="eastAsia" w:ascii="宋体" w:hAnsi="宋体"/>
        </w:rPr>
        <w:t>推进斑块化治理：持续对集中连片的水土流失斑块进行重点修复，实施坡耕地综合整治与提升工程，构建高效的坡地综合防治体系。</w:t>
      </w:r>
    </w:p>
    <w:p w14:paraId="5C3A3173">
      <w:pPr>
        <w:ind w:firstLine="565" w:firstLineChars="202"/>
        <w:rPr>
          <w:rFonts w:ascii="宋体" w:hAnsi="宋体"/>
        </w:rPr>
      </w:pPr>
      <w:r>
        <w:rPr>
          <w:rFonts w:hint="eastAsia" w:ascii="宋体" w:hAnsi="宋体"/>
        </w:rPr>
        <w:t>实施差异化措施：在荒坡地、稀疏林地等区域，因地制宜采取封禁保护、人工造林、草灌乔混交等综合治理模式，有效控制水土流失。</w:t>
      </w:r>
    </w:p>
    <w:p w14:paraId="5A4FED12">
      <w:pPr>
        <w:ind w:firstLine="565" w:firstLineChars="202"/>
        <w:rPr>
          <w:rFonts w:ascii="宋体" w:hAnsi="宋体"/>
        </w:rPr>
      </w:pPr>
      <w:r>
        <w:rPr>
          <w:rFonts w:hint="eastAsia" w:ascii="宋体" w:hAnsi="宋体"/>
        </w:rPr>
        <w:t>加快历史遗留矿山修复：有序推进矿山生态修复工程，治理受损地块，恢复区域生态功能。</w:t>
      </w:r>
    </w:p>
    <w:p w14:paraId="7B82B492">
      <w:pPr>
        <w:ind w:firstLine="565" w:firstLineChars="202"/>
        <w:rPr>
          <w:rFonts w:ascii="宋体" w:hAnsi="宋体"/>
        </w:rPr>
      </w:pPr>
      <w:r>
        <w:rPr>
          <w:rFonts w:hint="eastAsia" w:ascii="宋体" w:hAnsi="宋体"/>
        </w:rPr>
        <w:t>规范农林开发活动：在茶果园分布广泛区域，探索建立严格的农林开发审批与监管制度，约束不合理的开发建设行为，从源头上减少人为水土流失。</w:t>
      </w:r>
    </w:p>
    <w:p w14:paraId="45B0A81B">
      <w:pPr>
        <w:pStyle w:val="4"/>
        <w:numPr>
          <w:ilvl w:val="2"/>
          <w:numId w:val="2"/>
        </w:numPr>
        <w:rPr>
          <w:rFonts w:ascii="宋体" w:hAnsi="宋体"/>
          <w:color w:val="auto"/>
        </w:rPr>
      </w:pPr>
      <w:r>
        <w:rPr>
          <w:rFonts w:ascii="宋体" w:hAnsi="宋体"/>
          <w:color w:val="auto"/>
        </w:rPr>
        <w:t>持续推进小水电绿色改造和现代化提升</w:t>
      </w:r>
    </w:p>
    <w:p w14:paraId="29C253CF">
      <w:pPr>
        <w:ind w:firstLine="565" w:firstLineChars="202"/>
        <w:rPr>
          <w:rFonts w:ascii="宋体" w:hAnsi="宋体"/>
        </w:rPr>
      </w:pPr>
      <w:r>
        <w:rPr>
          <w:rFonts w:hint="eastAsia" w:ascii="宋体" w:hAnsi="宋体"/>
        </w:rPr>
        <w:t>从强化小水电安全监管，持续推动小水电落实生态流量、</w:t>
      </w:r>
      <w:r>
        <w:rPr>
          <w:rFonts w:ascii="宋体" w:hAnsi="宋体"/>
        </w:rPr>
        <w:t>巩固小水电分类整改成果、深入推进小水电绿色改造与现代化提升等四个方面，推动</w:t>
      </w:r>
      <w:r>
        <w:rPr>
          <w:rFonts w:hint="eastAsia" w:ascii="宋体" w:hAnsi="宋体"/>
        </w:rPr>
        <w:t>长汀县</w:t>
      </w:r>
      <w:r>
        <w:rPr>
          <w:rFonts w:ascii="宋体" w:hAnsi="宋体"/>
        </w:rPr>
        <w:t>出台政策措施，编制实施方案，明确“十五五”小水电绿色改造和现代化提升目标任务，积极争取财政资金支持。同时鼓励有条件的地区发挥龙头企</w:t>
      </w:r>
      <w:r>
        <w:rPr>
          <w:rFonts w:hint="eastAsia" w:ascii="宋体" w:hAnsi="宋体"/>
        </w:rPr>
        <w:t>业带动作用，引导分散的电站企业积极参与改造，推进小水</w:t>
      </w:r>
      <w:r>
        <w:rPr>
          <w:rFonts w:ascii="宋体" w:hAnsi="宋体"/>
        </w:rPr>
        <w:t>电智能化改造、集约化运行、物业化管理。规范小水电集控中心建设标准，加强技术培训和能力建设，培育壮大小水电智能化改造和集控中心建设方面的人才队伍。“十五五”期间，开展</w:t>
      </w:r>
      <w:r>
        <w:rPr>
          <w:rFonts w:hint="eastAsia" w:ascii="宋体" w:hAnsi="宋体"/>
        </w:rPr>
        <w:t>长汀县</w:t>
      </w:r>
      <w:r>
        <w:rPr>
          <w:rFonts w:ascii="宋体" w:hAnsi="宋体"/>
        </w:rPr>
        <w:t>小水电绿色改造和现代化提升项目，抓好小水电安全生产、安全度汛和生态流量落实，持续推进小水电绿色改造和现代化提升。</w:t>
      </w:r>
    </w:p>
    <w:p w14:paraId="374909E8">
      <w:pPr>
        <w:tabs>
          <w:tab w:val="left" w:pos="3456"/>
        </w:tabs>
        <w:spacing w:line="406" w:lineRule="exact"/>
        <w:rPr>
          <w:rFonts w:ascii="宋体" w:hAnsi="宋体" w:cs="Microsoft JhengHei"/>
          <w:b/>
          <w:bCs/>
          <w:sz w:val="30"/>
          <w:szCs w:val="30"/>
        </w:rPr>
      </w:pPr>
      <w:r>
        <w:rPr>
          <w:rFonts w:ascii="宋体" w:hAnsi="宋体" w:cs="Microsoft JhengHei"/>
          <w:b/>
          <w:bCs/>
          <w:sz w:val="30"/>
          <w:szCs w:val="30"/>
        </w:rPr>
        <mc:AlternateContent>
          <mc:Choice Requires="wps">
            <w:drawing>
              <wp:anchor distT="0" distB="0" distL="114300" distR="114300" simplePos="0" relativeHeight="251659264" behindDoc="1" locked="0" layoutInCell="1" allowOverlap="1">
                <wp:simplePos x="0" y="0"/>
                <wp:positionH relativeFrom="column">
                  <wp:posOffset>38100</wp:posOffset>
                </wp:positionH>
                <wp:positionV relativeFrom="paragraph">
                  <wp:posOffset>365760</wp:posOffset>
                </wp:positionV>
                <wp:extent cx="5269865" cy="1531620"/>
                <wp:effectExtent l="0" t="0" r="26035" b="11430"/>
                <wp:wrapTight wrapText="bothSides">
                  <wp:wrapPolygon>
                    <wp:start x="0" y="0"/>
                    <wp:lineTo x="0" y="21493"/>
                    <wp:lineTo x="21629" y="21493"/>
                    <wp:lineTo x="21629" y="0"/>
                    <wp:lineTo x="0" y="0"/>
                  </wp:wrapPolygon>
                </wp:wrapTight>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269865" cy="1531620"/>
                        </a:xfrm>
                        <a:prstGeom prst="rect">
                          <a:avLst/>
                        </a:prstGeom>
                        <a:noFill/>
                        <a:ln w="6096">
                          <a:solidFill>
                            <a:srgbClr val="000000"/>
                          </a:solidFill>
                          <a:miter lim="800000"/>
                        </a:ln>
                      </wps:spPr>
                      <wps:txbx>
                        <w:txbxContent>
                          <w:p w14:paraId="7A8A426C">
                            <w:pPr>
                              <w:pStyle w:val="53"/>
                              <w:numPr>
                                <w:ilvl w:val="0"/>
                                <w:numId w:val="3"/>
                              </w:numPr>
                              <w:spacing w:line="360" w:lineRule="exact"/>
                              <w:ind w:right="23"/>
                              <w:jc w:val="left"/>
                              <w:rPr>
                                <w:rFonts w:ascii="宋体" w:hAnsi="宋体" w:cs="Microsoft JhengHei"/>
                                <w:b/>
                                <w:bCs/>
                                <w:sz w:val="24"/>
                                <w:szCs w:val="24"/>
                              </w:rPr>
                            </w:pPr>
                            <w:r>
                              <w:rPr>
                                <w:rFonts w:ascii="宋体" w:hAnsi="宋体" w:cs="Microsoft JhengHei"/>
                                <w:b/>
                                <w:bCs/>
                                <w:spacing w:val="2"/>
                                <w:sz w:val="24"/>
                                <w:szCs w:val="24"/>
                              </w:rPr>
                              <w:t>重</w:t>
                            </w:r>
                            <w:r>
                              <w:rPr>
                                <w:rFonts w:ascii="宋体" w:hAnsi="宋体" w:cs="Microsoft JhengHei"/>
                                <w:b/>
                                <w:bCs/>
                                <w:sz w:val="24"/>
                                <w:szCs w:val="24"/>
                              </w:rPr>
                              <w:t>点</w:t>
                            </w:r>
                            <w:r>
                              <w:rPr>
                                <w:rFonts w:ascii="宋体" w:hAnsi="宋体" w:cs="Microsoft JhengHei"/>
                                <w:b/>
                                <w:bCs/>
                                <w:spacing w:val="2"/>
                                <w:sz w:val="24"/>
                                <w:szCs w:val="24"/>
                              </w:rPr>
                              <w:t>河</w:t>
                            </w:r>
                            <w:r>
                              <w:rPr>
                                <w:rFonts w:ascii="宋体" w:hAnsi="宋体" w:cs="Microsoft JhengHei"/>
                                <w:b/>
                                <w:bCs/>
                                <w:sz w:val="24"/>
                                <w:szCs w:val="24"/>
                              </w:rPr>
                              <w:t>段水</w:t>
                            </w:r>
                            <w:r>
                              <w:rPr>
                                <w:rFonts w:ascii="宋体" w:hAnsi="宋体" w:cs="Microsoft JhengHei"/>
                                <w:b/>
                                <w:bCs/>
                                <w:spacing w:val="2"/>
                                <w:sz w:val="24"/>
                                <w:szCs w:val="24"/>
                              </w:rPr>
                              <w:t>生</w:t>
                            </w:r>
                            <w:r>
                              <w:rPr>
                                <w:rFonts w:ascii="宋体" w:hAnsi="宋体" w:cs="Microsoft JhengHei"/>
                                <w:b/>
                                <w:bCs/>
                                <w:sz w:val="24"/>
                                <w:szCs w:val="24"/>
                              </w:rPr>
                              <w:t>态</w:t>
                            </w:r>
                            <w:r>
                              <w:rPr>
                                <w:rFonts w:ascii="宋体" w:hAnsi="宋体" w:cs="Microsoft JhengHei"/>
                                <w:b/>
                                <w:bCs/>
                                <w:spacing w:val="2"/>
                                <w:sz w:val="24"/>
                                <w:szCs w:val="24"/>
                              </w:rPr>
                              <w:t>修</w:t>
                            </w:r>
                            <w:r>
                              <w:rPr>
                                <w:rFonts w:ascii="宋体" w:hAnsi="宋体" w:cs="Microsoft JhengHei"/>
                                <w:b/>
                                <w:bCs/>
                                <w:sz w:val="24"/>
                                <w:szCs w:val="24"/>
                              </w:rPr>
                              <w:t>复</w:t>
                            </w:r>
                            <w:r>
                              <w:rPr>
                                <w:rFonts w:ascii="宋体" w:hAnsi="宋体" w:cs="Microsoft JhengHei"/>
                                <w:b/>
                                <w:bCs/>
                                <w:spacing w:val="2"/>
                                <w:sz w:val="24"/>
                                <w:szCs w:val="24"/>
                              </w:rPr>
                              <w:t>与</w:t>
                            </w:r>
                            <w:r>
                              <w:rPr>
                                <w:rFonts w:ascii="宋体" w:hAnsi="宋体" w:cs="Microsoft JhengHei"/>
                                <w:b/>
                                <w:bCs/>
                                <w:sz w:val="24"/>
                                <w:szCs w:val="24"/>
                              </w:rPr>
                              <w:t xml:space="preserve">治理 </w:t>
                            </w:r>
                          </w:p>
                          <w:p w14:paraId="1666085E">
                            <w:pPr>
                              <w:pStyle w:val="53"/>
                              <w:spacing w:line="360" w:lineRule="exact"/>
                              <w:ind w:left="0" w:right="23" w:firstLine="120" w:firstLineChars="50"/>
                              <w:jc w:val="left"/>
                              <w:rPr>
                                <w:rFonts w:ascii="宋体" w:hAnsi="宋体" w:cs="宋体"/>
                                <w:sz w:val="24"/>
                                <w:szCs w:val="24"/>
                              </w:rPr>
                            </w:pPr>
                            <w:r>
                              <w:rPr>
                                <w:rFonts w:ascii="宋体" w:hAnsi="宋体" w:cs="宋体"/>
                                <w:sz w:val="24"/>
                                <w:szCs w:val="24"/>
                              </w:rPr>
                              <w:t>推进汀江流域</w:t>
                            </w:r>
                            <w:r>
                              <w:rPr>
                                <w:rFonts w:hint="eastAsia" w:ascii="宋体" w:hAnsi="宋体" w:cs="宋体"/>
                                <w:sz w:val="24"/>
                                <w:szCs w:val="24"/>
                              </w:rPr>
                              <w:t>（长汀段）</w:t>
                            </w:r>
                            <w:r>
                              <w:rPr>
                                <w:rFonts w:ascii="宋体" w:hAnsi="宋体" w:cs="宋体"/>
                                <w:sz w:val="24"/>
                                <w:szCs w:val="24"/>
                              </w:rPr>
                              <w:t>水生态</w:t>
                            </w:r>
                            <w:r>
                              <w:rPr>
                                <w:rFonts w:hint="eastAsia" w:ascii="宋体" w:hAnsi="宋体" w:cs="宋体"/>
                                <w:sz w:val="24"/>
                                <w:szCs w:val="24"/>
                              </w:rPr>
                              <w:t>保护修复</w:t>
                            </w:r>
                            <w:r>
                              <w:rPr>
                                <w:rFonts w:ascii="宋体" w:hAnsi="宋体" w:cs="宋体"/>
                                <w:sz w:val="24"/>
                                <w:szCs w:val="24"/>
                              </w:rPr>
                              <w:t>工程。</w:t>
                            </w:r>
                          </w:p>
                          <w:p w14:paraId="290BED39">
                            <w:pPr>
                              <w:spacing w:line="360" w:lineRule="exact"/>
                              <w:ind w:right="23" w:firstLine="120" w:firstLineChars="50"/>
                              <w:rPr>
                                <w:rFonts w:ascii="宋体" w:hAnsi="宋体" w:cs="Microsoft JhengHei"/>
                                <w:b/>
                                <w:bCs/>
                                <w:sz w:val="24"/>
                                <w:szCs w:val="24"/>
                              </w:rPr>
                            </w:pPr>
                            <w:r>
                              <w:rPr>
                                <w:rFonts w:hint="eastAsia" w:ascii="宋体" w:hAnsi="宋体" w:cs="Times New Roman"/>
                                <w:b/>
                                <w:bCs/>
                                <w:sz w:val="24"/>
                                <w:szCs w:val="24"/>
                              </w:rPr>
                              <w:t>2</w:t>
                            </w:r>
                            <w:r>
                              <w:rPr>
                                <w:rFonts w:hint="eastAsia" w:ascii="宋体" w:hAnsi="宋体" w:cs="Microsoft JhengHei"/>
                                <w:b/>
                                <w:bCs/>
                                <w:spacing w:val="2"/>
                                <w:sz w:val="24"/>
                                <w:szCs w:val="24"/>
                              </w:rPr>
                              <w:t>.</w:t>
                            </w:r>
                            <w:r>
                              <w:rPr>
                                <w:rFonts w:ascii="宋体" w:hAnsi="宋体" w:cs="Microsoft JhengHei"/>
                                <w:b/>
                                <w:bCs/>
                                <w:spacing w:val="2"/>
                                <w:sz w:val="24"/>
                                <w:szCs w:val="24"/>
                              </w:rPr>
                              <w:t>深</w:t>
                            </w:r>
                            <w:r>
                              <w:rPr>
                                <w:rFonts w:ascii="宋体" w:hAnsi="宋体" w:cs="Microsoft JhengHei"/>
                                <w:b/>
                                <w:bCs/>
                                <w:sz w:val="24"/>
                                <w:szCs w:val="24"/>
                              </w:rPr>
                              <w:t>化</w:t>
                            </w:r>
                            <w:r>
                              <w:rPr>
                                <w:rFonts w:ascii="宋体" w:hAnsi="宋体" w:cs="Microsoft JhengHei"/>
                                <w:b/>
                                <w:bCs/>
                                <w:spacing w:val="2"/>
                                <w:sz w:val="24"/>
                                <w:szCs w:val="24"/>
                              </w:rPr>
                              <w:t>水</w:t>
                            </w:r>
                            <w:r>
                              <w:rPr>
                                <w:rFonts w:ascii="宋体" w:hAnsi="宋体" w:cs="Microsoft JhengHei"/>
                                <w:b/>
                                <w:bCs/>
                                <w:sz w:val="24"/>
                                <w:szCs w:val="24"/>
                              </w:rPr>
                              <w:t>土流</w:t>
                            </w:r>
                            <w:r>
                              <w:rPr>
                                <w:rFonts w:ascii="宋体" w:hAnsi="宋体" w:cs="Microsoft JhengHei"/>
                                <w:b/>
                                <w:bCs/>
                                <w:spacing w:val="2"/>
                                <w:sz w:val="24"/>
                                <w:szCs w:val="24"/>
                              </w:rPr>
                              <w:t>失</w:t>
                            </w:r>
                            <w:r>
                              <w:rPr>
                                <w:rFonts w:ascii="宋体" w:hAnsi="宋体" w:cs="Microsoft JhengHei"/>
                                <w:b/>
                                <w:bCs/>
                                <w:sz w:val="24"/>
                                <w:szCs w:val="24"/>
                              </w:rPr>
                              <w:t>治理</w:t>
                            </w:r>
                          </w:p>
                          <w:p w14:paraId="635BAFF9">
                            <w:pPr>
                              <w:pStyle w:val="53"/>
                              <w:spacing w:line="360" w:lineRule="exact"/>
                              <w:ind w:left="0" w:right="23" w:firstLine="120" w:firstLineChars="50"/>
                              <w:rPr>
                                <w:rFonts w:ascii="宋体" w:hAnsi="宋体" w:cs="宋体"/>
                                <w:sz w:val="24"/>
                                <w:szCs w:val="24"/>
                              </w:rPr>
                            </w:pPr>
                            <w:r>
                              <w:rPr>
                                <w:rFonts w:hint="eastAsia" w:ascii="宋体" w:hAnsi="宋体" w:cs="宋体"/>
                                <w:sz w:val="24"/>
                                <w:szCs w:val="24"/>
                              </w:rPr>
                              <w:t>推进长汀县国家级</w:t>
                            </w:r>
                            <w:r>
                              <w:rPr>
                                <w:rFonts w:ascii="宋体" w:hAnsi="宋体" w:cs="宋体"/>
                                <w:sz w:val="24"/>
                                <w:szCs w:val="24"/>
                              </w:rPr>
                              <w:t>、省级水土流失综合治理</w:t>
                            </w:r>
                            <w:r>
                              <w:rPr>
                                <w:rFonts w:hint="eastAsia" w:ascii="宋体" w:hAnsi="宋体" w:cs="宋体"/>
                                <w:sz w:val="24"/>
                                <w:szCs w:val="24"/>
                              </w:rPr>
                              <w:t>项目。</w:t>
                            </w:r>
                            <w:r>
                              <w:rPr>
                                <w:rFonts w:ascii="宋体" w:hAnsi="宋体" w:cs="宋体"/>
                                <w:sz w:val="24"/>
                                <w:szCs w:val="24"/>
                              </w:rPr>
                              <w:t xml:space="preserve"> </w:t>
                            </w:r>
                          </w:p>
                          <w:p w14:paraId="49714C87">
                            <w:pPr>
                              <w:spacing w:line="360" w:lineRule="exact"/>
                              <w:ind w:left="103" w:right="23"/>
                              <w:rPr>
                                <w:rFonts w:ascii="宋体" w:hAnsi="宋体" w:cs="Microsoft JhengHei"/>
                                <w:b/>
                                <w:bCs/>
                                <w:sz w:val="24"/>
                                <w:szCs w:val="24"/>
                              </w:rPr>
                            </w:pPr>
                            <w:r>
                              <w:rPr>
                                <w:rFonts w:ascii="宋体" w:hAnsi="宋体" w:cs="Times New Roman"/>
                                <w:b/>
                                <w:bCs/>
                                <w:sz w:val="24"/>
                                <w:szCs w:val="24"/>
                              </w:rPr>
                              <w:t>3</w:t>
                            </w:r>
                            <w:r>
                              <w:rPr>
                                <w:rFonts w:ascii="宋体" w:hAnsi="宋体" w:cs="Times New Roman"/>
                                <w:b/>
                                <w:bCs/>
                                <w:spacing w:val="-1"/>
                                <w:sz w:val="24"/>
                                <w:szCs w:val="24"/>
                              </w:rPr>
                              <w:t>.</w:t>
                            </w:r>
                            <w:r>
                              <w:rPr>
                                <w:rFonts w:ascii="宋体" w:hAnsi="宋体" w:cs="Microsoft JhengHei"/>
                                <w:b/>
                                <w:bCs/>
                                <w:spacing w:val="2"/>
                                <w:sz w:val="24"/>
                                <w:szCs w:val="24"/>
                              </w:rPr>
                              <w:t>持</w:t>
                            </w:r>
                            <w:r>
                              <w:rPr>
                                <w:rFonts w:ascii="宋体" w:hAnsi="宋体" w:cs="Microsoft JhengHei"/>
                                <w:b/>
                                <w:bCs/>
                                <w:sz w:val="24"/>
                                <w:szCs w:val="24"/>
                              </w:rPr>
                              <w:t>续</w:t>
                            </w:r>
                            <w:r>
                              <w:rPr>
                                <w:rFonts w:ascii="宋体" w:hAnsi="宋体" w:cs="Microsoft JhengHei"/>
                                <w:b/>
                                <w:bCs/>
                                <w:spacing w:val="2"/>
                                <w:sz w:val="24"/>
                                <w:szCs w:val="24"/>
                              </w:rPr>
                              <w:t>推</w:t>
                            </w:r>
                            <w:r>
                              <w:rPr>
                                <w:rFonts w:ascii="宋体" w:hAnsi="宋体" w:cs="Microsoft JhengHei"/>
                                <w:b/>
                                <w:bCs/>
                                <w:sz w:val="24"/>
                                <w:szCs w:val="24"/>
                              </w:rPr>
                              <w:t>进小</w:t>
                            </w:r>
                            <w:r>
                              <w:rPr>
                                <w:rFonts w:ascii="宋体" w:hAnsi="宋体" w:cs="Microsoft JhengHei"/>
                                <w:b/>
                                <w:bCs/>
                                <w:spacing w:val="2"/>
                                <w:sz w:val="24"/>
                                <w:szCs w:val="24"/>
                              </w:rPr>
                              <w:t>水</w:t>
                            </w:r>
                            <w:r>
                              <w:rPr>
                                <w:rFonts w:ascii="宋体" w:hAnsi="宋体" w:cs="Microsoft JhengHei"/>
                                <w:b/>
                                <w:bCs/>
                                <w:sz w:val="24"/>
                                <w:szCs w:val="24"/>
                              </w:rPr>
                              <w:t>电</w:t>
                            </w:r>
                            <w:r>
                              <w:rPr>
                                <w:rFonts w:ascii="宋体" w:hAnsi="宋体" w:cs="Microsoft JhengHei"/>
                                <w:b/>
                                <w:bCs/>
                                <w:spacing w:val="2"/>
                                <w:sz w:val="24"/>
                                <w:szCs w:val="24"/>
                              </w:rPr>
                              <w:t>绿</w:t>
                            </w:r>
                            <w:r>
                              <w:rPr>
                                <w:rFonts w:ascii="宋体" w:hAnsi="宋体" w:cs="Microsoft JhengHei"/>
                                <w:b/>
                                <w:bCs/>
                                <w:sz w:val="24"/>
                                <w:szCs w:val="24"/>
                              </w:rPr>
                              <w:t>色</w:t>
                            </w:r>
                            <w:r>
                              <w:rPr>
                                <w:rFonts w:ascii="宋体" w:hAnsi="宋体" w:cs="Microsoft JhengHei"/>
                                <w:b/>
                                <w:bCs/>
                                <w:spacing w:val="2"/>
                                <w:sz w:val="24"/>
                                <w:szCs w:val="24"/>
                              </w:rPr>
                              <w:t>改</w:t>
                            </w:r>
                            <w:r>
                              <w:rPr>
                                <w:rFonts w:ascii="宋体" w:hAnsi="宋体" w:cs="Microsoft JhengHei"/>
                                <w:b/>
                                <w:bCs/>
                                <w:sz w:val="24"/>
                                <w:szCs w:val="24"/>
                              </w:rPr>
                              <w:t>造</w:t>
                            </w:r>
                            <w:r>
                              <w:rPr>
                                <w:rFonts w:ascii="宋体" w:hAnsi="宋体" w:cs="Microsoft JhengHei"/>
                                <w:b/>
                                <w:bCs/>
                                <w:spacing w:val="2"/>
                                <w:sz w:val="24"/>
                                <w:szCs w:val="24"/>
                              </w:rPr>
                              <w:t>和</w:t>
                            </w:r>
                            <w:r>
                              <w:rPr>
                                <w:rFonts w:ascii="宋体" w:hAnsi="宋体" w:cs="Microsoft JhengHei"/>
                                <w:b/>
                                <w:bCs/>
                                <w:sz w:val="24"/>
                                <w:szCs w:val="24"/>
                              </w:rPr>
                              <w:t>现代</w:t>
                            </w:r>
                            <w:r>
                              <w:rPr>
                                <w:rFonts w:ascii="宋体" w:hAnsi="宋体" w:cs="Microsoft JhengHei"/>
                                <w:b/>
                                <w:bCs/>
                                <w:spacing w:val="2"/>
                                <w:sz w:val="24"/>
                                <w:szCs w:val="24"/>
                              </w:rPr>
                              <w:t>化</w:t>
                            </w:r>
                            <w:r>
                              <w:rPr>
                                <w:rFonts w:ascii="宋体" w:hAnsi="宋体" w:cs="Microsoft JhengHei"/>
                                <w:b/>
                                <w:bCs/>
                                <w:sz w:val="24"/>
                                <w:szCs w:val="24"/>
                              </w:rPr>
                              <w:t xml:space="preserve">提升 </w:t>
                            </w:r>
                          </w:p>
                          <w:p w14:paraId="4F7ADBA4">
                            <w:pPr>
                              <w:spacing w:line="360" w:lineRule="exact"/>
                              <w:ind w:left="103" w:right="23"/>
                              <w:rPr>
                                <w:rFonts w:ascii="宋体" w:hAnsi="宋体" w:cs="宋体"/>
                                <w:sz w:val="24"/>
                                <w:szCs w:val="24"/>
                              </w:rPr>
                            </w:pPr>
                            <w:r>
                              <w:rPr>
                                <w:rFonts w:ascii="宋体" w:hAnsi="宋体" w:cs="宋体"/>
                                <w:sz w:val="24"/>
                                <w:szCs w:val="24"/>
                              </w:rPr>
                              <w:t>推进</w:t>
                            </w:r>
                            <w:r>
                              <w:rPr>
                                <w:rFonts w:hint="eastAsia" w:ascii="宋体" w:hAnsi="宋体" w:cs="宋体"/>
                                <w:sz w:val="24"/>
                                <w:szCs w:val="24"/>
                              </w:rPr>
                              <w:t>长汀县</w:t>
                            </w:r>
                            <w:r>
                              <w:rPr>
                                <w:rFonts w:ascii="宋体" w:hAnsi="宋体" w:cs="宋体"/>
                                <w:sz w:val="24"/>
                                <w:szCs w:val="24"/>
                              </w:rPr>
                              <w:t xml:space="preserve">小水电绿色改造和现代化提升项目。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pt;margin-top:28.8pt;height:120.6pt;width:414.95pt;mso-wrap-distance-left:9pt;mso-wrap-distance-right:9pt;z-index:-251657216;mso-width-relative:page;mso-height-relative:page;" filled="f" stroked="t" coordsize="21600,21600" wrapcoords="0 0 0 21493 21629 21493 21629 0 0 0" o:gfxdata="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9k34q1gAAAAgBAAAPAAAAAAAAAAEAIAAAACIAAABkcnMvZG93bnJldi54&#10;bWxQSwECFAAUAAAACACHTuJAZLrkVzUCAABPBAAADgAAAAAAAAABACAAAAAlAQAAZHJzL2Uyb0Rv&#10;Yy54bWxQSwUGAAAAAAYABgBZAQAAzAUAAAAA&#10;">
                <v:fill on="f" focussize="0,0"/>
                <v:stroke weight="0.48pt" color="#000000" miterlimit="8" joinstyle="miter"/>
                <v:imagedata o:title=""/>
                <o:lock v:ext="edit" aspectratio="f"/>
                <v:textbox inset="0mm,0mm,0mm,0mm">
                  <w:txbxContent>
                    <w:p w14:paraId="7A8A426C">
                      <w:pPr>
                        <w:pStyle w:val="53"/>
                        <w:numPr>
                          <w:ilvl w:val="0"/>
                          <w:numId w:val="3"/>
                        </w:numPr>
                        <w:spacing w:line="360" w:lineRule="exact"/>
                        <w:ind w:right="23"/>
                        <w:jc w:val="left"/>
                        <w:rPr>
                          <w:rFonts w:ascii="宋体" w:hAnsi="宋体" w:cs="Microsoft JhengHei"/>
                          <w:b/>
                          <w:bCs/>
                          <w:sz w:val="24"/>
                          <w:szCs w:val="24"/>
                        </w:rPr>
                      </w:pPr>
                      <w:r>
                        <w:rPr>
                          <w:rFonts w:ascii="宋体" w:hAnsi="宋体" w:cs="Microsoft JhengHei"/>
                          <w:b/>
                          <w:bCs/>
                          <w:spacing w:val="2"/>
                          <w:sz w:val="24"/>
                          <w:szCs w:val="24"/>
                        </w:rPr>
                        <w:t>重</w:t>
                      </w:r>
                      <w:r>
                        <w:rPr>
                          <w:rFonts w:ascii="宋体" w:hAnsi="宋体" w:cs="Microsoft JhengHei"/>
                          <w:b/>
                          <w:bCs/>
                          <w:sz w:val="24"/>
                          <w:szCs w:val="24"/>
                        </w:rPr>
                        <w:t>点</w:t>
                      </w:r>
                      <w:r>
                        <w:rPr>
                          <w:rFonts w:ascii="宋体" w:hAnsi="宋体" w:cs="Microsoft JhengHei"/>
                          <w:b/>
                          <w:bCs/>
                          <w:spacing w:val="2"/>
                          <w:sz w:val="24"/>
                          <w:szCs w:val="24"/>
                        </w:rPr>
                        <w:t>河</w:t>
                      </w:r>
                      <w:r>
                        <w:rPr>
                          <w:rFonts w:ascii="宋体" w:hAnsi="宋体" w:cs="Microsoft JhengHei"/>
                          <w:b/>
                          <w:bCs/>
                          <w:sz w:val="24"/>
                          <w:szCs w:val="24"/>
                        </w:rPr>
                        <w:t>段水</w:t>
                      </w:r>
                      <w:r>
                        <w:rPr>
                          <w:rFonts w:ascii="宋体" w:hAnsi="宋体" w:cs="Microsoft JhengHei"/>
                          <w:b/>
                          <w:bCs/>
                          <w:spacing w:val="2"/>
                          <w:sz w:val="24"/>
                          <w:szCs w:val="24"/>
                        </w:rPr>
                        <w:t>生</w:t>
                      </w:r>
                      <w:r>
                        <w:rPr>
                          <w:rFonts w:ascii="宋体" w:hAnsi="宋体" w:cs="Microsoft JhengHei"/>
                          <w:b/>
                          <w:bCs/>
                          <w:sz w:val="24"/>
                          <w:szCs w:val="24"/>
                        </w:rPr>
                        <w:t>态</w:t>
                      </w:r>
                      <w:r>
                        <w:rPr>
                          <w:rFonts w:ascii="宋体" w:hAnsi="宋体" w:cs="Microsoft JhengHei"/>
                          <w:b/>
                          <w:bCs/>
                          <w:spacing w:val="2"/>
                          <w:sz w:val="24"/>
                          <w:szCs w:val="24"/>
                        </w:rPr>
                        <w:t>修</w:t>
                      </w:r>
                      <w:r>
                        <w:rPr>
                          <w:rFonts w:ascii="宋体" w:hAnsi="宋体" w:cs="Microsoft JhengHei"/>
                          <w:b/>
                          <w:bCs/>
                          <w:sz w:val="24"/>
                          <w:szCs w:val="24"/>
                        </w:rPr>
                        <w:t>复</w:t>
                      </w:r>
                      <w:r>
                        <w:rPr>
                          <w:rFonts w:ascii="宋体" w:hAnsi="宋体" w:cs="Microsoft JhengHei"/>
                          <w:b/>
                          <w:bCs/>
                          <w:spacing w:val="2"/>
                          <w:sz w:val="24"/>
                          <w:szCs w:val="24"/>
                        </w:rPr>
                        <w:t>与</w:t>
                      </w:r>
                      <w:r>
                        <w:rPr>
                          <w:rFonts w:ascii="宋体" w:hAnsi="宋体" w:cs="Microsoft JhengHei"/>
                          <w:b/>
                          <w:bCs/>
                          <w:sz w:val="24"/>
                          <w:szCs w:val="24"/>
                        </w:rPr>
                        <w:t xml:space="preserve">治理 </w:t>
                      </w:r>
                    </w:p>
                    <w:p w14:paraId="1666085E">
                      <w:pPr>
                        <w:pStyle w:val="53"/>
                        <w:spacing w:line="360" w:lineRule="exact"/>
                        <w:ind w:left="0" w:right="23" w:firstLine="120" w:firstLineChars="50"/>
                        <w:jc w:val="left"/>
                        <w:rPr>
                          <w:rFonts w:ascii="宋体" w:hAnsi="宋体" w:cs="宋体"/>
                          <w:sz w:val="24"/>
                          <w:szCs w:val="24"/>
                        </w:rPr>
                      </w:pPr>
                      <w:r>
                        <w:rPr>
                          <w:rFonts w:ascii="宋体" w:hAnsi="宋体" w:cs="宋体"/>
                          <w:sz w:val="24"/>
                          <w:szCs w:val="24"/>
                        </w:rPr>
                        <w:t>推进汀江流域</w:t>
                      </w:r>
                      <w:r>
                        <w:rPr>
                          <w:rFonts w:hint="eastAsia" w:ascii="宋体" w:hAnsi="宋体" w:cs="宋体"/>
                          <w:sz w:val="24"/>
                          <w:szCs w:val="24"/>
                        </w:rPr>
                        <w:t>（长汀段）</w:t>
                      </w:r>
                      <w:r>
                        <w:rPr>
                          <w:rFonts w:ascii="宋体" w:hAnsi="宋体" w:cs="宋体"/>
                          <w:sz w:val="24"/>
                          <w:szCs w:val="24"/>
                        </w:rPr>
                        <w:t>水生态</w:t>
                      </w:r>
                      <w:r>
                        <w:rPr>
                          <w:rFonts w:hint="eastAsia" w:ascii="宋体" w:hAnsi="宋体" w:cs="宋体"/>
                          <w:sz w:val="24"/>
                          <w:szCs w:val="24"/>
                        </w:rPr>
                        <w:t>保护修复</w:t>
                      </w:r>
                      <w:r>
                        <w:rPr>
                          <w:rFonts w:ascii="宋体" w:hAnsi="宋体" w:cs="宋体"/>
                          <w:sz w:val="24"/>
                          <w:szCs w:val="24"/>
                        </w:rPr>
                        <w:t>工程。</w:t>
                      </w:r>
                    </w:p>
                    <w:p w14:paraId="290BED39">
                      <w:pPr>
                        <w:spacing w:line="360" w:lineRule="exact"/>
                        <w:ind w:right="23" w:firstLine="120" w:firstLineChars="50"/>
                        <w:rPr>
                          <w:rFonts w:ascii="宋体" w:hAnsi="宋体" w:cs="Microsoft JhengHei"/>
                          <w:b/>
                          <w:bCs/>
                          <w:sz w:val="24"/>
                          <w:szCs w:val="24"/>
                        </w:rPr>
                      </w:pPr>
                      <w:r>
                        <w:rPr>
                          <w:rFonts w:hint="eastAsia" w:ascii="宋体" w:hAnsi="宋体" w:cs="Times New Roman"/>
                          <w:b/>
                          <w:bCs/>
                          <w:sz w:val="24"/>
                          <w:szCs w:val="24"/>
                        </w:rPr>
                        <w:t>2</w:t>
                      </w:r>
                      <w:r>
                        <w:rPr>
                          <w:rFonts w:hint="eastAsia" w:ascii="宋体" w:hAnsi="宋体" w:cs="Microsoft JhengHei"/>
                          <w:b/>
                          <w:bCs/>
                          <w:spacing w:val="2"/>
                          <w:sz w:val="24"/>
                          <w:szCs w:val="24"/>
                        </w:rPr>
                        <w:t>.</w:t>
                      </w:r>
                      <w:r>
                        <w:rPr>
                          <w:rFonts w:ascii="宋体" w:hAnsi="宋体" w:cs="Microsoft JhengHei"/>
                          <w:b/>
                          <w:bCs/>
                          <w:spacing w:val="2"/>
                          <w:sz w:val="24"/>
                          <w:szCs w:val="24"/>
                        </w:rPr>
                        <w:t>深</w:t>
                      </w:r>
                      <w:r>
                        <w:rPr>
                          <w:rFonts w:ascii="宋体" w:hAnsi="宋体" w:cs="Microsoft JhengHei"/>
                          <w:b/>
                          <w:bCs/>
                          <w:sz w:val="24"/>
                          <w:szCs w:val="24"/>
                        </w:rPr>
                        <w:t>化</w:t>
                      </w:r>
                      <w:r>
                        <w:rPr>
                          <w:rFonts w:ascii="宋体" w:hAnsi="宋体" w:cs="Microsoft JhengHei"/>
                          <w:b/>
                          <w:bCs/>
                          <w:spacing w:val="2"/>
                          <w:sz w:val="24"/>
                          <w:szCs w:val="24"/>
                        </w:rPr>
                        <w:t>水</w:t>
                      </w:r>
                      <w:r>
                        <w:rPr>
                          <w:rFonts w:ascii="宋体" w:hAnsi="宋体" w:cs="Microsoft JhengHei"/>
                          <w:b/>
                          <w:bCs/>
                          <w:sz w:val="24"/>
                          <w:szCs w:val="24"/>
                        </w:rPr>
                        <w:t>土流</w:t>
                      </w:r>
                      <w:r>
                        <w:rPr>
                          <w:rFonts w:ascii="宋体" w:hAnsi="宋体" w:cs="Microsoft JhengHei"/>
                          <w:b/>
                          <w:bCs/>
                          <w:spacing w:val="2"/>
                          <w:sz w:val="24"/>
                          <w:szCs w:val="24"/>
                        </w:rPr>
                        <w:t>失</w:t>
                      </w:r>
                      <w:r>
                        <w:rPr>
                          <w:rFonts w:ascii="宋体" w:hAnsi="宋体" w:cs="Microsoft JhengHei"/>
                          <w:b/>
                          <w:bCs/>
                          <w:sz w:val="24"/>
                          <w:szCs w:val="24"/>
                        </w:rPr>
                        <w:t>治理</w:t>
                      </w:r>
                    </w:p>
                    <w:p w14:paraId="635BAFF9">
                      <w:pPr>
                        <w:pStyle w:val="53"/>
                        <w:spacing w:line="360" w:lineRule="exact"/>
                        <w:ind w:left="0" w:right="23" w:firstLine="120" w:firstLineChars="50"/>
                        <w:rPr>
                          <w:rFonts w:ascii="宋体" w:hAnsi="宋体" w:cs="宋体"/>
                          <w:sz w:val="24"/>
                          <w:szCs w:val="24"/>
                        </w:rPr>
                      </w:pPr>
                      <w:r>
                        <w:rPr>
                          <w:rFonts w:hint="eastAsia" w:ascii="宋体" w:hAnsi="宋体" w:cs="宋体"/>
                          <w:sz w:val="24"/>
                          <w:szCs w:val="24"/>
                        </w:rPr>
                        <w:t>推进长汀县国家级</w:t>
                      </w:r>
                      <w:r>
                        <w:rPr>
                          <w:rFonts w:ascii="宋体" w:hAnsi="宋体" w:cs="宋体"/>
                          <w:sz w:val="24"/>
                          <w:szCs w:val="24"/>
                        </w:rPr>
                        <w:t>、省级水土流失综合治理</w:t>
                      </w:r>
                      <w:r>
                        <w:rPr>
                          <w:rFonts w:hint="eastAsia" w:ascii="宋体" w:hAnsi="宋体" w:cs="宋体"/>
                          <w:sz w:val="24"/>
                          <w:szCs w:val="24"/>
                        </w:rPr>
                        <w:t>项目。</w:t>
                      </w:r>
                      <w:r>
                        <w:rPr>
                          <w:rFonts w:ascii="宋体" w:hAnsi="宋体" w:cs="宋体"/>
                          <w:sz w:val="24"/>
                          <w:szCs w:val="24"/>
                        </w:rPr>
                        <w:t xml:space="preserve"> </w:t>
                      </w:r>
                    </w:p>
                    <w:p w14:paraId="49714C87">
                      <w:pPr>
                        <w:spacing w:line="360" w:lineRule="exact"/>
                        <w:ind w:left="103" w:right="23"/>
                        <w:rPr>
                          <w:rFonts w:ascii="宋体" w:hAnsi="宋体" w:cs="Microsoft JhengHei"/>
                          <w:b/>
                          <w:bCs/>
                          <w:sz w:val="24"/>
                          <w:szCs w:val="24"/>
                        </w:rPr>
                      </w:pPr>
                      <w:r>
                        <w:rPr>
                          <w:rFonts w:ascii="宋体" w:hAnsi="宋体" w:cs="Times New Roman"/>
                          <w:b/>
                          <w:bCs/>
                          <w:sz w:val="24"/>
                          <w:szCs w:val="24"/>
                        </w:rPr>
                        <w:t>3</w:t>
                      </w:r>
                      <w:r>
                        <w:rPr>
                          <w:rFonts w:ascii="宋体" w:hAnsi="宋体" w:cs="Times New Roman"/>
                          <w:b/>
                          <w:bCs/>
                          <w:spacing w:val="-1"/>
                          <w:sz w:val="24"/>
                          <w:szCs w:val="24"/>
                        </w:rPr>
                        <w:t>.</w:t>
                      </w:r>
                      <w:r>
                        <w:rPr>
                          <w:rFonts w:ascii="宋体" w:hAnsi="宋体" w:cs="Microsoft JhengHei"/>
                          <w:b/>
                          <w:bCs/>
                          <w:spacing w:val="2"/>
                          <w:sz w:val="24"/>
                          <w:szCs w:val="24"/>
                        </w:rPr>
                        <w:t>持</w:t>
                      </w:r>
                      <w:r>
                        <w:rPr>
                          <w:rFonts w:ascii="宋体" w:hAnsi="宋体" w:cs="Microsoft JhengHei"/>
                          <w:b/>
                          <w:bCs/>
                          <w:sz w:val="24"/>
                          <w:szCs w:val="24"/>
                        </w:rPr>
                        <w:t>续</w:t>
                      </w:r>
                      <w:r>
                        <w:rPr>
                          <w:rFonts w:ascii="宋体" w:hAnsi="宋体" w:cs="Microsoft JhengHei"/>
                          <w:b/>
                          <w:bCs/>
                          <w:spacing w:val="2"/>
                          <w:sz w:val="24"/>
                          <w:szCs w:val="24"/>
                        </w:rPr>
                        <w:t>推</w:t>
                      </w:r>
                      <w:r>
                        <w:rPr>
                          <w:rFonts w:ascii="宋体" w:hAnsi="宋体" w:cs="Microsoft JhengHei"/>
                          <w:b/>
                          <w:bCs/>
                          <w:sz w:val="24"/>
                          <w:szCs w:val="24"/>
                        </w:rPr>
                        <w:t>进小</w:t>
                      </w:r>
                      <w:r>
                        <w:rPr>
                          <w:rFonts w:ascii="宋体" w:hAnsi="宋体" w:cs="Microsoft JhengHei"/>
                          <w:b/>
                          <w:bCs/>
                          <w:spacing w:val="2"/>
                          <w:sz w:val="24"/>
                          <w:szCs w:val="24"/>
                        </w:rPr>
                        <w:t>水</w:t>
                      </w:r>
                      <w:r>
                        <w:rPr>
                          <w:rFonts w:ascii="宋体" w:hAnsi="宋体" w:cs="Microsoft JhengHei"/>
                          <w:b/>
                          <w:bCs/>
                          <w:sz w:val="24"/>
                          <w:szCs w:val="24"/>
                        </w:rPr>
                        <w:t>电</w:t>
                      </w:r>
                      <w:r>
                        <w:rPr>
                          <w:rFonts w:ascii="宋体" w:hAnsi="宋体" w:cs="Microsoft JhengHei"/>
                          <w:b/>
                          <w:bCs/>
                          <w:spacing w:val="2"/>
                          <w:sz w:val="24"/>
                          <w:szCs w:val="24"/>
                        </w:rPr>
                        <w:t>绿</w:t>
                      </w:r>
                      <w:r>
                        <w:rPr>
                          <w:rFonts w:ascii="宋体" w:hAnsi="宋体" w:cs="Microsoft JhengHei"/>
                          <w:b/>
                          <w:bCs/>
                          <w:sz w:val="24"/>
                          <w:szCs w:val="24"/>
                        </w:rPr>
                        <w:t>色</w:t>
                      </w:r>
                      <w:r>
                        <w:rPr>
                          <w:rFonts w:ascii="宋体" w:hAnsi="宋体" w:cs="Microsoft JhengHei"/>
                          <w:b/>
                          <w:bCs/>
                          <w:spacing w:val="2"/>
                          <w:sz w:val="24"/>
                          <w:szCs w:val="24"/>
                        </w:rPr>
                        <w:t>改</w:t>
                      </w:r>
                      <w:r>
                        <w:rPr>
                          <w:rFonts w:ascii="宋体" w:hAnsi="宋体" w:cs="Microsoft JhengHei"/>
                          <w:b/>
                          <w:bCs/>
                          <w:sz w:val="24"/>
                          <w:szCs w:val="24"/>
                        </w:rPr>
                        <w:t>造</w:t>
                      </w:r>
                      <w:r>
                        <w:rPr>
                          <w:rFonts w:ascii="宋体" w:hAnsi="宋体" w:cs="Microsoft JhengHei"/>
                          <w:b/>
                          <w:bCs/>
                          <w:spacing w:val="2"/>
                          <w:sz w:val="24"/>
                          <w:szCs w:val="24"/>
                        </w:rPr>
                        <w:t>和</w:t>
                      </w:r>
                      <w:r>
                        <w:rPr>
                          <w:rFonts w:ascii="宋体" w:hAnsi="宋体" w:cs="Microsoft JhengHei"/>
                          <w:b/>
                          <w:bCs/>
                          <w:sz w:val="24"/>
                          <w:szCs w:val="24"/>
                        </w:rPr>
                        <w:t>现代</w:t>
                      </w:r>
                      <w:r>
                        <w:rPr>
                          <w:rFonts w:ascii="宋体" w:hAnsi="宋体" w:cs="Microsoft JhengHei"/>
                          <w:b/>
                          <w:bCs/>
                          <w:spacing w:val="2"/>
                          <w:sz w:val="24"/>
                          <w:szCs w:val="24"/>
                        </w:rPr>
                        <w:t>化</w:t>
                      </w:r>
                      <w:r>
                        <w:rPr>
                          <w:rFonts w:ascii="宋体" w:hAnsi="宋体" w:cs="Microsoft JhengHei"/>
                          <w:b/>
                          <w:bCs/>
                          <w:sz w:val="24"/>
                          <w:szCs w:val="24"/>
                        </w:rPr>
                        <w:t xml:space="preserve">提升 </w:t>
                      </w:r>
                    </w:p>
                    <w:p w14:paraId="4F7ADBA4">
                      <w:pPr>
                        <w:spacing w:line="360" w:lineRule="exact"/>
                        <w:ind w:left="103" w:right="23"/>
                        <w:rPr>
                          <w:rFonts w:ascii="宋体" w:hAnsi="宋体" w:cs="宋体"/>
                          <w:sz w:val="24"/>
                          <w:szCs w:val="24"/>
                        </w:rPr>
                      </w:pPr>
                      <w:r>
                        <w:rPr>
                          <w:rFonts w:ascii="宋体" w:hAnsi="宋体" w:cs="宋体"/>
                          <w:sz w:val="24"/>
                          <w:szCs w:val="24"/>
                        </w:rPr>
                        <w:t>推进</w:t>
                      </w:r>
                      <w:r>
                        <w:rPr>
                          <w:rFonts w:hint="eastAsia" w:ascii="宋体" w:hAnsi="宋体" w:cs="宋体"/>
                          <w:sz w:val="24"/>
                          <w:szCs w:val="24"/>
                        </w:rPr>
                        <w:t>长汀县</w:t>
                      </w:r>
                      <w:r>
                        <w:rPr>
                          <w:rFonts w:ascii="宋体" w:hAnsi="宋体" w:cs="宋体"/>
                          <w:sz w:val="24"/>
                          <w:szCs w:val="24"/>
                        </w:rPr>
                        <w:t xml:space="preserve">小水电绿色改造和现代化提升项目。 </w:t>
                      </w:r>
                    </w:p>
                  </w:txbxContent>
                </v:textbox>
                <w10:wrap type="tight"/>
              </v:shape>
            </w:pict>
          </mc:Fallback>
        </mc:AlternateContent>
      </w:r>
      <w:r>
        <w:rPr>
          <w:rFonts w:ascii="宋体" w:hAnsi="宋体" w:cs="Microsoft JhengHei"/>
          <w:b/>
          <w:bCs/>
          <w:sz w:val="30"/>
          <w:szCs w:val="30"/>
        </w:rPr>
        <w:t>专栏5-3</w:t>
      </w:r>
      <w:r>
        <w:rPr>
          <w:rFonts w:hint="eastAsia" w:ascii="宋体" w:hAnsi="宋体" w:cs="Microsoft JhengHei"/>
          <w:b/>
          <w:bCs/>
          <w:sz w:val="30"/>
          <w:szCs w:val="30"/>
        </w:rPr>
        <w:t xml:space="preserve">        长汀县</w:t>
      </w:r>
      <w:r>
        <w:rPr>
          <w:rFonts w:ascii="宋体" w:hAnsi="宋体" w:cs="Microsoft JhengHei"/>
          <w:b/>
          <w:bCs/>
          <w:sz w:val="30"/>
          <w:szCs w:val="30"/>
        </w:rPr>
        <w:t>水生态修复建设任务</w:t>
      </w:r>
    </w:p>
    <w:bookmarkEnd w:id="44"/>
    <w:p w14:paraId="5BF501BF">
      <w:pPr>
        <w:pStyle w:val="3"/>
        <w:numPr>
          <w:ilvl w:val="1"/>
          <w:numId w:val="2"/>
        </w:numPr>
        <w:rPr>
          <w:rFonts w:ascii="宋体" w:hAnsi="宋体"/>
          <w:color w:val="auto"/>
        </w:rPr>
      </w:pPr>
      <w:bookmarkStart w:id="46" w:name="_Toc216791702"/>
      <w:bookmarkStart w:id="47" w:name="_Hlk213081763"/>
      <w:r>
        <w:rPr>
          <w:rFonts w:hint="eastAsia" w:ascii="宋体" w:hAnsi="宋体"/>
          <w:color w:val="auto"/>
        </w:rPr>
        <w:t>文旅共生，绘就长汀革命苏区幸福画卷</w:t>
      </w:r>
      <w:bookmarkEnd w:id="46"/>
    </w:p>
    <w:p w14:paraId="2E102E59">
      <w:pPr>
        <w:ind w:firstLine="565" w:firstLineChars="202"/>
        <w:rPr>
          <w:rFonts w:ascii="宋体" w:hAnsi="宋体"/>
        </w:rPr>
      </w:pPr>
      <w:r>
        <w:rPr>
          <w:rFonts w:hint="eastAsia" w:ascii="宋体" w:hAnsi="宋体"/>
        </w:rPr>
        <w:t>依托优质的生态基础，围绕“安全、健康、生态、文化、</w:t>
      </w:r>
      <w:r>
        <w:rPr>
          <w:rFonts w:ascii="宋体" w:hAnsi="宋体"/>
        </w:rPr>
        <w:t>发展”这五大核心维度，系统性地推进汀江核心水系的综合治理工作，实现“河晏水清、景秀业兴、智治人和、文盛域强”的长汀幸福河湖建设目标，持续增强人民群众的获得感、幸福感与安全感。以幸福河湖建设为契机，推动水文化的宣传与建设，发展水经济，促进文化和旅游联动，描绘幸福图景。</w:t>
      </w:r>
    </w:p>
    <w:bookmarkEnd w:id="47"/>
    <w:p w14:paraId="781FBF3E">
      <w:pPr>
        <w:pStyle w:val="4"/>
        <w:numPr>
          <w:ilvl w:val="2"/>
          <w:numId w:val="2"/>
        </w:numPr>
        <w:rPr>
          <w:rFonts w:ascii="宋体" w:hAnsi="宋体"/>
          <w:color w:val="auto"/>
        </w:rPr>
      </w:pPr>
      <w:r>
        <w:rPr>
          <w:rFonts w:hint="eastAsia" w:ascii="宋体" w:hAnsi="宋体"/>
          <w:color w:val="auto"/>
        </w:rPr>
        <w:t>拓宽幸福河湖建设</w:t>
      </w:r>
    </w:p>
    <w:p w14:paraId="5C7A7A63">
      <w:pPr>
        <w:ind w:firstLine="565" w:firstLineChars="202"/>
        <w:rPr>
          <w:rFonts w:ascii="宋体" w:hAnsi="宋体"/>
        </w:rPr>
      </w:pPr>
      <w:r>
        <w:rPr>
          <w:rFonts w:hint="eastAsia" w:ascii="宋体" w:hAnsi="宋体"/>
        </w:rPr>
        <w:t>为深入贯彻习近平生态文明思想以及习近平总书记关</w:t>
      </w:r>
      <w:r>
        <w:rPr>
          <w:rFonts w:ascii="宋体" w:hAnsi="宋体"/>
        </w:rPr>
        <w:t>于建设造福人民的幸福河的重要指示精神，全面落实水利部等六部委、水利部以及福建省有关幸福建设相关通知等文件要求，“十五五”期间</w:t>
      </w:r>
      <w:r>
        <w:rPr>
          <w:rFonts w:hint="eastAsia" w:ascii="宋体" w:hAnsi="宋体"/>
        </w:rPr>
        <w:t>长汀县</w:t>
      </w:r>
      <w:r>
        <w:rPr>
          <w:rFonts w:ascii="宋体" w:hAnsi="宋体"/>
        </w:rPr>
        <w:t>有序推进幸福河湖建设。</w:t>
      </w:r>
    </w:p>
    <w:p w14:paraId="704C8CA0">
      <w:pPr>
        <w:ind w:firstLine="565" w:firstLineChars="202"/>
        <w:rPr>
          <w:rFonts w:ascii="宋体" w:hAnsi="宋体"/>
        </w:rPr>
      </w:pPr>
      <w:r>
        <w:rPr>
          <w:rFonts w:ascii="宋体" w:hAnsi="宋体"/>
        </w:rPr>
        <w:t>依据《福建省全面建设八闽幸福河湖实施方案（2025—2030年）》和《龙岩市幸福河湖建设实施方案（2025—2030年）》，有条不紊地推进幸福河湖建设，尽量争取水利部幸福河湖建设项目。“十五五”期间，计划建成</w:t>
      </w:r>
      <w:r>
        <w:rPr>
          <w:rFonts w:hint="eastAsia" w:ascii="宋体" w:hAnsi="宋体"/>
        </w:rPr>
        <w:t>濯田河</w:t>
      </w:r>
      <w:r>
        <w:rPr>
          <w:rFonts w:ascii="宋体" w:hAnsi="宋体"/>
        </w:rPr>
        <w:t>幸福河湖建设项目，</w:t>
      </w:r>
      <w:r>
        <w:rPr>
          <w:rFonts w:hint="eastAsia" w:ascii="宋体" w:hAnsi="宋体"/>
        </w:rPr>
        <w:t>该项目</w:t>
      </w:r>
      <w:r>
        <w:rPr>
          <w:rFonts w:ascii="宋体" w:hAnsi="宋体"/>
        </w:rPr>
        <w:t>符合水利部幸福河湖建设项目申报条件河湖，积极申报水利部幸福河湖建设项目。</w:t>
      </w:r>
      <w:r>
        <w:rPr>
          <w:rFonts w:hint="eastAsia" w:ascii="宋体" w:hAnsi="宋体"/>
        </w:rPr>
        <w:t>并</w:t>
      </w:r>
      <w:r>
        <w:rPr>
          <w:rFonts w:ascii="宋体" w:hAnsi="宋体"/>
        </w:rPr>
        <w:t>同步</w:t>
      </w:r>
      <w:r>
        <w:rPr>
          <w:rFonts w:hint="eastAsia" w:ascii="宋体" w:hAnsi="宋体"/>
        </w:rPr>
        <w:t>推进南山河</w:t>
      </w:r>
      <w:r>
        <w:rPr>
          <w:rFonts w:ascii="宋体" w:hAnsi="宋体"/>
        </w:rPr>
        <w:t>、罗口溪、</w:t>
      </w:r>
      <w:r>
        <w:rPr>
          <w:rFonts w:hint="eastAsia" w:ascii="宋体" w:hAnsi="宋体"/>
        </w:rPr>
        <w:t>汀江</w:t>
      </w:r>
      <w:r>
        <w:rPr>
          <w:rFonts w:ascii="宋体" w:hAnsi="宋体"/>
        </w:rPr>
        <w:t>城区段幸福河湖建设项目。</w:t>
      </w:r>
    </w:p>
    <w:p w14:paraId="376F3303">
      <w:pPr>
        <w:tabs>
          <w:tab w:val="left" w:pos="3456"/>
        </w:tabs>
        <w:spacing w:line="406" w:lineRule="exact"/>
        <w:rPr>
          <w:rFonts w:ascii="宋体" w:hAnsi="宋体" w:cs="Microsoft JhengHei"/>
          <w:b/>
          <w:bCs/>
          <w:sz w:val="30"/>
          <w:szCs w:val="30"/>
        </w:rPr>
      </w:pPr>
      <w:r>
        <w:rPr>
          <w:rFonts w:ascii="宋体" w:hAnsi="宋体" w:cs="Microsoft JhengHei"/>
          <w:position w:val="-77"/>
          <w:sz w:val="20"/>
          <w:szCs w:val="20"/>
        </w:rPr>
        <mc:AlternateContent>
          <mc:Choice Requires="wps">
            <w:drawing>
              <wp:anchor distT="0" distB="0" distL="114300" distR="114300" simplePos="0" relativeHeight="251660288" behindDoc="1" locked="0" layoutInCell="1" allowOverlap="1">
                <wp:simplePos x="0" y="0"/>
                <wp:positionH relativeFrom="column">
                  <wp:posOffset>30480</wp:posOffset>
                </wp:positionH>
                <wp:positionV relativeFrom="paragraph">
                  <wp:posOffset>381000</wp:posOffset>
                </wp:positionV>
                <wp:extent cx="5266690" cy="784860"/>
                <wp:effectExtent l="0" t="0" r="10160" b="15240"/>
                <wp:wrapTopAndBottom/>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266690" cy="784860"/>
                        </a:xfrm>
                        <a:prstGeom prst="rect">
                          <a:avLst/>
                        </a:prstGeom>
                        <a:noFill/>
                        <a:ln w="6096">
                          <a:solidFill>
                            <a:srgbClr val="000000"/>
                          </a:solidFill>
                          <a:miter lim="800000"/>
                        </a:ln>
                      </wps:spPr>
                      <wps:txbx>
                        <w:txbxContent>
                          <w:p w14:paraId="3D10D398">
                            <w:pPr>
                              <w:spacing w:line="366" w:lineRule="exact"/>
                              <w:ind w:left="103"/>
                              <w:rPr>
                                <w:rFonts w:ascii="Microsoft JhengHei" w:hAnsi="Microsoft JhengHei" w:cs="Microsoft JhengHei" w:eastAsiaTheme="minorEastAsia"/>
                                <w:b/>
                                <w:bCs/>
                                <w:sz w:val="24"/>
                                <w:szCs w:val="24"/>
                              </w:rPr>
                            </w:pPr>
                            <w:r>
                              <w:rPr>
                                <w:rFonts w:hint="eastAsia" w:ascii="Microsoft JhengHei" w:hAnsi="Microsoft JhengHei" w:cs="Microsoft JhengHei" w:eastAsiaTheme="minorEastAsia"/>
                                <w:b/>
                                <w:bCs/>
                                <w:spacing w:val="2"/>
                                <w:sz w:val="24"/>
                                <w:szCs w:val="24"/>
                              </w:rPr>
                              <w:t>长汀县</w:t>
                            </w:r>
                            <w:r>
                              <w:rPr>
                                <w:rFonts w:ascii="Microsoft JhengHei" w:hAnsi="Microsoft JhengHei" w:eastAsia="Microsoft JhengHei" w:cs="Microsoft JhengHei"/>
                                <w:b/>
                                <w:bCs/>
                                <w:spacing w:val="2"/>
                                <w:sz w:val="24"/>
                                <w:szCs w:val="24"/>
                              </w:rPr>
                              <w:t>幸</w:t>
                            </w:r>
                            <w:r>
                              <w:rPr>
                                <w:rFonts w:ascii="Microsoft JhengHei" w:hAnsi="Microsoft JhengHei" w:eastAsia="Microsoft JhengHei" w:cs="Microsoft JhengHei"/>
                                <w:b/>
                                <w:bCs/>
                                <w:sz w:val="24"/>
                                <w:szCs w:val="24"/>
                              </w:rPr>
                              <w:t>福河</w:t>
                            </w:r>
                            <w:r>
                              <w:rPr>
                                <w:rFonts w:ascii="Microsoft JhengHei" w:hAnsi="Microsoft JhengHei" w:eastAsia="Microsoft JhengHei" w:cs="Microsoft JhengHei"/>
                                <w:b/>
                                <w:bCs/>
                                <w:spacing w:val="2"/>
                                <w:sz w:val="24"/>
                                <w:szCs w:val="24"/>
                              </w:rPr>
                              <w:t>湖</w:t>
                            </w:r>
                            <w:r>
                              <w:rPr>
                                <w:rFonts w:ascii="Microsoft JhengHei" w:hAnsi="Microsoft JhengHei" w:eastAsia="Microsoft JhengHei" w:cs="Microsoft JhengHei"/>
                                <w:b/>
                                <w:bCs/>
                                <w:sz w:val="24"/>
                                <w:szCs w:val="24"/>
                              </w:rPr>
                              <w:t>建</w:t>
                            </w:r>
                            <w:r>
                              <w:rPr>
                                <w:rFonts w:ascii="Microsoft JhengHei" w:hAnsi="Microsoft JhengHei" w:eastAsia="Microsoft JhengHei" w:cs="Microsoft JhengHei"/>
                                <w:b/>
                                <w:bCs/>
                                <w:spacing w:val="2"/>
                                <w:sz w:val="24"/>
                                <w:szCs w:val="24"/>
                              </w:rPr>
                              <w:t>设</w:t>
                            </w:r>
                            <w:r>
                              <w:rPr>
                                <w:rFonts w:ascii="Microsoft JhengHei" w:hAnsi="Microsoft JhengHei" w:eastAsia="Microsoft JhengHei" w:cs="Microsoft JhengHei"/>
                                <w:b/>
                                <w:bCs/>
                                <w:sz w:val="24"/>
                                <w:szCs w:val="24"/>
                              </w:rPr>
                              <w:t>项目：</w:t>
                            </w:r>
                          </w:p>
                          <w:p w14:paraId="43BFCE3E">
                            <w:pPr>
                              <w:spacing w:line="366" w:lineRule="exact"/>
                              <w:ind w:left="103"/>
                              <w:rPr>
                                <w:rFonts w:ascii="宋体" w:hAnsi="宋体" w:cs="宋体"/>
                                <w:sz w:val="24"/>
                                <w:szCs w:val="24"/>
                              </w:rPr>
                            </w:pPr>
                            <w:r>
                              <w:rPr>
                                <w:rFonts w:hint="eastAsia" w:ascii="Microsoft JhengHei" w:hAnsi="Microsoft JhengHei" w:cs="Microsoft JhengHei" w:eastAsiaTheme="minorEastAsia"/>
                                <w:bCs/>
                                <w:sz w:val="24"/>
                                <w:szCs w:val="24"/>
                              </w:rPr>
                              <w:t>福建省</w:t>
                            </w:r>
                            <w:r>
                              <w:rPr>
                                <w:rFonts w:ascii="宋体" w:hAnsi="宋体" w:cs="宋体"/>
                                <w:sz w:val="24"/>
                                <w:szCs w:val="24"/>
                              </w:rPr>
                              <w:t>濯田河</w:t>
                            </w:r>
                            <w:r>
                              <w:rPr>
                                <w:rFonts w:hint="eastAsia" w:ascii="宋体" w:hAnsi="宋体" w:cs="宋体"/>
                                <w:sz w:val="24"/>
                                <w:szCs w:val="24"/>
                              </w:rPr>
                              <w:t>幸福</w:t>
                            </w:r>
                            <w:r>
                              <w:rPr>
                                <w:rFonts w:ascii="宋体" w:hAnsi="宋体" w:cs="宋体"/>
                                <w:sz w:val="24"/>
                                <w:szCs w:val="24"/>
                              </w:rPr>
                              <w:t>河湖建设项目</w:t>
                            </w:r>
                            <w:r>
                              <w:rPr>
                                <w:rFonts w:hint="eastAsia" w:ascii="宋体" w:hAnsi="宋体" w:cs="宋体"/>
                                <w:sz w:val="24"/>
                                <w:szCs w:val="24"/>
                              </w:rPr>
                              <w:t>、长汀县南山河幸福河湖建设项目、长汀县罗口溪幸福河湖建设项目、汀江城区段幸福河湖建设项目。</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4pt;margin-top:30pt;height:61.8pt;width:414.7pt;mso-wrap-distance-bottom:0pt;mso-wrap-distance-top:0pt;z-index:-251656192;mso-width-relative:page;mso-height-relative:page;" filled="f" stroked="t" coordsize="21600,21600" o:gfxdata="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P/R1NUAAAAIAQAADwAAAAAAAAABACAAAAAiAAAAZHJzL2Rvd25yZXYueG1s&#10;UEsBAhQAFAAAAAgAh07iQKGVELM0AgAATgQAAA4AAAAAAAAAAQAgAAAAJAEAAGRycy9lMm9Eb2Mu&#10;eG1sUEsFBgAAAAAGAAYAWQEAAMoFAAAAAA==&#10;">
                <v:fill on="f" focussize="0,0"/>
                <v:stroke weight="0.48pt" color="#000000" miterlimit="8" joinstyle="miter"/>
                <v:imagedata o:title=""/>
                <o:lock v:ext="edit" aspectratio="f"/>
                <v:textbox inset="0mm,0mm,0mm,0mm">
                  <w:txbxContent>
                    <w:p w14:paraId="3D10D398">
                      <w:pPr>
                        <w:spacing w:line="366" w:lineRule="exact"/>
                        <w:ind w:left="103"/>
                        <w:rPr>
                          <w:rFonts w:ascii="Microsoft JhengHei" w:hAnsi="Microsoft JhengHei" w:cs="Microsoft JhengHei" w:eastAsiaTheme="minorEastAsia"/>
                          <w:b/>
                          <w:bCs/>
                          <w:sz w:val="24"/>
                          <w:szCs w:val="24"/>
                        </w:rPr>
                      </w:pPr>
                      <w:r>
                        <w:rPr>
                          <w:rFonts w:hint="eastAsia" w:ascii="Microsoft JhengHei" w:hAnsi="Microsoft JhengHei" w:cs="Microsoft JhengHei" w:eastAsiaTheme="minorEastAsia"/>
                          <w:b/>
                          <w:bCs/>
                          <w:spacing w:val="2"/>
                          <w:sz w:val="24"/>
                          <w:szCs w:val="24"/>
                        </w:rPr>
                        <w:t>长汀县</w:t>
                      </w:r>
                      <w:r>
                        <w:rPr>
                          <w:rFonts w:ascii="Microsoft JhengHei" w:hAnsi="Microsoft JhengHei" w:eastAsia="Microsoft JhengHei" w:cs="Microsoft JhengHei"/>
                          <w:b/>
                          <w:bCs/>
                          <w:spacing w:val="2"/>
                          <w:sz w:val="24"/>
                          <w:szCs w:val="24"/>
                        </w:rPr>
                        <w:t>幸</w:t>
                      </w:r>
                      <w:r>
                        <w:rPr>
                          <w:rFonts w:ascii="Microsoft JhengHei" w:hAnsi="Microsoft JhengHei" w:eastAsia="Microsoft JhengHei" w:cs="Microsoft JhengHei"/>
                          <w:b/>
                          <w:bCs/>
                          <w:sz w:val="24"/>
                          <w:szCs w:val="24"/>
                        </w:rPr>
                        <w:t>福河</w:t>
                      </w:r>
                      <w:r>
                        <w:rPr>
                          <w:rFonts w:ascii="Microsoft JhengHei" w:hAnsi="Microsoft JhengHei" w:eastAsia="Microsoft JhengHei" w:cs="Microsoft JhengHei"/>
                          <w:b/>
                          <w:bCs/>
                          <w:spacing w:val="2"/>
                          <w:sz w:val="24"/>
                          <w:szCs w:val="24"/>
                        </w:rPr>
                        <w:t>湖</w:t>
                      </w:r>
                      <w:r>
                        <w:rPr>
                          <w:rFonts w:ascii="Microsoft JhengHei" w:hAnsi="Microsoft JhengHei" w:eastAsia="Microsoft JhengHei" w:cs="Microsoft JhengHei"/>
                          <w:b/>
                          <w:bCs/>
                          <w:sz w:val="24"/>
                          <w:szCs w:val="24"/>
                        </w:rPr>
                        <w:t>建</w:t>
                      </w:r>
                      <w:r>
                        <w:rPr>
                          <w:rFonts w:ascii="Microsoft JhengHei" w:hAnsi="Microsoft JhengHei" w:eastAsia="Microsoft JhengHei" w:cs="Microsoft JhengHei"/>
                          <w:b/>
                          <w:bCs/>
                          <w:spacing w:val="2"/>
                          <w:sz w:val="24"/>
                          <w:szCs w:val="24"/>
                        </w:rPr>
                        <w:t>设</w:t>
                      </w:r>
                      <w:r>
                        <w:rPr>
                          <w:rFonts w:ascii="Microsoft JhengHei" w:hAnsi="Microsoft JhengHei" w:eastAsia="Microsoft JhengHei" w:cs="Microsoft JhengHei"/>
                          <w:b/>
                          <w:bCs/>
                          <w:sz w:val="24"/>
                          <w:szCs w:val="24"/>
                        </w:rPr>
                        <w:t>项目：</w:t>
                      </w:r>
                    </w:p>
                    <w:p w14:paraId="43BFCE3E">
                      <w:pPr>
                        <w:spacing w:line="366" w:lineRule="exact"/>
                        <w:ind w:left="103"/>
                        <w:rPr>
                          <w:rFonts w:ascii="宋体" w:hAnsi="宋体" w:cs="宋体"/>
                          <w:sz w:val="24"/>
                          <w:szCs w:val="24"/>
                        </w:rPr>
                      </w:pPr>
                      <w:r>
                        <w:rPr>
                          <w:rFonts w:hint="eastAsia" w:ascii="Microsoft JhengHei" w:hAnsi="Microsoft JhengHei" w:cs="Microsoft JhengHei" w:eastAsiaTheme="minorEastAsia"/>
                          <w:bCs/>
                          <w:sz w:val="24"/>
                          <w:szCs w:val="24"/>
                        </w:rPr>
                        <w:t>福建省</w:t>
                      </w:r>
                      <w:r>
                        <w:rPr>
                          <w:rFonts w:ascii="宋体" w:hAnsi="宋体" w:cs="宋体"/>
                          <w:sz w:val="24"/>
                          <w:szCs w:val="24"/>
                        </w:rPr>
                        <w:t>濯田河</w:t>
                      </w:r>
                      <w:r>
                        <w:rPr>
                          <w:rFonts w:hint="eastAsia" w:ascii="宋体" w:hAnsi="宋体" w:cs="宋体"/>
                          <w:sz w:val="24"/>
                          <w:szCs w:val="24"/>
                        </w:rPr>
                        <w:t>幸福</w:t>
                      </w:r>
                      <w:r>
                        <w:rPr>
                          <w:rFonts w:ascii="宋体" w:hAnsi="宋体" w:cs="宋体"/>
                          <w:sz w:val="24"/>
                          <w:szCs w:val="24"/>
                        </w:rPr>
                        <w:t>河湖建设项目</w:t>
                      </w:r>
                      <w:r>
                        <w:rPr>
                          <w:rFonts w:hint="eastAsia" w:ascii="宋体" w:hAnsi="宋体" w:cs="宋体"/>
                          <w:sz w:val="24"/>
                          <w:szCs w:val="24"/>
                        </w:rPr>
                        <w:t>、长汀县南山河幸福河湖建设项目、长汀县罗口溪幸福河湖建设项目、汀江城区段幸福河湖建设项目。</w:t>
                      </w:r>
                    </w:p>
                  </w:txbxContent>
                </v:textbox>
                <w10:wrap type="topAndBottom"/>
              </v:shape>
            </w:pict>
          </mc:Fallback>
        </mc:AlternateContent>
      </w:r>
      <w:r>
        <w:rPr>
          <w:rFonts w:ascii="宋体" w:hAnsi="宋体" w:cs="Microsoft JhengHei"/>
          <w:b/>
          <w:bCs/>
          <w:sz w:val="30"/>
          <w:szCs w:val="30"/>
        </w:rPr>
        <w:t>专栏5-4</w:t>
      </w:r>
      <w:r>
        <w:rPr>
          <w:rFonts w:hint="eastAsia" w:ascii="宋体" w:hAnsi="宋体" w:cs="Microsoft JhengHei"/>
          <w:b/>
          <w:bCs/>
          <w:sz w:val="30"/>
          <w:szCs w:val="30"/>
        </w:rPr>
        <w:t xml:space="preserve">           长汀县</w:t>
      </w:r>
      <w:r>
        <w:rPr>
          <w:rFonts w:ascii="宋体" w:hAnsi="宋体" w:cs="Microsoft JhengHei"/>
          <w:b/>
          <w:bCs/>
          <w:sz w:val="30"/>
          <w:szCs w:val="30"/>
        </w:rPr>
        <w:t>幸福河湖建设任务</w:t>
      </w:r>
    </w:p>
    <w:p w14:paraId="4004DB92">
      <w:pPr>
        <w:spacing w:before="12"/>
        <w:rPr>
          <w:rFonts w:ascii="宋体" w:hAnsi="宋体" w:cs="Microsoft JhengHei"/>
          <w:b/>
          <w:bCs/>
          <w:sz w:val="9"/>
          <w:szCs w:val="9"/>
        </w:rPr>
      </w:pPr>
    </w:p>
    <w:p w14:paraId="323629AE">
      <w:pPr>
        <w:pStyle w:val="4"/>
        <w:numPr>
          <w:ilvl w:val="2"/>
          <w:numId w:val="2"/>
        </w:numPr>
        <w:rPr>
          <w:rFonts w:ascii="宋体" w:hAnsi="宋体"/>
          <w:color w:val="auto"/>
        </w:rPr>
      </w:pPr>
      <w:r>
        <w:rPr>
          <w:rFonts w:hint="eastAsia" w:ascii="宋体" w:hAnsi="宋体"/>
          <w:color w:val="auto"/>
        </w:rPr>
        <w:t>推进水文化宣传和建设</w:t>
      </w:r>
    </w:p>
    <w:p w14:paraId="3C7B4FDC">
      <w:pPr>
        <w:ind w:firstLine="566"/>
        <w:rPr>
          <w:rFonts w:ascii="宋体" w:hAnsi="宋体"/>
        </w:rPr>
      </w:pPr>
      <w:r>
        <w:rPr>
          <w:rFonts w:ascii="宋体" w:hAnsi="宋体"/>
        </w:rPr>
        <w:t>（1）挖掘河湖文化资源</w:t>
      </w:r>
    </w:p>
    <w:p w14:paraId="2683A75C">
      <w:pPr>
        <w:ind w:firstLine="566"/>
        <w:rPr>
          <w:rFonts w:ascii="宋体" w:hAnsi="宋体"/>
        </w:rPr>
      </w:pPr>
      <w:r>
        <w:rPr>
          <w:rFonts w:ascii="宋体" w:hAnsi="宋体"/>
        </w:rPr>
        <w:t>推进河湖文化遗产资源的清查、认定、修缮维护、立碑</w:t>
      </w:r>
      <w:r>
        <w:rPr>
          <w:rFonts w:hint="eastAsia" w:ascii="宋体" w:hAnsi="宋体"/>
        </w:rPr>
        <w:t>确界以及溯源等工作，达成河湖文化遗产的系统化登记与整</w:t>
      </w:r>
      <w:r>
        <w:rPr>
          <w:rFonts w:ascii="宋体" w:hAnsi="宋体"/>
        </w:rPr>
        <w:t>体性发展，强化对历史文化遗产的保护。持续深入挖掘河湖文化遗产的内涵与价值，探索建立水文化与水工程融合机制，推动水利工程与河湖文化的深度融合，系统提升水利工程文化内涵和美化品质。结合客家文化、红色文化等地域特色，构建具有特色的河湖文化品牌，提升水文化的传播力与影响力。推进水文化载体的建设与认定工作。着重建设水情教育基地、节水宣教基地、河湖长驿站、治水展馆、河湖长制主题公园以及水利风景区（</w:t>
      </w:r>
      <w:r>
        <w:rPr>
          <w:rFonts w:hint="eastAsia" w:ascii="宋体" w:hAnsi="宋体"/>
        </w:rPr>
        <w:t>羊牯汀江</w:t>
      </w:r>
      <w:r>
        <w:rPr>
          <w:rFonts w:ascii="宋体" w:hAnsi="宋体"/>
        </w:rPr>
        <w:t>水利风景区</w:t>
      </w:r>
      <w:r>
        <w:rPr>
          <w:rFonts w:hint="eastAsia" w:ascii="宋体" w:hAnsi="宋体"/>
        </w:rPr>
        <w:t>）等载体，为公众打造集游憩、</w:t>
      </w:r>
      <w:r>
        <w:rPr>
          <w:rFonts w:ascii="宋体" w:hAnsi="宋体"/>
        </w:rPr>
        <w:t>休闲和文化旅游功能于一体的河湖滨水空间，丰富水文化的</w:t>
      </w:r>
      <w:r>
        <w:rPr>
          <w:rFonts w:hint="eastAsia" w:ascii="宋体" w:hAnsi="宋体"/>
        </w:rPr>
        <w:t>展示形式。加大文化宣传力度，通过主流媒体、专著、视频、</w:t>
      </w:r>
      <w:r>
        <w:rPr>
          <w:rFonts w:ascii="宋体" w:hAnsi="宋体"/>
        </w:rPr>
        <w:t>文创产品以及举办活动等多维度途径强化文化宣传，将</w:t>
      </w:r>
      <w:r>
        <w:rPr>
          <w:rFonts w:hint="eastAsia" w:ascii="宋体" w:hAnsi="宋体"/>
        </w:rPr>
        <w:t>长汀县</w:t>
      </w:r>
      <w:r>
        <w:rPr>
          <w:rFonts w:ascii="宋体" w:hAnsi="宋体"/>
        </w:rPr>
        <w:t>打造成具有影响力的</w:t>
      </w:r>
      <w:r>
        <w:rPr>
          <w:rFonts w:hint="eastAsia" w:ascii="宋体" w:hAnsi="宋体"/>
        </w:rPr>
        <w:t>汀州</w:t>
      </w:r>
      <w:r>
        <w:rPr>
          <w:rFonts w:ascii="宋体" w:hAnsi="宋体"/>
        </w:rPr>
        <w:t>水文化中心。</w:t>
      </w:r>
    </w:p>
    <w:p w14:paraId="23B847F8">
      <w:pPr>
        <w:ind w:firstLine="565" w:firstLineChars="202"/>
        <w:rPr>
          <w:rFonts w:ascii="宋体" w:hAnsi="宋体"/>
        </w:rPr>
      </w:pPr>
      <w:r>
        <w:rPr>
          <w:rFonts w:hint="eastAsia" w:ascii="宋体" w:hAnsi="宋体"/>
        </w:rPr>
        <w:t>（</w:t>
      </w:r>
      <w:r>
        <w:rPr>
          <w:rFonts w:ascii="宋体" w:hAnsi="宋体"/>
        </w:rPr>
        <w:t>2）铸就文化传承长廊</w:t>
      </w:r>
    </w:p>
    <w:p w14:paraId="0156D9CB">
      <w:pPr>
        <w:ind w:firstLine="565" w:firstLineChars="202"/>
        <w:rPr>
          <w:rFonts w:ascii="宋体" w:hAnsi="宋体"/>
        </w:rPr>
      </w:pPr>
      <w:r>
        <w:rPr>
          <w:rFonts w:hint="eastAsia" w:ascii="宋体" w:hAnsi="宋体"/>
        </w:rPr>
        <w:t>依托汀江“中央红色交通线”水运历史及明代航海家王</w:t>
      </w:r>
      <w:r>
        <w:rPr>
          <w:rFonts w:ascii="宋体" w:hAnsi="宋体"/>
        </w:rPr>
        <w:t>景弘故里资源，构筑“红蓝交织”的水文化地标体系。在红色水脉层面，修复长汀段“红色水上交通线”，</w:t>
      </w:r>
      <w:r>
        <w:rPr>
          <w:rFonts w:hint="eastAsia" w:ascii="宋体" w:hAnsi="宋体"/>
        </w:rPr>
        <w:t>挖掘</w:t>
      </w:r>
      <w:r>
        <w:rPr>
          <w:rFonts w:ascii="宋体" w:hAnsi="宋体"/>
        </w:rPr>
        <w:t>古码头、渡口</w:t>
      </w:r>
      <w:r>
        <w:rPr>
          <w:rFonts w:hint="eastAsia" w:ascii="宋体" w:hAnsi="宋体"/>
        </w:rPr>
        <w:t>、</w:t>
      </w:r>
      <w:r>
        <w:rPr>
          <w:rFonts w:ascii="宋体" w:hAnsi="宋体"/>
        </w:rPr>
        <w:t>陂头建设历史</w:t>
      </w:r>
      <w:r>
        <w:rPr>
          <w:rFonts w:hint="eastAsia" w:ascii="宋体" w:hAnsi="宋体"/>
        </w:rPr>
        <w:t>、</w:t>
      </w:r>
      <w:r>
        <w:rPr>
          <w:rFonts w:ascii="宋体" w:hAnsi="宋体"/>
        </w:rPr>
        <w:t>融入文化要素，通过红色基因构建红色研学基地。融合</w:t>
      </w:r>
      <w:r>
        <w:rPr>
          <w:rFonts w:hint="eastAsia" w:ascii="宋体" w:hAnsi="宋体"/>
        </w:rPr>
        <w:t>长汀</w:t>
      </w:r>
      <w:r>
        <w:rPr>
          <w:rFonts w:ascii="宋体" w:hAnsi="宋体"/>
        </w:rPr>
        <w:t>水保标杆旗帜，提升长汀水保科教</w:t>
      </w:r>
      <w:r>
        <w:rPr>
          <w:rFonts w:hint="eastAsia" w:ascii="宋体" w:hAnsi="宋体"/>
        </w:rPr>
        <w:t>园</w:t>
      </w:r>
      <w:r>
        <w:rPr>
          <w:rFonts w:ascii="宋体" w:hAnsi="宋体"/>
        </w:rPr>
        <w:t>，通过水保互动体验、</w:t>
      </w:r>
      <w:r>
        <w:rPr>
          <w:rFonts w:hint="eastAsia" w:ascii="宋体" w:hAnsi="宋体"/>
        </w:rPr>
        <w:t>AR沙盘</w:t>
      </w:r>
      <w:r>
        <w:rPr>
          <w:rFonts w:ascii="宋体" w:hAnsi="宋体"/>
        </w:rPr>
        <w:t>、研学课堂</w:t>
      </w:r>
      <w:r>
        <w:rPr>
          <w:rFonts w:hint="eastAsia" w:ascii="宋体" w:hAnsi="宋体"/>
        </w:rPr>
        <w:t>，</w:t>
      </w:r>
      <w:r>
        <w:rPr>
          <w:rFonts w:ascii="宋体" w:hAnsi="宋体"/>
        </w:rPr>
        <w:t>塑造国家级水保科普与研学标杆。</w:t>
      </w:r>
    </w:p>
    <w:p w14:paraId="7733B7A9">
      <w:pPr>
        <w:ind w:firstLine="565" w:firstLineChars="202"/>
        <w:rPr>
          <w:rFonts w:ascii="宋体" w:hAnsi="宋体"/>
        </w:rPr>
      </w:pPr>
      <w:r>
        <w:rPr>
          <w:rFonts w:hint="eastAsia" w:ascii="宋体" w:hAnsi="宋体"/>
        </w:rPr>
        <w:t>（</w:t>
      </w:r>
      <w:r>
        <w:rPr>
          <w:rFonts w:ascii="宋体" w:hAnsi="宋体"/>
        </w:rPr>
        <w:t>3）深化文旅融合</w:t>
      </w:r>
    </w:p>
    <w:p w14:paraId="1619C9F4">
      <w:pPr>
        <w:ind w:firstLine="565" w:firstLineChars="202"/>
        <w:rPr>
          <w:rFonts w:ascii="宋体" w:hAnsi="宋体"/>
        </w:rPr>
      </w:pPr>
      <w:r>
        <w:rPr>
          <w:rFonts w:hint="eastAsia" w:ascii="宋体" w:hAnsi="宋体"/>
        </w:rPr>
        <w:t>依托河湖水域及水利枢纽工程，紧密衔接乡村振兴战略、县域</w:t>
      </w:r>
      <w:r>
        <w:rPr>
          <w:rFonts w:ascii="宋体" w:hAnsi="宋体"/>
        </w:rPr>
        <w:t>发展规划与旅游发展规划，着力探索“河湖+文旅”融合发展模式。以客家母亲河—汀江流域为核心载体，修复承载乡愁记忆的水岸生活场景。整合汀江现有文旅资源，修复</w:t>
      </w:r>
      <w:r>
        <w:rPr>
          <w:rFonts w:hint="eastAsia" w:ascii="宋体" w:hAnsi="宋体"/>
        </w:rPr>
        <w:t>“红色交通线”、</w:t>
      </w:r>
      <w:r>
        <w:rPr>
          <w:rFonts w:ascii="宋体" w:hAnsi="宋体"/>
        </w:rPr>
        <w:t>客家码头，打造</w:t>
      </w:r>
      <w:r>
        <w:rPr>
          <w:rFonts w:hint="eastAsia" w:ascii="宋体" w:hAnsi="宋体"/>
        </w:rPr>
        <w:t>长汀县“一江两岸”生态红韵客家水脉文旅共生项目。</w:t>
      </w:r>
    </w:p>
    <w:p w14:paraId="339BEAAA">
      <w:pPr>
        <w:widowControl/>
        <w:spacing w:line="240" w:lineRule="auto"/>
        <w:jc w:val="left"/>
        <w:rPr>
          <w:rFonts w:ascii="宋体" w:hAnsi="宋体" w:cs="Microsoft JhengHei"/>
          <w:b/>
          <w:bCs/>
          <w:sz w:val="30"/>
          <w:szCs w:val="30"/>
        </w:rPr>
      </w:pPr>
      <w:r>
        <w:rPr>
          <w:rFonts w:hint="eastAsia" w:ascii="宋体" w:hAnsi="宋体" w:cs="Microsoft JhengHei"/>
          <w:b/>
          <w:bCs/>
          <w:sz w:val="30"/>
          <w:szCs w:val="30"/>
        </w:rPr>
        <w:br w:type="page"/>
      </w:r>
    </w:p>
    <w:p w14:paraId="6B751F25">
      <w:pPr>
        <w:tabs>
          <w:tab w:val="left" w:pos="3456"/>
        </w:tabs>
        <w:spacing w:line="406" w:lineRule="exact"/>
        <w:rPr>
          <w:rFonts w:ascii="宋体" w:hAnsi="宋体" w:cs="Microsoft JhengHei"/>
          <w:b/>
          <w:bCs/>
          <w:sz w:val="30"/>
          <w:szCs w:val="30"/>
        </w:rPr>
      </w:pPr>
      <w:r>
        <w:rPr>
          <w:rFonts w:ascii="宋体" w:hAnsi="宋体" w:cs="Microsoft JhengHei"/>
          <w:b/>
          <w:bCs/>
          <w:sz w:val="30"/>
          <w:szCs w:val="30"/>
        </w:rPr>
        <w:t>专栏5-5</w:t>
      </w:r>
      <w:r>
        <w:rPr>
          <w:rFonts w:hint="eastAsia" w:ascii="宋体" w:hAnsi="宋体" w:cs="Microsoft JhengHei"/>
          <w:b/>
          <w:bCs/>
          <w:sz w:val="30"/>
          <w:szCs w:val="30"/>
        </w:rPr>
        <w:t xml:space="preserve">          长汀县</w:t>
      </w:r>
      <w:r>
        <w:rPr>
          <w:rFonts w:ascii="宋体" w:hAnsi="宋体" w:cs="Microsoft JhengHei"/>
          <w:b/>
          <w:bCs/>
          <w:sz w:val="30"/>
          <w:szCs w:val="30"/>
        </w:rPr>
        <w:t>水文化宣传与建设任务</w:t>
      </w:r>
    </w:p>
    <w:p w14:paraId="0738C342">
      <w:pPr>
        <w:spacing w:before="7"/>
        <w:rPr>
          <w:rFonts w:ascii="宋体" w:hAnsi="宋体" w:cs="Microsoft JhengHei"/>
          <w:b/>
          <w:bCs/>
          <w:sz w:val="9"/>
          <w:szCs w:val="9"/>
        </w:rPr>
      </w:pPr>
    </w:p>
    <w:tbl>
      <w:tblPr>
        <w:tblStyle w:val="63"/>
        <w:tblW w:w="8811" w:type="dxa"/>
        <w:tblInd w:w="115" w:type="dxa"/>
        <w:tblLayout w:type="fixed"/>
        <w:tblCellMar>
          <w:top w:w="0" w:type="dxa"/>
          <w:left w:w="0" w:type="dxa"/>
          <w:bottom w:w="0" w:type="dxa"/>
          <w:right w:w="0" w:type="dxa"/>
        </w:tblCellMar>
      </w:tblPr>
      <w:tblGrid>
        <w:gridCol w:w="8811"/>
      </w:tblGrid>
      <w:tr w14:paraId="62AFF7E4">
        <w:tblPrEx>
          <w:tblCellMar>
            <w:top w:w="0" w:type="dxa"/>
            <w:left w:w="0" w:type="dxa"/>
            <w:bottom w:w="0" w:type="dxa"/>
            <w:right w:w="0" w:type="dxa"/>
          </w:tblCellMar>
        </w:tblPrEx>
        <w:trPr>
          <w:trHeight w:val="2890" w:hRule="exact"/>
        </w:trPr>
        <w:tc>
          <w:tcPr>
            <w:tcW w:w="8811" w:type="dxa"/>
            <w:tcBorders>
              <w:top w:val="single" w:color="000000" w:sz="4" w:space="0"/>
              <w:left w:val="single" w:color="000000" w:sz="4" w:space="0"/>
              <w:bottom w:val="dotted" w:color="000000" w:sz="4" w:space="0"/>
              <w:right w:val="single" w:color="000000" w:sz="4" w:space="0"/>
            </w:tcBorders>
          </w:tcPr>
          <w:p w14:paraId="27A77559">
            <w:pPr>
              <w:pStyle w:val="65"/>
              <w:spacing w:line="307" w:lineRule="exact"/>
              <w:ind w:left="103"/>
              <w:jc w:val="both"/>
              <w:rPr>
                <w:rFonts w:ascii="宋体" w:hAnsi="宋体" w:eastAsia="宋体" w:cs="Microsoft JhengHei"/>
                <w:sz w:val="24"/>
                <w:szCs w:val="24"/>
                <w:lang w:eastAsia="zh-CN"/>
              </w:rPr>
            </w:pPr>
            <w:r>
              <w:rPr>
                <w:rFonts w:ascii="宋体" w:hAnsi="宋体" w:eastAsia="宋体" w:cs="Microsoft JhengHei"/>
                <w:b/>
                <w:bCs/>
                <w:sz w:val="24"/>
                <w:szCs w:val="24"/>
                <w:lang w:eastAsia="zh-CN"/>
              </w:rPr>
              <w:t>挖掘河湖文化资源</w:t>
            </w:r>
          </w:p>
          <w:p w14:paraId="5E4D9DEA">
            <w:pPr>
              <w:pStyle w:val="65"/>
              <w:spacing w:line="244" w:lineRule="auto"/>
              <w:ind w:left="103" w:right="32"/>
              <w:jc w:val="both"/>
              <w:rPr>
                <w:rFonts w:ascii="宋体" w:hAnsi="宋体" w:eastAsia="宋体" w:cs="宋体"/>
                <w:sz w:val="24"/>
                <w:szCs w:val="24"/>
                <w:lang w:eastAsia="zh-CN"/>
              </w:rPr>
            </w:pPr>
            <w:r>
              <w:rPr>
                <w:rFonts w:ascii="宋体" w:hAnsi="宋体" w:eastAsia="宋体" w:cs="宋体"/>
                <w:sz w:val="24"/>
                <w:szCs w:val="24"/>
                <w:lang w:eastAsia="zh-CN"/>
              </w:rPr>
              <w:t>推进河湖文化遗产资源的清查、认定、修缮维护、立碑确界以及溯源等工作，</w:t>
            </w:r>
            <w:r>
              <w:rPr>
                <w:rFonts w:ascii="宋体" w:hAnsi="宋体" w:eastAsia="宋体" w:cs="宋体"/>
                <w:spacing w:val="-3"/>
                <w:sz w:val="24"/>
                <w:szCs w:val="24"/>
                <w:lang w:eastAsia="zh-CN"/>
              </w:rPr>
              <w:t>强化对历史文化遗产的保护。持续深入挖掘河湖文化遗产的内涵与价值，探索建立水文化与水工程融合机制，系统提升水利工程文化内涵和美化品质。推进水文化载体的建设与认定工作，着重建设水情教育基地、节水宣教基地以及水</w:t>
            </w:r>
            <w:r>
              <w:rPr>
                <w:rFonts w:ascii="宋体" w:hAnsi="宋体" w:eastAsia="宋体" w:cs="宋体"/>
                <w:spacing w:val="-2"/>
                <w:sz w:val="24"/>
                <w:szCs w:val="24"/>
                <w:lang w:eastAsia="zh-CN"/>
              </w:rPr>
              <w:t>利风景区（龙湖国家水利风景区、金丰溪客家文化水利风景区）等载体，为公</w:t>
            </w:r>
            <w:r>
              <w:rPr>
                <w:rFonts w:ascii="宋体" w:hAnsi="宋体" w:eastAsia="宋体" w:cs="宋体"/>
                <w:spacing w:val="-3"/>
                <w:sz w:val="24"/>
                <w:szCs w:val="24"/>
                <w:lang w:eastAsia="zh-CN"/>
              </w:rPr>
              <w:t>众打造集游憩、休闲和文化旅游功能于一体的河湖滨水空间。加大文化宣传力度，通过主流媒体、专著、视频、文创产品以及举办活动等多维度途径强化文</w:t>
            </w:r>
            <w:r>
              <w:rPr>
                <w:rFonts w:ascii="宋体" w:hAnsi="宋体" w:eastAsia="宋体" w:cs="宋体"/>
                <w:sz w:val="24"/>
                <w:szCs w:val="24"/>
                <w:lang w:eastAsia="zh-CN"/>
              </w:rPr>
              <w:t>化宣传，将</w:t>
            </w:r>
            <w:r>
              <w:rPr>
                <w:rFonts w:hint="eastAsia" w:ascii="宋体" w:hAnsi="宋体" w:eastAsia="宋体" w:cs="宋体"/>
                <w:sz w:val="24"/>
                <w:szCs w:val="24"/>
                <w:lang w:eastAsia="zh-CN"/>
              </w:rPr>
              <w:t>长汀县</w:t>
            </w:r>
            <w:r>
              <w:rPr>
                <w:rFonts w:ascii="宋体" w:hAnsi="宋体" w:eastAsia="宋体" w:cs="宋体"/>
                <w:sz w:val="24"/>
                <w:szCs w:val="24"/>
                <w:lang w:eastAsia="zh-CN"/>
              </w:rPr>
              <w:t>打造成具有影响力的水文化中心。</w:t>
            </w:r>
          </w:p>
        </w:tc>
      </w:tr>
      <w:tr w14:paraId="141271CA">
        <w:tblPrEx>
          <w:tblCellMar>
            <w:top w:w="0" w:type="dxa"/>
            <w:left w:w="0" w:type="dxa"/>
            <w:bottom w:w="0" w:type="dxa"/>
            <w:right w:w="0" w:type="dxa"/>
          </w:tblCellMar>
        </w:tblPrEx>
        <w:trPr>
          <w:trHeight w:val="1141" w:hRule="exact"/>
        </w:trPr>
        <w:tc>
          <w:tcPr>
            <w:tcW w:w="8811" w:type="dxa"/>
            <w:tcBorders>
              <w:top w:val="dotted" w:color="000000" w:sz="4" w:space="0"/>
              <w:left w:val="single" w:color="000000" w:sz="4" w:space="0"/>
              <w:bottom w:val="dotted" w:color="000000" w:sz="4" w:space="0"/>
              <w:right w:val="single" w:color="000000" w:sz="4" w:space="0"/>
            </w:tcBorders>
          </w:tcPr>
          <w:p w14:paraId="13C5D686">
            <w:pPr>
              <w:pStyle w:val="65"/>
              <w:spacing w:line="307" w:lineRule="exact"/>
              <w:ind w:left="103"/>
              <w:jc w:val="both"/>
              <w:rPr>
                <w:rFonts w:ascii="宋体" w:hAnsi="宋体" w:eastAsia="宋体" w:cs="Microsoft JhengHei"/>
                <w:sz w:val="24"/>
                <w:szCs w:val="24"/>
                <w:lang w:eastAsia="zh-CN"/>
              </w:rPr>
            </w:pPr>
            <w:r>
              <w:rPr>
                <w:rFonts w:ascii="宋体" w:hAnsi="宋体" w:eastAsia="宋体" w:cs="Microsoft JhengHei"/>
                <w:b/>
                <w:bCs/>
                <w:sz w:val="24"/>
                <w:szCs w:val="24"/>
                <w:lang w:eastAsia="zh-CN"/>
              </w:rPr>
              <w:t>铸就文化传承长廊</w:t>
            </w:r>
          </w:p>
          <w:p w14:paraId="27C38D5A">
            <w:pPr>
              <w:pStyle w:val="65"/>
              <w:spacing w:line="244" w:lineRule="auto"/>
              <w:ind w:left="103" w:right="100"/>
              <w:jc w:val="both"/>
              <w:rPr>
                <w:rFonts w:ascii="宋体" w:hAnsi="宋体" w:eastAsia="宋体" w:cs="宋体"/>
                <w:sz w:val="24"/>
                <w:szCs w:val="24"/>
                <w:lang w:eastAsia="zh-CN"/>
              </w:rPr>
            </w:pPr>
            <w:r>
              <w:rPr>
                <w:rFonts w:hint="eastAsia" w:ascii="宋体" w:hAnsi="宋体" w:eastAsia="宋体" w:cs="宋体"/>
                <w:spacing w:val="-9"/>
                <w:sz w:val="24"/>
                <w:szCs w:val="24"/>
                <w:lang w:eastAsia="zh-CN"/>
              </w:rPr>
              <w:t>长汀县</w:t>
            </w:r>
            <w:r>
              <w:rPr>
                <w:rFonts w:ascii="宋体" w:hAnsi="宋体" w:eastAsia="宋体" w:cs="宋体"/>
                <w:spacing w:val="-9"/>
                <w:sz w:val="24"/>
                <w:szCs w:val="24"/>
                <w:lang w:eastAsia="zh-CN"/>
              </w:rPr>
              <w:t>水库渡口风景区建设项目，长汀步塘潭码头水利风景区提升工程，长汀县水保科教园水利风景区提升工程，长汀千工陂、定光陂水文化建设</w:t>
            </w:r>
          </w:p>
        </w:tc>
      </w:tr>
      <w:tr w14:paraId="573FB0C7">
        <w:tblPrEx>
          <w:tblCellMar>
            <w:top w:w="0" w:type="dxa"/>
            <w:left w:w="0" w:type="dxa"/>
            <w:bottom w:w="0" w:type="dxa"/>
            <w:right w:w="0" w:type="dxa"/>
          </w:tblCellMar>
        </w:tblPrEx>
        <w:trPr>
          <w:trHeight w:val="970" w:hRule="exact"/>
        </w:trPr>
        <w:tc>
          <w:tcPr>
            <w:tcW w:w="8811" w:type="dxa"/>
            <w:tcBorders>
              <w:top w:val="dotted" w:color="000000" w:sz="4" w:space="0"/>
              <w:left w:val="single" w:color="000000" w:sz="4" w:space="0"/>
              <w:bottom w:val="single" w:color="000000" w:sz="4" w:space="0"/>
              <w:right w:val="single" w:color="000000" w:sz="4" w:space="0"/>
            </w:tcBorders>
          </w:tcPr>
          <w:p w14:paraId="22A41FC9">
            <w:pPr>
              <w:pStyle w:val="65"/>
              <w:spacing w:line="307" w:lineRule="exact"/>
              <w:ind w:left="103"/>
              <w:rPr>
                <w:rFonts w:ascii="宋体" w:hAnsi="宋体" w:eastAsia="宋体" w:cs="Microsoft JhengHei"/>
                <w:sz w:val="24"/>
                <w:szCs w:val="24"/>
                <w:lang w:eastAsia="zh-CN"/>
              </w:rPr>
            </w:pPr>
            <w:r>
              <w:rPr>
                <w:rFonts w:ascii="宋体" w:hAnsi="宋体" w:eastAsia="宋体" w:cs="Microsoft JhengHei"/>
                <w:b/>
                <w:bCs/>
                <w:sz w:val="24"/>
                <w:szCs w:val="24"/>
                <w:lang w:eastAsia="zh-CN"/>
              </w:rPr>
              <w:t>深化文旅融合</w:t>
            </w:r>
          </w:p>
          <w:p w14:paraId="0D642DDA">
            <w:pPr>
              <w:pStyle w:val="65"/>
              <w:spacing w:line="247" w:lineRule="auto"/>
              <w:ind w:left="103" w:right="105"/>
              <w:rPr>
                <w:rFonts w:ascii="宋体" w:hAnsi="宋体" w:eastAsia="宋体" w:cs="宋体"/>
                <w:sz w:val="24"/>
                <w:szCs w:val="24"/>
                <w:lang w:eastAsia="zh-CN"/>
              </w:rPr>
            </w:pPr>
            <w:r>
              <w:rPr>
                <w:rFonts w:hint="eastAsia" w:ascii="宋体" w:hAnsi="宋体" w:eastAsia="宋体" w:cs="宋体"/>
                <w:spacing w:val="-3"/>
                <w:sz w:val="24"/>
                <w:szCs w:val="24"/>
                <w:lang w:eastAsia="zh-CN"/>
              </w:rPr>
              <w:t>长汀县“一江两岸”生态红韵客家水脉文旅共生项目、羊牯汀江</w:t>
            </w:r>
            <w:r>
              <w:rPr>
                <w:rFonts w:ascii="宋体" w:hAnsi="宋体" w:eastAsia="宋体" w:cs="宋体"/>
                <w:spacing w:val="-3"/>
                <w:sz w:val="24"/>
                <w:szCs w:val="24"/>
                <w:lang w:eastAsia="zh-CN"/>
              </w:rPr>
              <w:t>水利风景区提升工程</w:t>
            </w:r>
          </w:p>
        </w:tc>
      </w:tr>
    </w:tbl>
    <w:p w14:paraId="668EF952">
      <w:pPr>
        <w:ind w:firstLine="565" w:firstLineChars="202"/>
        <w:rPr>
          <w:rFonts w:ascii="宋体" w:hAnsi="宋体"/>
        </w:rPr>
      </w:pPr>
    </w:p>
    <w:p w14:paraId="6C210987">
      <w:pPr>
        <w:pStyle w:val="4"/>
        <w:numPr>
          <w:ilvl w:val="2"/>
          <w:numId w:val="2"/>
        </w:numPr>
        <w:rPr>
          <w:rFonts w:ascii="宋体" w:hAnsi="宋体"/>
          <w:color w:val="auto"/>
        </w:rPr>
      </w:pPr>
      <w:r>
        <w:rPr>
          <w:rFonts w:hint="eastAsia" w:ascii="宋体" w:hAnsi="宋体"/>
          <w:color w:val="auto"/>
        </w:rPr>
        <w:t>促进水经济发展</w:t>
      </w:r>
    </w:p>
    <w:p w14:paraId="608EFB89">
      <w:pPr>
        <w:ind w:firstLine="565" w:firstLineChars="202"/>
        <w:rPr>
          <w:rFonts w:ascii="宋体" w:hAnsi="宋体"/>
        </w:rPr>
      </w:pPr>
      <w:r>
        <w:rPr>
          <w:rFonts w:hint="eastAsia" w:ascii="宋体" w:hAnsi="宋体"/>
        </w:rPr>
        <w:t>习近平总书记指出，绿水青山就是金山银山。长汀县始</w:t>
      </w:r>
      <w:r>
        <w:rPr>
          <w:rFonts w:ascii="宋体" w:hAnsi="宋体"/>
        </w:rPr>
        <w:t>终将这一重要理念落到实处，“十五五”期间，继续深化升</w:t>
      </w:r>
      <w:r>
        <w:rPr>
          <w:rFonts w:hint="eastAsia" w:ascii="宋体" w:hAnsi="宋体"/>
        </w:rPr>
        <w:t>级，积极探索并走出了一条独具长汀特色的绿色水经济发展</w:t>
      </w:r>
      <w:r>
        <w:rPr>
          <w:rFonts w:ascii="宋体" w:hAnsi="宋体"/>
        </w:rPr>
        <w:t>道路，稳步推进绿水青山向金山银山的有效转化。探索水生态产品价值实现机制</w:t>
      </w:r>
      <w:r>
        <w:rPr>
          <w:rFonts w:hint="eastAsia" w:ascii="宋体" w:hAnsi="宋体"/>
        </w:rPr>
        <w:t>，</w:t>
      </w:r>
      <w:r>
        <w:rPr>
          <w:rFonts w:ascii="宋体" w:hAnsi="宋体"/>
        </w:rPr>
        <w:t>继续推进水经济建设，以强基护水、以文活水、以产兴水、数智治水为总基调，立足水资源分布情况及流域产业发展条件和基础，形成区域联动、上下游牵</w:t>
      </w:r>
      <w:r>
        <w:rPr>
          <w:rFonts w:hint="eastAsia" w:ascii="宋体" w:hAnsi="宋体"/>
        </w:rPr>
        <w:t>引的产业协同发展格局。</w:t>
      </w:r>
    </w:p>
    <w:p w14:paraId="0142DEA7">
      <w:pPr>
        <w:ind w:firstLine="566"/>
        <w:rPr>
          <w:rFonts w:ascii="宋体" w:hAnsi="宋体"/>
        </w:rPr>
      </w:pPr>
      <w:r>
        <w:rPr>
          <w:rFonts w:ascii="宋体" w:hAnsi="宋体"/>
        </w:rPr>
        <w:t>（1）探索水生态产品价值实现机制</w:t>
      </w:r>
    </w:p>
    <w:p w14:paraId="7721A3FD">
      <w:pPr>
        <w:ind w:firstLine="566"/>
        <w:rPr>
          <w:rFonts w:ascii="宋体" w:hAnsi="宋体"/>
        </w:rPr>
      </w:pPr>
      <w:r>
        <w:rPr>
          <w:rFonts w:ascii="宋体" w:hAnsi="宋体"/>
        </w:rPr>
        <w:t>立足</w:t>
      </w:r>
      <w:r>
        <w:rPr>
          <w:rFonts w:hint="eastAsia" w:ascii="宋体" w:hAnsi="宋体"/>
        </w:rPr>
        <w:t>长汀县</w:t>
      </w:r>
      <w:r>
        <w:rPr>
          <w:rFonts w:ascii="宋体" w:hAnsi="宋体"/>
        </w:rPr>
        <w:t>山清水秀的自然山水基底，紧扣境内主要江</w:t>
      </w:r>
      <w:r>
        <w:rPr>
          <w:rFonts w:hint="eastAsia" w:ascii="宋体" w:hAnsi="宋体"/>
        </w:rPr>
        <w:t>河流域“自然脉络”与水系原生特征，以幸福河湖建设为重</w:t>
      </w:r>
      <w:r>
        <w:rPr>
          <w:rFonts w:ascii="宋体" w:hAnsi="宋体"/>
        </w:rPr>
        <w:t>要载体，加快建立健全河湖生态产品价值实现机制。开展河湖生态产品调查，探索建立河湖生态产品价值核算体系，建立转化收益反哺机制，促进河湖保护治理可持续发展。在确保防洪、供水、生态安全的前提下，依托各地资源差异与发展需求，打造“</w:t>
      </w:r>
      <w:r>
        <w:rPr>
          <w:rFonts w:hint="eastAsia" w:ascii="宋体" w:hAnsi="宋体"/>
        </w:rPr>
        <w:t>长汀</w:t>
      </w:r>
      <w:r>
        <w:rPr>
          <w:rFonts w:ascii="宋体" w:hAnsi="宋体"/>
        </w:rPr>
        <w:t>特色”的实践案例，推动生态观光、休闲康养、绿色航运等业态有序发展，让河湖生态优势转化为发展优势，实现生态效益、社会效益与经济效益的有机统一。</w:t>
      </w:r>
    </w:p>
    <w:p w14:paraId="3A82E0A9">
      <w:pPr>
        <w:ind w:firstLine="565" w:firstLineChars="202"/>
        <w:rPr>
          <w:rFonts w:ascii="宋体" w:hAnsi="宋体"/>
        </w:rPr>
      </w:pPr>
      <w:r>
        <w:rPr>
          <w:rFonts w:hint="eastAsia" w:ascii="宋体" w:hAnsi="宋体"/>
        </w:rPr>
        <w:t>（</w:t>
      </w:r>
      <w:r>
        <w:rPr>
          <w:rFonts w:ascii="宋体" w:hAnsi="宋体"/>
        </w:rPr>
        <w:t>2）发展绿色传统水产业</w:t>
      </w:r>
    </w:p>
    <w:p w14:paraId="2B53CF48">
      <w:pPr>
        <w:ind w:firstLine="565" w:firstLineChars="202"/>
        <w:rPr>
          <w:rFonts w:ascii="宋体" w:hAnsi="宋体"/>
        </w:rPr>
      </w:pPr>
      <w:r>
        <w:rPr>
          <w:rFonts w:hint="eastAsia" w:ascii="宋体" w:hAnsi="宋体"/>
        </w:rPr>
        <w:t>依托丰富的水利设施、优质的水资源和独特的地方特色农业，构建集生态农业、绿色养殖、健康饮品等多元化功能</w:t>
      </w:r>
      <w:r>
        <w:rPr>
          <w:rFonts w:ascii="宋体" w:hAnsi="宋体"/>
        </w:rPr>
        <w:t>于一体的传统水经济产业生态圈。通过水安全保障和水生态保护工程体系建设，实现强基护水。推动水产养殖绿色发展。</w:t>
      </w:r>
    </w:p>
    <w:p w14:paraId="70BD9C40">
      <w:pPr>
        <w:ind w:firstLine="565" w:firstLineChars="202"/>
        <w:rPr>
          <w:rFonts w:ascii="宋体" w:hAnsi="宋体"/>
        </w:rPr>
      </w:pPr>
      <w:r>
        <w:rPr>
          <w:rFonts w:hint="eastAsia" w:ascii="宋体" w:hAnsi="宋体"/>
        </w:rPr>
        <w:t>（</w:t>
      </w:r>
      <w:r>
        <w:rPr>
          <w:rFonts w:ascii="宋体" w:hAnsi="宋体"/>
        </w:rPr>
        <w:t>3）做大做优涉水文旅产业</w:t>
      </w:r>
    </w:p>
    <w:p w14:paraId="7FC722F5">
      <w:pPr>
        <w:ind w:firstLine="565" w:firstLineChars="202"/>
        <w:rPr>
          <w:rFonts w:ascii="宋体" w:hAnsi="宋体"/>
        </w:rPr>
      </w:pPr>
      <w:r>
        <w:rPr>
          <w:rFonts w:hint="eastAsia" w:ascii="宋体" w:hAnsi="宋体"/>
        </w:rPr>
        <w:t>依托水库、河流岸线等优势生态资源和当地文旅资源，</w:t>
      </w:r>
      <w:r>
        <w:rPr>
          <w:rFonts w:ascii="宋体" w:hAnsi="宋体"/>
        </w:rPr>
        <w:t>按以水为脉、以水串景、以水为媒发展路径，打造度假</w:t>
      </w:r>
      <w:r>
        <w:rPr>
          <w:rFonts w:hint="eastAsia" w:ascii="宋体" w:hAnsi="宋体"/>
        </w:rPr>
        <w:t>、</w:t>
      </w:r>
      <w:r>
        <w:rPr>
          <w:rFonts w:ascii="宋体" w:hAnsi="宋体"/>
        </w:rPr>
        <w:t>养生、体验、休闲、体育、教育等多元化特色的文旅康养产业体系，深度推进水生态价值外溢，培育水经济文旅新业态。激活滨水经济，重点打造</w:t>
      </w:r>
      <w:r>
        <w:rPr>
          <w:rFonts w:hint="eastAsia" w:ascii="宋体" w:hAnsi="宋体"/>
        </w:rPr>
        <w:t>水上特色</w:t>
      </w:r>
      <w:r>
        <w:rPr>
          <w:rFonts w:ascii="宋体" w:hAnsi="宋体"/>
        </w:rPr>
        <w:t>航道，打造特色涉水运动产品。推进“</w:t>
      </w:r>
      <w:r>
        <w:rPr>
          <w:rFonts w:hint="eastAsia" w:ascii="宋体" w:hAnsi="宋体"/>
        </w:rPr>
        <w:t>“一江两岸”生态红韵客家水脉</w:t>
      </w:r>
      <w:r>
        <w:rPr>
          <w:rFonts w:ascii="宋体" w:hAnsi="宋体"/>
        </w:rPr>
        <w:t>”运营项目，激活水的经济价值。</w:t>
      </w:r>
    </w:p>
    <w:p w14:paraId="7BE69654">
      <w:pPr>
        <w:ind w:firstLine="565" w:firstLineChars="202"/>
        <w:rPr>
          <w:rFonts w:ascii="宋体" w:hAnsi="宋体"/>
        </w:rPr>
      </w:pPr>
      <w:r>
        <w:rPr>
          <w:rFonts w:hint="eastAsia" w:ascii="宋体" w:hAnsi="宋体"/>
        </w:rPr>
        <w:t>（</w:t>
      </w:r>
      <w:r>
        <w:rPr>
          <w:rFonts w:ascii="宋体" w:hAnsi="宋体"/>
        </w:rPr>
        <w:t>4）培育壮大战略性新兴产业</w:t>
      </w:r>
    </w:p>
    <w:p w14:paraId="6F9FFD62">
      <w:pPr>
        <w:ind w:firstLine="565" w:firstLineChars="202"/>
        <w:rPr>
          <w:rFonts w:ascii="宋体" w:hAnsi="宋体"/>
        </w:rPr>
      </w:pPr>
      <w:r>
        <w:rPr>
          <w:rFonts w:hint="eastAsia" w:ascii="宋体" w:hAnsi="宋体"/>
        </w:rPr>
        <w:t>新兴水产业发展前景广阔但基本处于起步阶段，探索符合</w:t>
      </w:r>
      <w:r>
        <w:rPr>
          <w:rFonts w:ascii="宋体" w:hAnsi="宋体"/>
        </w:rPr>
        <w:t>资源禀赋条件和当地产业布局的模式和路径。遵循绿色转型和高端发展的基本原则，积极构建一个多元化、综合性的产业格局，涵盖涉水领域的高端制造业、大健康服务产业，以及新材料和新能源等前沿领域。通过全方位的产业布局，致力于全面</w:t>
      </w:r>
      <w:r>
        <w:rPr>
          <w:rFonts w:hint="eastAsia" w:ascii="宋体" w:hAnsi="宋体"/>
        </w:rPr>
        <w:t>拓展水产业的价值链，深入挖掘和培育水经济的新增长点，从而推动水经济的持续健康发展。同时，根据不同地区的实际情</w:t>
      </w:r>
      <w:r>
        <w:rPr>
          <w:rFonts w:ascii="宋体" w:hAnsi="宋体"/>
        </w:rPr>
        <w:t>况和资源禀赋，因地制宜地培育和发展具有地方特色的新质生产力，以实现区域经济的均衡发展和可持续发展。</w:t>
      </w:r>
    </w:p>
    <w:p w14:paraId="6EF5284E">
      <w:pPr>
        <w:ind w:firstLine="565" w:firstLineChars="202"/>
        <w:rPr>
          <w:rFonts w:ascii="宋体" w:hAnsi="宋体"/>
        </w:rPr>
      </w:pPr>
      <w:r>
        <w:rPr>
          <w:rFonts w:hint="eastAsia" w:ascii="宋体" w:hAnsi="宋体"/>
        </w:rPr>
        <w:t>（</w:t>
      </w:r>
      <w:r>
        <w:rPr>
          <w:rFonts w:ascii="宋体" w:hAnsi="宋体"/>
        </w:rPr>
        <w:t>5）探索完善水金融体系</w:t>
      </w:r>
    </w:p>
    <w:p w14:paraId="6AD79DD3">
      <w:pPr>
        <w:ind w:firstLine="565" w:firstLineChars="202"/>
        <w:rPr>
          <w:rFonts w:ascii="宋体" w:hAnsi="宋体"/>
        </w:rPr>
      </w:pPr>
      <w:r>
        <w:rPr>
          <w:rFonts w:hint="eastAsia" w:ascii="宋体" w:hAnsi="宋体"/>
        </w:rPr>
        <w:t>创新水资源投融资模式，深入推进水利投融资改革，拓</w:t>
      </w:r>
      <w:r>
        <w:rPr>
          <w:rFonts w:ascii="宋体" w:hAnsi="宋体"/>
        </w:rPr>
        <w:t>宽水利建设长期资金筹措渠道。建立合理的回报机制，鼓励运用特许经营、股权合作、企业债券、REITs、政府购买服务等多种模式，吸引更多的市场主体投入水利基础设施建设及运营。</w:t>
      </w:r>
    </w:p>
    <w:p w14:paraId="04934987">
      <w:pPr>
        <w:tabs>
          <w:tab w:val="left" w:pos="3456"/>
        </w:tabs>
        <w:spacing w:line="406" w:lineRule="exact"/>
        <w:jc w:val="center"/>
        <w:rPr>
          <w:rFonts w:ascii="宋体" w:hAnsi="宋体" w:cs="Microsoft JhengHei"/>
          <w:b/>
          <w:bCs/>
          <w:sz w:val="30"/>
          <w:szCs w:val="30"/>
        </w:rPr>
      </w:pPr>
      <w:r>
        <w:rPr>
          <w:rFonts w:ascii="宋体" w:hAnsi="宋体" w:cs="Microsoft JhengHei"/>
          <w:b/>
          <w:bCs/>
          <w:sz w:val="30"/>
          <w:szCs w:val="30"/>
        </w:rPr>
        <w:t>专栏5-6</w:t>
      </w:r>
      <w:r>
        <w:rPr>
          <w:rFonts w:hint="eastAsia" w:ascii="宋体" w:hAnsi="宋体" w:cs="Microsoft JhengHei"/>
          <w:b/>
          <w:bCs/>
          <w:sz w:val="30"/>
          <w:szCs w:val="30"/>
        </w:rPr>
        <w:t xml:space="preserve">         长汀县</w:t>
      </w:r>
      <w:r>
        <w:rPr>
          <w:rFonts w:ascii="宋体" w:hAnsi="宋体" w:cs="Microsoft JhengHei"/>
          <w:b/>
          <w:bCs/>
          <w:sz w:val="30"/>
          <w:szCs w:val="30"/>
        </w:rPr>
        <w:t>水经济发展任务</w:t>
      </w:r>
    </w:p>
    <w:tbl>
      <w:tblPr>
        <w:tblStyle w:val="63"/>
        <w:tblW w:w="8298" w:type="dxa"/>
        <w:tblInd w:w="120" w:type="dxa"/>
        <w:tblLayout w:type="fixed"/>
        <w:tblCellMar>
          <w:top w:w="0" w:type="dxa"/>
          <w:left w:w="0" w:type="dxa"/>
          <w:bottom w:w="0" w:type="dxa"/>
          <w:right w:w="0" w:type="dxa"/>
        </w:tblCellMar>
      </w:tblPr>
      <w:tblGrid>
        <w:gridCol w:w="8298"/>
      </w:tblGrid>
      <w:tr w14:paraId="1BBB745D">
        <w:tblPrEx>
          <w:tblCellMar>
            <w:top w:w="0" w:type="dxa"/>
            <w:left w:w="0" w:type="dxa"/>
            <w:bottom w:w="0" w:type="dxa"/>
            <w:right w:w="0" w:type="dxa"/>
          </w:tblCellMar>
        </w:tblPrEx>
        <w:trPr>
          <w:trHeight w:val="1930" w:hRule="exact"/>
        </w:trPr>
        <w:tc>
          <w:tcPr>
            <w:tcW w:w="8298" w:type="dxa"/>
            <w:tcBorders>
              <w:top w:val="single" w:color="000000" w:sz="4" w:space="0"/>
              <w:left w:val="single" w:color="000000" w:sz="4" w:space="0"/>
              <w:bottom w:val="dotted" w:color="000000" w:sz="4" w:space="0"/>
              <w:right w:val="single" w:color="000000" w:sz="4" w:space="0"/>
            </w:tcBorders>
          </w:tcPr>
          <w:p w14:paraId="56D9A17C">
            <w:pPr>
              <w:pStyle w:val="65"/>
              <w:spacing w:line="307" w:lineRule="exact"/>
              <w:ind w:left="103"/>
              <w:jc w:val="both"/>
              <w:rPr>
                <w:rFonts w:ascii="Microsoft JhengHei" w:hAnsi="Microsoft JhengHei" w:eastAsia="Microsoft JhengHei" w:cs="Microsoft JhengHei"/>
                <w:sz w:val="24"/>
                <w:szCs w:val="24"/>
                <w:lang w:eastAsia="zh-CN"/>
              </w:rPr>
            </w:pPr>
            <w:r>
              <w:rPr>
                <w:rFonts w:ascii="Microsoft JhengHei" w:hAnsi="Microsoft JhengHei" w:eastAsia="Microsoft JhengHei" w:cs="Microsoft JhengHei"/>
                <w:b/>
                <w:bCs/>
                <w:sz w:val="24"/>
                <w:szCs w:val="24"/>
                <w:lang w:eastAsia="zh-CN"/>
              </w:rPr>
              <w:t>探索水生态产品价值实现机制</w:t>
            </w:r>
          </w:p>
          <w:p w14:paraId="7614EC55">
            <w:pPr>
              <w:pStyle w:val="65"/>
              <w:spacing w:line="244" w:lineRule="auto"/>
              <w:ind w:left="103" w:right="101"/>
              <w:jc w:val="both"/>
              <w:rPr>
                <w:rFonts w:ascii="宋体" w:hAnsi="宋体" w:eastAsia="宋体" w:cs="宋体"/>
                <w:sz w:val="24"/>
                <w:szCs w:val="24"/>
                <w:lang w:eastAsia="zh-CN"/>
              </w:rPr>
            </w:pPr>
            <w:r>
              <w:rPr>
                <w:rFonts w:ascii="宋体" w:hAnsi="宋体" w:eastAsia="宋体" w:cs="宋体"/>
                <w:spacing w:val="-3"/>
                <w:sz w:val="24"/>
                <w:szCs w:val="24"/>
                <w:lang w:eastAsia="zh-CN"/>
              </w:rPr>
              <w:t>立足</w:t>
            </w:r>
            <w:r>
              <w:rPr>
                <w:rFonts w:hint="eastAsia" w:ascii="宋体" w:hAnsi="宋体" w:eastAsia="宋体" w:cs="宋体"/>
                <w:spacing w:val="-3"/>
                <w:sz w:val="24"/>
                <w:szCs w:val="24"/>
                <w:lang w:eastAsia="zh-CN"/>
              </w:rPr>
              <w:t>长汀县</w:t>
            </w:r>
            <w:r>
              <w:rPr>
                <w:rFonts w:ascii="宋体" w:hAnsi="宋体" w:eastAsia="宋体" w:cs="宋体"/>
                <w:spacing w:val="-3"/>
                <w:sz w:val="24"/>
                <w:szCs w:val="24"/>
                <w:lang w:eastAsia="zh-CN"/>
              </w:rPr>
              <w:t>山清水秀的自然山水基底，紧扣境内主要江河流域“自然脉络”与</w:t>
            </w:r>
            <w:r>
              <w:rPr>
                <w:rFonts w:ascii="宋体" w:hAnsi="宋体" w:eastAsia="宋体" w:cs="宋体"/>
                <w:spacing w:val="-98"/>
                <w:sz w:val="24"/>
                <w:szCs w:val="24"/>
                <w:lang w:eastAsia="zh-CN"/>
              </w:rPr>
              <w:t xml:space="preserve"> </w:t>
            </w:r>
            <w:r>
              <w:rPr>
                <w:rFonts w:ascii="宋体" w:hAnsi="宋体" w:eastAsia="宋体" w:cs="宋体"/>
                <w:spacing w:val="-3"/>
                <w:sz w:val="24"/>
                <w:szCs w:val="24"/>
                <w:lang w:eastAsia="zh-CN"/>
              </w:rPr>
              <w:t>水系原生特征，以幸福河湖建设为重要载体，加快建立健全河湖生态产品价值</w:t>
            </w:r>
            <w:r>
              <w:rPr>
                <w:rFonts w:ascii="宋体" w:hAnsi="宋体" w:eastAsia="宋体" w:cs="宋体"/>
                <w:spacing w:val="-99"/>
                <w:sz w:val="24"/>
                <w:szCs w:val="24"/>
                <w:lang w:eastAsia="zh-CN"/>
              </w:rPr>
              <w:t xml:space="preserve"> </w:t>
            </w:r>
            <w:r>
              <w:rPr>
                <w:rFonts w:ascii="宋体" w:hAnsi="宋体" w:eastAsia="宋体" w:cs="宋体"/>
                <w:spacing w:val="-3"/>
                <w:sz w:val="24"/>
                <w:szCs w:val="24"/>
                <w:lang w:eastAsia="zh-CN"/>
              </w:rPr>
              <w:t>实现机制。开展河湖生态产品调查，探索建立河湖生态产品价值核算体系，建</w:t>
            </w:r>
            <w:r>
              <w:rPr>
                <w:rFonts w:ascii="宋体" w:hAnsi="宋体" w:eastAsia="宋体" w:cs="宋体"/>
                <w:spacing w:val="-99"/>
                <w:sz w:val="24"/>
                <w:szCs w:val="24"/>
                <w:lang w:eastAsia="zh-CN"/>
              </w:rPr>
              <w:t xml:space="preserve"> </w:t>
            </w:r>
            <w:r>
              <w:rPr>
                <w:rFonts w:ascii="宋体" w:hAnsi="宋体" w:eastAsia="宋体" w:cs="宋体"/>
                <w:spacing w:val="-3"/>
                <w:sz w:val="24"/>
                <w:szCs w:val="24"/>
                <w:lang w:eastAsia="zh-CN"/>
              </w:rPr>
              <w:t>立转化收益反哺机制。在确保防洪、供水、生态安全的前提下，依托各地资源</w:t>
            </w:r>
            <w:r>
              <w:rPr>
                <w:rFonts w:ascii="宋体" w:hAnsi="宋体" w:eastAsia="宋体" w:cs="宋体"/>
                <w:spacing w:val="-100"/>
                <w:sz w:val="24"/>
                <w:szCs w:val="24"/>
                <w:lang w:eastAsia="zh-CN"/>
              </w:rPr>
              <w:t xml:space="preserve"> </w:t>
            </w:r>
            <w:r>
              <w:rPr>
                <w:rFonts w:ascii="宋体" w:hAnsi="宋体" w:eastAsia="宋体" w:cs="宋体"/>
                <w:sz w:val="24"/>
                <w:szCs w:val="24"/>
                <w:lang w:eastAsia="zh-CN"/>
              </w:rPr>
              <w:t>差异与发展需求，打造“</w:t>
            </w:r>
            <w:r>
              <w:rPr>
                <w:rFonts w:hint="eastAsia" w:ascii="宋体" w:hAnsi="宋体" w:eastAsia="宋体" w:cs="宋体"/>
                <w:sz w:val="24"/>
                <w:szCs w:val="24"/>
                <w:lang w:eastAsia="zh-CN"/>
              </w:rPr>
              <w:t>“一江两岸”生态红韵客家水脉</w:t>
            </w:r>
            <w:r>
              <w:rPr>
                <w:rFonts w:ascii="宋体" w:hAnsi="宋体" w:eastAsia="宋体" w:cs="宋体"/>
                <w:sz w:val="24"/>
                <w:szCs w:val="24"/>
                <w:lang w:eastAsia="zh-CN"/>
              </w:rPr>
              <w:t>”的实践案例。</w:t>
            </w:r>
          </w:p>
        </w:tc>
      </w:tr>
      <w:tr w14:paraId="4FF6443D">
        <w:tblPrEx>
          <w:tblCellMar>
            <w:top w:w="0" w:type="dxa"/>
            <w:left w:w="0" w:type="dxa"/>
            <w:bottom w:w="0" w:type="dxa"/>
            <w:right w:w="0" w:type="dxa"/>
          </w:tblCellMar>
        </w:tblPrEx>
        <w:trPr>
          <w:trHeight w:val="1271" w:hRule="exact"/>
        </w:trPr>
        <w:tc>
          <w:tcPr>
            <w:tcW w:w="8298" w:type="dxa"/>
            <w:tcBorders>
              <w:top w:val="dotted" w:color="000000" w:sz="4" w:space="0"/>
              <w:left w:val="single" w:color="000000" w:sz="4" w:space="0"/>
              <w:bottom w:val="dotted" w:color="000000" w:sz="4" w:space="0"/>
              <w:right w:val="single" w:color="000000" w:sz="4" w:space="0"/>
            </w:tcBorders>
          </w:tcPr>
          <w:p w14:paraId="016BD474">
            <w:pPr>
              <w:pStyle w:val="65"/>
              <w:spacing w:line="307" w:lineRule="exact"/>
              <w:ind w:left="103" w:right="-13"/>
              <w:rPr>
                <w:rFonts w:ascii="Microsoft JhengHei" w:hAnsi="Microsoft JhengHei" w:eastAsia="Microsoft JhengHei" w:cs="Microsoft JhengHei"/>
                <w:sz w:val="24"/>
                <w:szCs w:val="24"/>
                <w:lang w:eastAsia="zh-CN"/>
              </w:rPr>
            </w:pPr>
            <w:r>
              <w:rPr>
                <w:rFonts w:ascii="Microsoft JhengHei" w:hAnsi="Microsoft JhengHei" w:eastAsia="Microsoft JhengHei" w:cs="Microsoft JhengHei"/>
                <w:b/>
                <w:bCs/>
                <w:sz w:val="24"/>
                <w:szCs w:val="24"/>
                <w:lang w:eastAsia="zh-CN"/>
              </w:rPr>
              <w:t>发展绿色传统水产业</w:t>
            </w:r>
          </w:p>
          <w:p w14:paraId="43B08C08">
            <w:pPr>
              <w:pStyle w:val="65"/>
              <w:spacing w:line="244" w:lineRule="auto"/>
              <w:ind w:left="103" w:right="-13"/>
              <w:rPr>
                <w:rFonts w:ascii="宋体" w:hAnsi="宋体" w:eastAsia="宋体" w:cs="宋体"/>
                <w:spacing w:val="-100"/>
                <w:sz w:val="24"/>
                <w:szCs w:val="24"/>
                <w:lang w:eastAsia="zh-CN"/>
              </w:rPr>
            </w:pPr>
            <w:r>
              <w:rPr>
                <w:rFonts w:ascii="宋体" w:hAnsi="宋体" w:eastAsia="宋体" w:cs="宋体"/>
                <w:spacing w:val="-6"/>
                <w:sz w:val="24"/>
                <w:szCs w:val="24"/>
                <w:lang w:eastAsia="zh-CN"/>
              </w:rPr>
              <w:t>依托丰富的水利设施、优质的水资源和独特的地方特色农业，构建集生态农业、</w:t>
            </w:r>
            <w:r>
              <w:rPr>
                <w:rFonts w:ascii="宋体" w:hAnsi="宋体" w:eastAsia="宋体" w:cs="宋体"/>
                <w:spacing w:val="-112"/>
                <w:sz w:val="24"/>
                <w:szCs w:val="24"/>
                <w:lang w:eastAsia="zh-CN"/>
              </w:rPr>
              <w:t xml:space="preserve"> </w:t>
            </w:r>
            <w:r>
              <w:rPr>
                <w:rFonts w:ascii="宋体" w:hAnsi="宋体" w:eastAsia="宋体" w:cs="宋体"/>
                <w:spacing w:val="-3"/>
                <w:sz w:val="24"/>
                <w:szCs w:val="24"/>
                <w:lang w:eastAsia="zh-CN"/>
              </w:rPr>
              <w:t>绿色养殖、健康饮品等多元化功能于一体的传统水经济产业生态圈。通过水安</w:t>
            </w:r>
            <w:r>
              <w:rPr>
                <w:rFonts w:ascii="宋体" w:hAnsi="宋体" w:eastAsia="宋体" w:cs="宋体"/>
                <w:spacing w:val="-100"/>
                <w:sz w:val="24"/>
                <w:szCs w:val="24"/>
                <w:lang w:eastAsia="zh-CN"/>
              </w:rPr>
              <w:t xml:space="preserve"> </w:t>
            </w:r>
          </w:p>
          <w:p w14:paraId="20C21041">
            <w:pPr>
              <w:pStyle w:val="65"/>
              <w:spacing w:line="244" w:lineRule="auto"/>
              <w:ind w:left="103" w:right="-13"/>
              <w:rPr>
                <w:rFonts w:ascii="宋体" w:hAnsi="宋体" w:eastAsia="宋体" w:cs="宋体"/>
                <w:sz w:val="24"/>
                <w:szCs w:val="24"/>
                <w:lang w:eastAsia="zh-CN"/>
              </w:rPr>
            </w:pPr>
            <w:r>
              <w:rPr>
                <w:rFonts w:ascii="宋体" w:hAnsi="宋体" w:eastAsia="宋体" w:cs="宋体"/>
                <w:sz w:val="24"/>
                <w:szCs w:val="24"/>
                <w:lang w:eastAsia="zh-CN"/>
              </w:rPr>
              <w:t>全保障和水生态保护工程体系建设，实现强基护水。</w:t>
            </w:r>
          </w:p>
        </w:tc>
      </w:tr>
      <w:tr w14:paraId="2C87AFD9">
        <w:tblPrEx>
          <w:tblCellMar>
            <w:top w:w="0" w:type="dxa"/>
            <w:left w:w="0" w:type="dxa"/>
            <w:bottom w:w="0" w:type="dxa"/>
            <w:right w:w="0" w:type="dxa"/>
          </w:tblCellMar>
        </w:tblPrEx>
        <w:trPr>
          <w:trHeight w:val="1417" w:hRule="exact"/>
        </w:trPr>
        <w:tc>
          <w:tcPr>
            <w:tcW w:w="8298" w:type="dxa"/>
            <w:tcBorders>
              <w:top w:val="dotted" w:color="000000" w:sz="4" w:space="0"/>
              <w:left w:val="single" w:color="000000" w:sz="4" w:space="0"/>
              <w:bottom w:val="dotted" w:color="000000" w:sz="4" w:space="0"/>
              <w:right w:val="single" w:color="000000" w:sz="4" w:space="0"/>
            </w:tcBorders>
          </w:tcPr>
          <w:p w14:paraId="35A4A719">
            <w:pPr>
              <w:pStyle w:val="65"/>
              <w:spacing w:line="307" w:lineRule="exact"/>
              <w:ind w:left="103"/>
              <w:jc w:val="both"/>
              <w:rPr>
                <w:rFonts w:ascii="Microsoft JhengHei" w:hAnsi="Microsoft JhengHei" w:eastAsia="Microsoft JhengHei" w:cs="Microsoft JhengHei"/>
                <w:sz w:val="24"/>
                <w:szCs w:val="24"/>
                <w:lang w:eastAsia="zh-CN"/>
              </w:rPr>
            </w:pPr>
            <w:r>
              <w:rPr>
                <w:rFonts w:ascii="Microsoft JhengHei" w:hAnsi="Microsoft JhengHei" w:eastAsia="Microsoft JhengHei" w:cs="Microsoft JhengHei"/>
                <w:b/>
                <w:bCs/>
                <w:sz w:val="24"/>
                <w:szCs w:val="24"/>
                <w:lang w:eastAsia="zh-CN"/>
              </w:rPr>
              <w:t>做大做优涉水文旅产业</w:t>
            </w:r>
          </w:p>
          <w:p w14:paraId="08AB3E74">
            <w:pPr>
              <w:pStyle w:val="65"/>
              <w:spacing w:line="244" w:lineRule="auto"/>
              <w:ind w:left="103" w:right="102"/>
              <w:jc w:val="both"/>
              <w:rPr>
                <w:rFonts w:ascii="宋体" w:hAnsi="宋体" w:eastAsia="宋体" w:cs="宋体"/>
                <w:sz w:val="24"/>
                <w:szCs w:val="24"/>
                <w:lang w:eastAsia="zh-CN"/>
              </w:rPr>
            </w:pPr>
            <w:r>
              <w:rPr>
                <w:rFonts w:ascii="宋体" w:hAnsi="宋体" w:eastAsia="宋体" w:cs="宋体"/>
                <w:spacing w:val="-3"/>
                <w:sz w:val="24"/>
                <w:szCs w:val="24"/>
                <w:lang w:eastAsia="zh-CN"/>
              </w:rPr>
              <w:t>依托水库、河流岸线等优势生态资源和当地文旅资源，以水为媒发展路径，打</w:t>
            </w:r>
            <w:r>
              <w:rPr>
                <w:rFonts w:ascii="宋体" w:hAnsi="宋体" w:eastAsia="宋体" w:cs="宋体"/>
                <w:spacing w:val="-99"/>
                <w:sz w:val="24"/>
                <w:szCs w:val="24"/>
                <w:lang w:eastAsia="zh-CN"/>
              </w:rPr>
              <w:t xml:space="preserve"> </w:t>
            </w:r>
            <w:r>
              <w:rPr>
                <w:rFonts w:ascii="宋体" w:hAnsi="宋体" w:eastAsia="宋体" w:cs="宋体"/>
                <w:spacing w:val="-3"/>
                <w:sz w:val="24"/>
                <w:szCs w:val="24"/>
                <w:lang w:eastAsia="zh-CN"/>
              </w:rPr>
              <w:t>造多元化特色的文旅康养产业体系，深度推进水生态价值外溢，培育水经济文</w:t>
            </w:r>
            <w:r>
              <w:rPr>
                <w:rFonts w:ascii="宋体" w:hAnsi="宋体" w:eastAsia="宋体" w:cs="宋体"/>
                <w:spacing w:val="-100"/>
                <w:sz w:val="24"/>
                <w:szCs w:val="24"/>
                <w:lang w:eastAsia="zh-CN"/>
              </w:rPr>
              <w:t xml:space="preserve"> </w:t>
            </w:r>
            <w:r>
              <w:rPr>
                <w:rFonts w:ascii="宋体" w:hAnsi="宋体" w:eastAsia="宋体" w:cs="宋体"/>
                <w:spacing w:val="-3"/>
                <w:sz w:val="24"/>
                <w:szCs w:val="24"/>
                <w:lang w:eastAsia="zh-CN"/>
              </w:rPr>
              <w:t>旅新业态。推进</w:t>
            </w:r>
            <w:r>
              <w:rPr>
                <w:rFonts w:hint="eastAsia" w:ascii="宋体" w:hAnsi="宋体" w:eastAsia="宋体" w:cs="宋体"/>
                <w:spacing w:val="-3"/>
                <w:sz w:val="24"/>
                <w:szCs w:val="24"/>
                <w:lang w:eastAsia="zh-CN"/>
              </w:rPr>
              <w:t>““一江两岸”生态红韵客家水脉”</w:t>
            </w:r>
            <w:r>
              <w:rPr>
                <w:rFonts w:ascii="宋体" w:hAnsi="宋体" w:eastAsia="宋体" w:cs="宋体"/>
                <w:spacing w:val="-3"/>
                <w:sz w:val="24"/>
                <w:szCs w:val="24"/>
                <w:lang w:eastAsia="zh-CN"/>
              </w:rPr>
              <w:t>运营项目</w:t>
            </w:r>
            <w:r>
              <w:rPr>
                <w:rFonts w:ascii="宋体" w:hAnsi="宋体" w:eastAsia="宋体" w:cs="宋体"/>
                <w:sz w:val="24"/>
                <w:szCs w:val="24"/>
                <w:lang w:eastAsia="zh-CN"/>
              </w:rPr>
              <w:t>，激活水的经济价值。</w:t>
            </w:r>
          </w:p>
        </w:tc>
      </w:tr>
      <w:tr w14:paraId="4DCB41FA">
        <w:tblPrEx>
          <w:tblCellMar>
            <w:top w:w="0" w:type="dxa"/>
            <w:left w:w="0" w:type="dxa"/>
            <w:bottom w:w="0" w:type="dxa"/>
            <w:right w:w="0" w:type="dxa"/>
          </w:tblCellMar>
        </w:tblPrEx>
        <w:trPr>
          <w:trHeight w:val="1417" w:hRule="exact"/>
        </w:trPr>
        <w:tc>
          <w:tcPr>
            <w:tcW w:w="8298" w:type="dxa"/>
            <w:tcBorders>
              <w:top w:val="dotted" w:color="000000" w:sz="4" w:space="0"/>
              <w:left w:val="single" w:color="000000" w:sz="4" w:space="0"/>
              <w:bottom w:val="dotted" w:color="000000" w:sz="4" w:space="0"/>
              <w:right w:val="single" w:color="000000" w:sz="4" w:space="0"/>
            </w:tcBorders>
          </w:tcPr>
          <w:p w14:paraId="59B4F12B">
            <w:pPr>
              <w:spacing w:line="312" w:lineRule="exact"/>
              <w:ind w:left="107"/>
              <w:rPr>
                <w:rFonts w:ascii="Microsoft JhengHei" w:hAnsi="Microsoft JhengHei" w:eastAsia="Microsoft JhengHei" w:cs="Microsoft JhengHei"/>
                <w:sz w:val="24"/>
                <w:szCs w:val="24"/>
                <w:lang w:eastAsia="zh-CN"/>
              </w:rPr>
            </w:pPr>
            <w:r>
              <w:rPr>
                <w:rFonts w:ascii="Microsoft JhengHei" w:hAnsi="Microsoft JhengHei" w:eastAsia="Microsoft JhengHei" w:cs="Microsoft JhengHei"/>
                <w:b/>
                <w:bCs/>
                <w:spacing w:val="2"/>
                <w:sz w:val="24"/>
                <w:szCs w:val="24"/>
                <w:lang w:eastAsia="zh-CN"/>
              </w:rPr>
              <w:t>培</w:t>
            </w:r>
            <w:r>
              <w:rPr>
                <w:rFonts w:ascii="Microsoft JhengHei" w:hAnsi="Microsoft JhengHei" w:eastAsia="Microsoft JhengHei" w:cs="Microsoft JhengHei"/>
                <w:b/>
                <w:bCs/>
                <w:sz w:val="24"/>
                <w:szCs w:val="24"/>
                <w:lang w:eastAsia="zh-CN"/>
              </w:rPr>
              <w:t>育</w:t>
            </w:r>
            <w:r>
              <w:rPr>
                <w:rFonts w:ascii="Microsoft JhengHei" w:hAnsi="Microsoft JhengHei" w:eastAsia="Microsoft JhengHei" w:cs="Microsoft JhengHei"/>
                <w:b/>
                <w:bCs/>
                <w:spacing w:val="2"/>
                <w:sz w:val="24"/>
                <w:szCs w:val="24"/>
                <w:lang w:eastAsia="zh-CN"/>
              </w:rPr>
              <w:t>壮</w:t>
            </w:r>
            <w:r>
              <w:rPr>
                <w:rFonts w:ascii="Microsoft JhengHei" w:hAnsi="Microsoft JhengHei" w:eastAsia="Microsoft JhengHei" w:cs="Microsoft JhengHei"/>
                <w:b/>
                <w:bCs/>
                <w:sz w:val="24"/>
                <w:szCs w:val="24"/>
                <w:lang w:eastAsia="zh-CN"/>
              </w:rPr>
              <w:t>大战</w:t>
            </w:r>
            <w:r>
              <w:rPr>
                <w:rFonts w:ascii="Microsoft JhengHei" w:hAnsi="Microsoft JhengHei" w:eastAsia="Microsoft JhengHei" w:cs="Microsoft JhengHei"/>
                <w:b/>
                <w:bCs/>
                <w:spacing w:val="2"/>
                <w:sz w:val="24"/>
                <w:szCs w:val="24"/>
                <w:lang w:eastAsia="zh-CN"/>
              </w:rPr>
              <w:t>略</w:t>
            </w:r>
            <w:r>
              <w:rPr>
                <w:rFonts w:ascii="Microsoft JhengHei" w:hAnsi="Microsoft JhengHei" w:eastAsia="Microsoft JhengHei" w:cs="Microsoft JhengHei"/>
                <w:b/>
                <w:bCs/>
                <w:sz w:val="24"/>
                <w:szCs w:val="24"/>
                <w:lang w:eastAsia="zh-CN"/>
              </w:rPr>
              <w:t>性</w:t>
            </w:r>
            <w:r>
              <w:rPr>
                <w:rFonts w:ascii="Microsoft JhengHei" w:hAnsi="Microsoft JhengHei" w:eastAsia="Microsoft JhengHei" w:cs="Microsoft JhengHei"/>
                <w:b/>
                <w:bCs/>
                <w:spacing w:val="2"/>
                <w:sz w:val="24"/>
                <w:szCs w:val="24"/>
                <w:lang w:eastAsia="zh-CN"/>
              </w:rPr>
              <w:t>新</w:t>
            </w:r>
            <w:r>
              <w:rPr>
                <w:rFonts w:ascii="Microsoft JhengHei" w:hAnsi="Microsoft JhengHei" w:eastAsia="Microsoft JhengHei" w:cs="Microsoft JhengHei"/>
                <w:b/>
                <w:bCs/>
                <w:sz w:val="24"/>
                <w:szCs w:val="24"/>
                <w:lang w:eastAsia="zh-CN"/>
              </w:rPr>
              <w:t>兴产业</w:t>
            </w:r>
          </w:p>
          <w:p w14:paraId="59A5EEE9">
            <w:pPr>
              <w:pStyle w:val="65"/>
              <w:spacing w:line="307" w:lineRule="exact"/>
              <w:ind w:left="103"/>
              <w:jc w:val="both"/>
              <w:rPr>
                <w:rFonts w:ascii="Microsoft JhengHei" w:hAnsi="Microsoft JhengHei" w:eastAsia="Microsoft JhengHei" w:cs="Microsoft JhengHei"/>
                <w:b/>
                <w:bCs/>
                <w:sz w:val="24"/>
                <w:szCs w:val="24"/>
                <w:lang w:eastAsia="zh-CN"/>
              </w:rPr>
            </w:pPr>
            <w:r>
              <w:rPr>
                <w:rFonts w:ascii="宋体" w:hAnsi="宋体" w:cs="宋体"/>
                <w:sz w:val="24"/>
                <w:szCs w:val="24"/>
                <w:lang w:eastAsia="zh-CN"/>
              </w:rPr>
              <w:t>遵循绿色转型</w:t>
            </w:r>
            <w:r>
              <w:rPr>
                <w:rFonts w:ascii="宋体" w:hAnsi="宋体" w:cs="宋体"/>
                <w:spacing w:val="-20"/>
                <w:sz w:val="24"/>
                <w:szCs w:val="24"/>
                <w:lang w:eastAsia="zh-CN"/>
              </w:rPr>
              <w:t>、</w:t>
            </w:r>
            <w:r>
              <w:rPr>
                <w:rFonts w:ascii="宋体" w:hAnsi="宋体" w:cs="宋体"/>
                <w:sz w:val="24"/>
                <w:szCs w:val="24"/>
                <w:lang w:eastAsia="zh-CN"/>
              </w:rPr>
              <w:t>高端发展原则</w:t>
            </w:r>
            <w:r>
              <w:rPr>
                <w:rFonts w:ascii="宋体" w:hAnsi="宋体" w:cs="宋体"/>
                <w:spacing w:val="-20"/>
                <w:sz w:val="24"/>
                <w:szCs w:val="24"/>
                <w:lang w:eastAsia="zh-CN"/>
              </w:rPr>
              <w:t>，</w:t>
            </w:r>
            <w:r>
              <w:rPr>
                <w:rFonts w:ascii="宋体" w:hAnsi="宋体" w:cs="宋体"/>
                <w:sz w:val="24"/>
                <w:szCs w:val="24"/>
                <w:lang w:eastAsia="zh-CN"/>
              </w:rPr>
              <w:t>构建涵盖涉水高端制造业</w:t>
            </w:r>
            <w:r>
              <w:rPr>
                <w:rFonts w:ascii="宋体" w:hAnsi="宋体" w:cs="宋体"/>
                <w:spacing w:val="-20"/>
                <w:sz w:val="24"/>
                <w:szCs w:val="24"/>
                <w:lang w:eastAsia="zh-CN"/>
              </w:rPr>
              <w:t>、</w:t>
            </w:r>
            <w:r>
              <w:rPr>
                <w:rFonts w:ascii="宋体" w:hAnsi="宋体" w:cs="宋体"/>
                <w:sz w:val="24"/>
                <w:szCs w:val="24"/>
                <w:lang w:eastAsia="zh-CN"/>
              </w:rPr>
              <w:t>大健康服务</w:t>
            </w:r>
            <w:r>
              <w:rPr>
                <w:rFonts w:ascii="宋体" w:hAnsi="宋体" w:cs="宋体"/>
                <w:spacing w:val="-20"/>
                <w:sz w:val="24"/>
                <w:szCs w:val="24"/>
                <w:lang w:eastAsia="zh-CN"/>
              </w:rPr>
              <w:t>、</w:t>
            </w:r>
            <w:r>
              <w:rPr>
                <w:rFonts w:ascii="宋体" w:hAnsi="宋体" w:cs="宋体"/>
                <w:sz w:val="24"/>
                <w:szCs w:val="24"/>
                <w:lang w:eastAsia="zh-CN"/>
              </w:rPr>
              <w:t>新材料新能源的产业格局</w:t>
            </w:r>
            <w:r>
              <w:rPr>
                <w:rFonts w:ascii="宋体" w:hAnsi="宋体" w:cs="宋体"/>
                <w:spacing w:val="-27"/>
                <w:sz w:val="24"/>
                <w:szCs w:val="24"/>
                <w:lang w:eastAsia="zh-CN"/>
              </w:rPr>
              <w:t>。</w:t>
            </w:r>
            <w:r>
              <w:rPr>
                <w:rFonts w:ascii="宋体" w:hAnsi="宋体" w:cs="宋体"/>
                <w:sz w:val="24"/>
                <w:szCs w:val="24"/>
                <w:lang w:eastAsia="zh-CN"/>
              </w:rPr>
              <w:t>全面拓展水产业价值链</w:t>
            </w:r>
            <w:r>
              <w:rPr>
                <w:rFonts w:ascii="宋体" w:hAnsi="宋体" w:cs="宋体"/>
                <w:spacing w:val="-27"/>
                <w:sz w:val="24"/>
                <w:szCs w:val="24"/>
                <w:lang w:eastAsia="zh-CN"/>
              </w:rPr>
              <w:t>，</w:t>
            </w:r>
            <w:r>
              <w:rPr>
                <w:rFonts w:ascii="宋体" w:hAnsi="宋体" w:cs="宋体"/>
                <w:sz w:val="24"/>
                <w:szCs w:val="24"/>
                <w:lang w:eastAsia="zh-CN"/>
              </w:rPr>
              <w:t>培育水经济新增长点</w:t>
            </w:r>
            <w:r>
              <w:rPr>
                <w:rFonts w:ascii="宋体" w:hAnsi="宋体" w:cs="宋体"/>
                <w:spacing w:val="-27"/>
                <w:sz w:val="24"/>
                <w:szCs w:val="24"/>
                <w:lang w:eastAsia="zh-CN"/>
              </w:rPr>
              <w:t>，</w:t>
            </w:r>
            <w:r>
              <w:rPr>
                <w:rFonts w:ascii="宋体" w:hAnsi="宋体" w:cs="宋体"/>
                <w:sz w:val="24"/>
                <w:szCs w:val="24"/>
                <w:lang w:eastAsia="zh-CN"/>
              </w:rPr>
              <w:t>因地制宜培育和发展新质生产力。</w:t>
            </w:r>
          </w:p>
        </w:tc>
      </w:tr>
      <w:tr w14:paraId="63395D83">
        <w:tblPrEx>
          <w:tblCellMar>
            <w:top w:w="0" w:type="dxa"/>
            <w:left w:w="0" w:type="dxa"/>
            <w:bottom w:w="0" w:type="dxa"/>
            <w:right w:w="0" w:type="dxa"/>
          </w:tblCellMar>
        </w:tblPrEx>
        <w:trPr>
          <w:trHeight w:val="1698" w:hRule="exact"/>
        </w:trPr>
        <w:tc>
          <w:tcPr>
            <w:tcW w:w="8298" w:type="dxa"/>
            <w:tcBorders>
              <w:top w:val="dotted" w:color="000000" w:sz="4" w:space="0"/>
              <w:left w:val="single" w:color="000000" w:sz="4" w:space="0"/>
              <w:bottom w:val="single" w:color="000000" w:sz="4" w:space="0"/>
              <w:right w:val="single" w:color="000000" w:sz="4" w:space="0"/>
            </w:tcBorders>
          </w:tcPr>
          <w:p w14:paraId="250AB516">
            <w:pPr>
              <w:spacing w:line="313" w:lineRule="exact"/>
              <w:ind w:left="107"/>
              <w:rPr>
                <w:rFonts w:ascii="Microsoft JhengHei" w:hAnsi="Microsoft JhengHei" w:eastAsia="Microsoft JhengHei" w:cs="Microsoft JhengHei"/>
                <w:sz w:val="24"/>
                <w:szCs w:val="24"/>
                <w:lang w:eastAsia="zh-CN"/>
              </w:rPr>
            </w:pPr>
            <w:r>
              <w:rPr>
                <w:rFonts w:ascii="Microsoft JhengHei" w:hAnsi="Microsoft JhengHei" w:eastAsia="Microsoft JhengHei" w:cs="Microsoft JhengHei"/>
                <w:b/>
                <w:bCs/>
                <w:spacing w:val="2"/>
                <w:sz w:val="24"/>
                <w:szCs w:val="24"/>
                <w:lang w:eastAsia="zh-CN"/>
              </w:rPr>
              <w:t>探</w:t>
            </w:r>
            <w:r>
              <w:rPr>
                <w:rFonts w:ascii="Microsoft JhengHei" w:hAnsi="Microsoft JhengHei" w:eastAsia="Microsoft JhengHei" w:cs="Microsoft JhengHei"/>
                <w:b/>
                <w:bCs/>
                <w:sz w:val="24"/>
                <w:szCs w:val="24"/>
                <w:lang w:eastAsia="zh-CN"/>
              </w:rPr>
              <w:t>索</w:t>
            </w:r>
            <w:r>
              <w:rPr>
                <w:rFonts w:ascii="Microsoft JhengHei" w:hAnsi="Microsoft JhengHei" w:eastAsia="Microsoft JhengHei" w:cs="Microsoft JhengHei"/>
                <w:b/>
                <w:bCs/>
                <w:spacing w:val="2"/>
                <w:sz w:val="24"/>
                <w:szCs w:val="24"/>
                <w:lang w:eastAsia="zh-CN"/>
              </w:rPr>
              <w:t>完</w:t>
            </w:r>
            <w:r>
              <w:rPr>
                <w:rFonts w:ascii="Microsoft JhengHei" w:hAnsi="Microsoft JhengHei" w:eastAsia="Microsoft JhengHei" w:cs="Microsoft JhengHei"/>
                <w:b/>
                <w:bCs/>
                <w:sz w:val="24"/>
                <w:szCs w:val="24"/>
                <w:lang w:eastAsia="zh-CN"/>
              </w:rPr>
              <w:t>善水</w:t>
            </w:r>
            <w:r>
              <w:rPr>
                <w:rFonts w:ascii="Microsoft JhengHei" w:hAnsi="Microsoft JhengHei" w:eastAsia="Microsoft JhengHei" w:cs="Microsoft JhengHei"/>
                <w:b/>
                <w:bCs/>
                <w:spacing w:val="2"/>
                <w:sz w:val="24"/>
                <w:szCs w:val="24"/>
                <w:lang w:eastAsia="zh-CN"/>
              </w:rPr>
              <w:t>金</w:t>
            </w:r>
            <w:r>
              <w:rPr>
                <w:rFonts w:ascii="Microsoft JhengHei" w:hAnsi="Microsoft JhengHei" w:eastAsia="Microsoft JhengHei" w:cs="Microsoft JhengHei"/>
                <w:b/>
                <w:bCs/>
                <w:sz w:val="24"/>
                <w:szCs w:val="24"/>
                <w:lang w:eastAsia="zh-CN"/>
              </w:rPr>
              <w:t>融</w:t>
            </w:r>
            <w:r>
              <w:rPr>
                <w:rFonts w:ascii="Microsoft JhengHei" w:hAnsi="Microsoft JhengHei" w:eastAsia="Microsoft JhengHei" w:cs="Microsoft JhengHei"/>
                <w:b/>
                <w:bCs/>
                <w:spacing w:val="2"/>
                <w:sz w:val="24"/>
                <w:szCs w:val="24"/>
                <w:lang w:eastAsia="zh-CN"/>
              </w:rPr>
              <w:t>体</w:t>
            </w:r>
            <w:r>
              <w:rPr>
                <w:rFonts w:ascii="Microsoft JhengHei" w:hAnsi="Microsoft JhengHei" w:eastAsia="Microsoft JhengHei" w:cs="Microsoft JhengHei"/>
                <w:b/>
                <w:bCs/>
                <w:sz w:val="24"/>
                <w:szCs w:val="24"/>
                <w:lang w:eastAsia="zh-CN"/>
              </w:rPr>
              <w:t>系</w:t>
            </w:r>
          </w:p>
          <w:p w14:paraId="26D1CA36">
            <w:pPr>
              <w:spacing w:line="244" w:lineRule="auto"/>
              <w:ind w:left="107" w:right="-10"/>
              <w:rPr>
                <w:rFonts w:ascii="宋体" w:hAnsi="宋体" w:cs="宋体"/>
                <w:sz w:val="24"/>
                <w:szCs w:val="24"/>
                <w:lang w:eastAsia="zh-CN"/>
              </w:rPr>
            </w:pPr>
            <w:r>
              <w:rPr>
                <w:rFonts w:ascii="宋体" w:hAnsi="宋体" w:cs="宋体"/>
                <w:sz w:val="24"/>
                <w:szCs w:val="24"/>
                <w:lang w:eastAsia="zh-CN"/>
              </w:rPr>
              <w:t>创新水资源投融资模式</w:t>
            </w:r>
            <w:r>
              <w:rPr>
                <w:rFonts w:ascii="宋体" w:hAnsi="宋体" w:cs="宋体"/>
                <w:spacing w:val="-41"/>
                <w:sz w:val="24"/>
                <w:szCs w:val="24"/>
                <w:lang w:eastAsia="zh-CN"/>
              </w:rPr>
              <w:t>，</w:t>
            </w:r>
            <w:r>
              <w:rPr>
                <w:rFonts w:ascii="宋体" w:hAnsi="宋体" w:cs="宋体"/>
                <w:sz w:val="24"/>
                <w:szCs w:val="24"/>
                <w:lang w:eastAsia="zh-CN"/>
              </w:rPr>
              <w:t>深入推进水利投融资改革</w:t>
            </w:r>
            <w:r>
              <w:rPr>
                <w:rFonts w:ascii="宋体" w:hAnsi="宋体" w:cs="宋体"/>
                <w:spacing w:val="-41"/>
                <w:sz w:val="24"/>
                <w:szCs w:val="24"/>
                <w:lang w:eastAsia="zh-CN"/>
              </w:rPr>
              <w:t>，</w:t>
            </w:r>
            <w:r>
              <w:rPr>
                <w:rFonts w:ascii="宋体" w:hAnsi="宋体" w:cs="宋体"/>
                <w:sz w:val="24"/>
                <w:szCs w:val="24"/>
                <w:lang w:eastAsia="zh-CN"/>
              </w:rPr>
              <w:t>拓宽水利建设长期资金筹 措渠道</w:t>
            </w:r>
            <w:r>
              <w:rPr>
                <w:rFonts w:ascii="宋体" w:hAnsi="宋体" w:cs="宋体"/>
                <w:spacing w:val="-113"/>
                <w:sz w:val="24"/>
                <w:szCs w:val="24"/>
                <w:lang w:eastAsia="zh-CN"/>
              </w:rPr>
              <w:t>。</w:t>
            </w:r>
            <w:r>
              <w:rPr>
                <w:rFonts w:ascii="宋体" w:hAnsi="宋体" w:cs="宋体"/>
                <w:sz w:val="24"/>
                <w:szCs w:val="24"/>
                <w:lang w:eastAsia="zh-CN"/>
              </w:rPr>
              <w:t>建立合理的回报机制</w:t>
            </w:r>
            <w:r>
              <w:rPr>
                <w:rFonts w:ascii="宋体" w:hAnsi="宋体" w:cs="宋体"/>
                <w:spacing w:val="-113"/>
                <w:sz w:val="24"/>
                <w:szCs w:val="24"/>
                <w:lang w:eastAsia="zh-CN"/>
              </w:rPr>
              <w:t>，</w:t>
            </w:r>
            <w:r>
              <w:rPr>
                <w:rFonts w:ascii="宋体" w:hAnsi="宋体" w:cs="宋体"/>
                <w:sz w:val="24"/>
                <w:szCs w:val="24"/>
                <w:lang w:eastAsia="zh-CN"/>
              </w:rPr>
              <w:t>鼓励运用特许经营</w:t>
            </w:r>
            <w:r>
              <w:rPr>
                <w:rFonts w:ascii="宋体" w:hAnsi="宋体" w:cs="宋体"/>
                <w:spacing w:val="-113"/>
                <w:sz w:val="24"/>
                <w:szCs w:val="24"/>
                <w:lang w:eastAsia="zh-CN"/>
              </w:rPr>
              <w:t>、</w:t>
            </w:r>
            <w:r>
              <w:rPr>
                <w:rFonts w:ascii="宋体" w:hAnsi="宋体" w:cs="宋体"/>
                <w:sz w:val="24"/>
                <w:szCs w:val="24"/>
                <w:lang w:eastAsia="zh-CN"/>
              </w:rPr>
              <w:t>股权合作</w:t>
            </w:r>
            <w:r>
              <w:rPr>
                <w:rFonts w:ascii="宋体" w:hAnsi="宋体" w:cs="宋体"/>
                <w:spacing w:val="-113"/>
                <w:sz w:val="24"/>
                <w:szCs w:val="24"/>
                <w:lang w:eastAsia="zh-CN"/>
              </w:rPr>
              <w:t>、</w:t>
            </w:r>
            <w:r>
              <w:rPr>
                <w:rFonts w:ascii="宋体" w:hAnsi="宋体" w:cs="宋体"/>
                <w:sz w:val="24"/>
                <w:szCs w:val="24"/>
                <w:lang w:eastAsia="zh-CN"/>
              </w:rPr>
              <w:t>企业</w:t>
            </w:r>
            <w:r>
              <w:rPr>
                <w:rFonts w:ascii="宋体" w:hAnsi="宋体" w:cs="宋体"/>
                <w:spacing w:val="2"/>
                <w:sz w:val="24"/>
                <w:szCs w:val="24"/>
                <w:lang w:eastAsia="zh-CN"/>
              </w:rPr>
              <w:t>债</w:t>
            </w:r>
            <w:r>
              <w:rPr>
                <w:rFonts w:ascii="宋体" w:hAnsi="宋体" w:cs="宋体"/>
                <w:sz w:val="24"/>
                <w:szCs w:val="24"/>
                <w:lang w:eastAsia="zh-CN"/>
              </w:rPr>
              <w:t xml:space="preserve">券、REITs、 </w:t>
            </w:r>
            <w:r>
              <w:rPr>
                <w:rFonts w:ascii="宋体" w:hAnsi="宋体" w:cs="宋体"/>
                <w:spacing w:val="4"/>
                <w:sz w:val="24"/>
                <w:szCs w:val="24"/>
                <w:lang w:eastAsia="zh-CN"/>
              </w:rPr>
              <w:t>政府购买服务等多种</w:t>
            </w:r>
            <w:r>
              <w:rPr>
                <w:rFonts w:ascii="宋体" w:hAnsi="宋体" w:cs="宋体"/>
                <w:spacing w:val="6"/>
                <w:sz w:val="24"/>
                <w:szCs w:val="24"/>
                <w:lang w:eastAsia="zh-CN"/>
              </w:rPr>
              <w:t>模</w:t>
            </w:r>
            <w:r>
              <w:rPr>
                <w:rFonts w:ascii="宋体" w:hAnsi="宋体" w:cs="宋体"/>
                <w:spacing w:val="4"/>
                <w:sz w:val="24"/>
                <w:szCs w:val="24"/>
                <w:lang w:eastAsia="zh-CN"/>
              </w:rPr>
              <w:t>式，吸引更多的市场</w:t>
            </w:r>
            <w:r>
              <w:rPr>
                <w:rFonts w:ascii="宋体" w:hAnsi="宋体" w:cs="宋体"/>
                <w:spacing w:val="6"/>
                <w:sz w:val="24"/>
                <w:szCs w:val="24"/>
                <w:lang w:eastAsia="zh-CN"/>
              </w:rPr>
              <w:t>主</w:t>
            </w:r>
            <w:r>
              <w:rPr>
                <w:rFonts w:ascii="宋体" w:hAnsi="宋体" w:cs="宋体"/>
                <w:spacing w:val="4"/>
                <w:sz w:val="24"/>
                <w:szCs w:val="24"/>
                <w:lang w:eastAsia="zh-CN"/>
              </w:rPr>
              <w:t>体投入水利基础设施</w:t>
            </w:r>
            <w:r>
              <w:rPr>
                <w:rFonts w:ascii="宋体" w:hAnsi="宋体" w:cs="宋体"/>
                <w:spacing w:val="6"/>
                <w:sz w:val="24"/>
                <w:szCs w:val="24"/>
                <w:lang w:eastAsia="zh-CN"/>
              </w:rPr>
              <w:t>建</w:t>
            </w:r>
            <w:r>
              <w:rPr>
                <w:rFonts w:ascii="宋体" w:hAnsi="宋体" w:cs="宋体"/>
                <w:spacing w:val="4"/>
                <w:sz w:val="24"/>
                <w:szCs w:val="24"/>
                <w:lang w:eastAsia="zh-CN"/>
              </w:rPr>
              <w:t>设及运</w:t>
            </w:r>
            <w:r>
              <w:rPr>
                <w:rFonts w:ascii="宋体" w:hAnsi="宋体" w:cs="宋体"/>
                <w:sz w:val="24"/>
                <w:szCs w:val="24"/>
                <w:lang w:eastAsia="zh-CN"/>
              </w:rPr>
              <w:t>营。</w:t>
            </w:r>
          </w:p>
          <w:p w14:paraId="54B9492E">
            <w:pPr>
              <w:pStyle w:val="65"/>
              <w:spacing w:line="307" w:lineRule="exact"/>
              <w:ind w:left="103"/>
              <w:jc w:val="both"/>
              <w:rPr>
                <w:rFonts w:ascii="Microsoft JhengHei" w:hAnsi="Microsoft JhengHei" w:eastAsia="Microsoft JhengHei" w:cs="Microsoft JhengHei"/>
                <w:b/>
                <w:bCs/>
                <w:sz w:val="24"/>
                <w:szCs w:val="24"/>
                <w:lang w:eastAsia="zh-CN"/>
              </w:rPr>
            </w:pPr>
          </w:p>
        </w:tc>
      </w:tr>
    </w:tbl>
    <w:p w14:paraId="095F3948">
      <w:pPr>
        <w:ind w:firstLine="183" w:firstLineChars="202"/>
        <w:rPr>
          <w:rFonts w:ascii="宋体" w:hAnsi="宋体" w:cs="Microsoft JhengHei"/>
          <w:b/>
          <w:bCs/>
          <w:sz w:val="9"/>
          <w:szCs w:val="9"/>
        </w:rPr>
      </w:pPr>
    </w:p>
    <w:p w14:paraId="11BD8582">
      <w:pPr>
        <w:pStyle w:val="3"/>
        <w:numPr>
          <w:ilvl w:val="1"/>
          <w:numId w:val="2"/>
        </w:numPr>
        <w:rPr>
          <w:rFonts w:ascii="宋体" w:hAnsi="宋体"/>
          <w:color w:val="auto"/>
        </w:rPr>
      </w:pPr>
      <w:bookmarkStart w:id="48" w:name="_Toc216791703"/>
      <w:bookmarkStart w:id="49" w:name="_Hlk213082096"/>
      <w:r>
        <w:rPr>
          <w:rFonts w:hint="eastAsia" w:ascii="宋体" w:hAnsi="宋体"/>
          <w:color w:val="auto"/>
        </w:rPr>
        <w:t>智慧赋能，构建数字孪生智慧新体系</w:t>
      </w:r>
      <w:bookmarkEnd w:id="48"/>
    </w:p>
    <w:p w14:paraId="1FC22C8E">
      <w:pPr>
        <w:ind w:firstLine="565" w:firstLineChars="202"/>
        <w:rPr>
          <w:rFonts w:ascii="宋体" w:hAnsi="宋体"/>
        </w:rPr>
      </w:pPr>
      <w:r>
        <w:rPr>
          <w:rFonts w:hint="eastAsia" w:ascii="宋体" w:hAnsi="宋体"/>
        </w:rPr>
        <w:t>为深入贯彻习近平总书记关于网络强国的重要思想，落</w:t>
      </w:r>
      <w:r>
        <w:rPr>
          <w:rFonts w:ascii="宋体" w:hAnsi="宋体"/>
        </w:rPr>
        <w:t>实水利部将智慧水利作为新阶段高质量发展核心路径的战略部署，“十五五”期间，</w:t>
      </w:r>
      <w:r>
        <w:rPr>
          <w:rFonts w:hint="eastAsia" w:ascii="宋体" w:hAnsi="宋体"/>
        </w:rPr>
        <w:t>长汀县</w:t>
      </w:r>
      <w:r>
        <w:rPr>
          <w:rFonts w:ascii="宋体" w:hAnsi="宋体"/>
        </w:rPr>
        <w:t>以数字孪生汀江流域为核心抓手，按照“感知先行、支撑筑基、平台赋能、应用驱动、改造提效”总体路径，分层次推进数字赋能水利治理，深层次突破水利信息化发展瓶颈，致力打造独属“</w:t>
      </w:r>
      <w:r>
        <w:rPr>
          <w:rFonts w:hint="eastAsia" w:ascii="宋体" w:hAnsi="宋体"/>
        </w:rPr>
        <w:t>长汀</w:t>
      </w:r>
      <w:r>
        <w:rPr>
          <w:rFonts w:ascii="宋体" w:hAnsi="宋体"/>
        </w:rPr>
        <w:t>特色”智慧水利体系。</w:t>
      </w:r>
    </w:p>
    <w:bookmarkEnd w:id="49"/>
    <w:p w14:paraId="04F4AD91">
      <w:pPr>
        <w:pStyle w:val="4"/>
        <w:numPr>
          <w:ilvl w:val="2"/>
          <w:numId w:val="2"/>
        </w:numPr>
        <w:rPr>
          <w:rFonts w:ascii="宋体" w:hAnsi="宋体"/>
          <w:color w:val="auto"/>
        </w:rPr>
      </w:pPr>
      <w:r>
        <w:rPr>
          <w:rFonts w:hint="eastAsia" w:ascii="宋体" w:hAnsi="宋体"/>
          <w:color w:val="auto"/>
        </w:rPr>
        <w:t>构建全域智能监测体系</w:t>
      </w:r>
    </w:p>
    <w:p w14:paraId="358C761C">
      <w:pPr>
        <w:ind w:firstLine="565" w:firstLineChars="202"/>
        <w:rPr>
          <w:rFonts w:ascii="宋体" w:hAnsi="宋体"/>
        </w:rPr>
      </w:pPr>
      <w:r>
        <w:rPr>
          <w:rFonts w:hint="eastAsia" w:ascii="宋体" w:hAnsi="宋体"/>
        </w:rPr>
        <w:t>聚焦长汀县当前监测站点布局不足、智能感知能力薄弱</w:t>
      </w:r>
      <w:r>
        <w:rPr>
          <w:rFonts w:ascii="宋体" w:hAnsi="宋体"/>
        </w:rPr>
        <w:t>等具体问题，动态强化监测感知能力，推动新型技术迭代升级、深入融合水利业务。重点在河湖流域、地下水超采区、重要饮用水水源地等关键区域优化监测布局，加密站点布设，补全监测要素，升级感知设施，满足水利业务应用系统精细化管理及智慧化服务要求。</w:t>
      </w:r>
    </w:p>
    <w:p w14:paraId="3C73B48B">
      <w:pPr>
        <w:ind w:firstLine="565" w:firstLineChars="202"/>
        <w:rPr>
          <w:rFonts w:ascii="宋体" w:hAnsi="宋体"/>
        </w:rPr>
      </w:pPr>
      <w:r>
        <w:rPr>
          <w:rFonts w:hint="eastAsia" w:ascii="宋体" w:hAnsi="宋体"/>
        </w:rPr>
        <w:t>推动自然河湖监测网络系统升级及现代化改造，加快国</w:t>
      </w:r>
      <w:r>
        <w:rPr>
          <w:rFonts w:ascii="宋体" w:hAnsi="宋体"/>
        </w:rPr>
        <w:t>家水文监测站点标准化建设，加密流域水资源、地下水超采、生态流量监测站点，加强新型技术应用，构建“空天地水工”一体化河湖立体监测网络。</w:t>
      </w:r>
    </w:p>
    <w:p w14:paraId="3DE212EF">
      <w:pPr>
        <w:ind w:firstLine="565" w:firstLineChars="202"/>
        <w:rPr>
          <w:rFonts w:ascii="宋体" w:hAnsi="宋体"/>
        </w:rPr>
      </w:pPr>
      <w:r>
        <w:rPr>
          <w:rFonts w:hint="eastAsia" w:ascii="宋体" w:hAnsi="宋体"/>
        </w:rPr>
        <w:t>完善水利工程安全监测体系，强化长汀县中型水库</w:t>
      </w:r>
      <w:r>
        <w:rPr>
          <w:rFonts w:ascii="宋体" w:hAnsi="宋体"/>
        </w:rPr>
        <w:t>工程安全监测数据自动采集与实时预警能力，补充闸阀泵设备运行监测设施，新增饮用水水源地自动水质监测站，加强水源地安全保障能力。</w:t>
      </w:r>
    </w:p>
    <w:p w14:paraId="24FD3DE2">
      <w:pPr>
        <w:ind w:firstLine="565" w:firstLineChars="202"/>
        <w:rPr>
          <w:rFonts w:ascii="宋体" w:hAnsi="宋体"/>
        </w:rPr>
      </w:pPr>
      <w:r>
        <w:rPr>
          <w:rFonts w:hint="eastAsia" w:ascii="宋体" w:hAnsi="宋体"/>
        </w:rPr>
        <w:t>推进工业企业取水在线监测设备更新升级，扩大覆盖范</w:t>
      </w:r>
      <w:r>
        <w:rPr>
          <w:rFonts w:ascii="宋体" w:hAnsi="宋体"/>
        </w:rPr>
        <w:t>围，提升取水水质动态监管能力，补全灌区取用水监测短板，配套安装视频监控与数据远传装置。</w:t>
      </w:r>
    </w:p>
    <w:p w14:paraId="223BBF86">
      <w:pPr>
        <w:ind w:firstLine="565" w:firstLineChars="202"/>
        <w:rPr>
          <w:rFonts w:ascii="宋体" w:hAnsi="宋体"/>
        </w:rPr>
      </w:pPr>
      <w:r>
        <w:rPr>
          <w:rFonts w:hint="eastAsia" w:ascii="宋体" w:hAnsi="宋体"/>
        </w:rPr>
        <w:t>在水土流失重点治理区、生态修复区新增水土保持自动</w:t>
      </w:r>
      <w:r>
        <w:rPr>
          <w:rFonts w:ascii="宋体" w:hAnsi="宋体"/>
        </w:rPr>
        <w:t>监测站，建立生产建设项目水土保持监测点动态管理库，实现数据集中管理与高效应用。</w:t>
      </w:r>
    </w:p>
    <w:p w14:paraId="19E51884">
      <w:pPr>
        <w:ind w:firstLine="565" w:firstLineChars="202"/>
        <w:rPr>
          <w:rFonts w:ascii="宋体" w:hAnsi="宋体"/>
        </w:rPr>
      </w:pPr>
      <w:r>
        <w:rPr>
          <w:rFonts w:hint="eastAsia" w:ascii="宋体" w:hAnsi="宋体"/>
        </w:rPr>
        <w:t>加密水生态监测感知网络，新建新型水质在线传感设备，</w:t>
      </w:r>
      <w:r>
        <w:rPr>
          <w:rFonts w:ascii="宋体" w:hAnsi="宋体"/>
        </w:rPr>
        <w:t>升级改造乡镇交接断面水质监测设施，提升全域水环境监测感知整体效能。</w:t>
      </w:r>
    </w:p>
    <w:p w14:paraId="27C3D4A2">
      <w:pPr>
        <w:pStyle w:val="4"/>
        <w:numPr>
          <w:ilvl w:val="2"/>
          <w:numId w:val="2"/>
        </w:numPr>
        <w:rPr>
          <w:rFonts w:ascii="宋体" w:hAnsi="宋体"/>
          <w:color w:val="auto"/>
        </w:rPr>
      </w:pPr>
      <w:r>
        <w:rPr>
          <w:rFonts w:hint="eastAsia" w:ascii="宋体" w:hAnsi="宋体"/>
          <w:color w:val="auto"/>
        </w:rPr>
        <w:t>构建高效信息支撑体系</w:t>
      </w:r>
    </w:p>
    <w:p w14:paraId="6110A117">
      <w:pPr>
        <w:ind w:firstLine="565" w:firstLineChars="202"/>
        <w:rPr>
          <w:rFonts w:ascii="宋体" w:hAnsi="宋体"/>
        </w:rPr>
      </w:pPr>
      <w:r>
        <w:rPr>
          <w:rFonts w:hint="eastAsia" w:ascii="宋体" w:hAnsi="宋体"/>
        </w:rPr>
        <w:t>结合长汀县信息基础设施现状，重点通过“水利通信网</w:t>
      </w:r>
      <w:r>
        <w:rPr>
          <w:rFonts w:ascii="宋体" w:hAnsi="宋体"/>
        </w:rPr>
        <w:t>优化升级”与“水利云平台能力提升”两大举措，针对性破解当前水利通信覆盖范围有限、关键区域网络带宽不足、算</w:t>
      </w:r>
      <w:r>
        <w:rPr>
          <w:rFonts w:hint="eastAsia" w:ascii="宋体" w:hAnsi="宋体"/>
        </w:rPr>
        <w:t>力资源难以支撑模型运算等核心制约，构建“网</w:t>
      </w:r>
      <w:r>
        <w:rPr>
          <w:rFonts w:ascii="宋体" w:hAnsi="宋体"/>
        </w:rPr>
        <w:t>+云”一体化信息支撑体系，为智慧水利建设提供高速稳定的传输通道与安全高效的算力底座。</w:t>
      </w:r>
    </w:p>
    <w:p w14:paraId="5600D362">
      <w:pPr>
        <w:ind w:firstLine="565" w:firstLineChars="202"/>
        <w:rPr>
          <w:rFonts w:ascii="宋体" w:hAnsi="宋体"/>
        </w:rPr>
      </w:pPr>
      <w:r>
        <w:rPr>
          <w:rFonts w:hint="eastAsia" w:ascii="宋体" w:hAnsi="宋体"/>
        </w:rPr>
        <w:t>水利通信网优化升级，拓展水利业务网覆盖范围，大幅</w:t>
      </w:r>
      <w:r>
        <w:rPr>
          <w:rFonts w:ascii="宋体" w:hAnsi="宋体"/>
        </w:rPr>
        <w:t>提升宽带传输速率，实施部署链路冗杂，保障稳定传输；专项建设水利工控网，分设闸门实时控制网与工程过程监控网，采用单向隔离技术安全联通水利业务网；补齐偏远地区应急通信短板</w:t>
      </w:r>
      <w:r>
        <w:rPr>
          <w:rFonts w:hint="eastAsia" w:ascii="宋体" w:hAnsi="宋体"/>
        </w:rPr>
        <w:t>，</w:t>
      </w:r>
      <w:r>
        <w:rPr>
          <w:rFonts w:ascii="宋体" w:hAnsi="宋体"/>
        </w:rPr>
        <w:t>部署备用卫星终端，全面推进现有水利网络设备及终端等IPv6适配改造，实现与部、省级网络协议体系无缝衔接。</w:t>
      </w:r>
    </w:p>
    <w:p w14:paraId="6FDD98C1">
      <w:pPr>
        <w:ind w:firstLine="565" w:firstLineChars="202"/>
        <w:rPr>
          <w:rFonts w:ascii="宋体" w:hAnsi="宋体"/>
        </w:rPr>
      </w:pPr>
      <w:r>
        <w:rPr>
          <w:rFonts w:hint="eastAsia" w:ascii="宋体" w:hAnsi="宋体"/>
        </w:rPr>
        <w:t>水利云平台能力提升，结合现有政务云支撑环境，构建</w:t>
      </w:r>
      <w:r>
        <w:rPr>
          <w:rFonts w:ascii="宋体" w:hAnsi="宋体"/>
        </w:rPr>
        <w:t>覆盖物理层、网络层、主机层、应用层、数据层的全栈安全服务体系，同时以服务化的模式向云用户提供虚拟防火墙、入侵防御等安全服务；补充地理信息服务、BIM轻量化引擎等核心应用支撑软件，搭建水利数据共享交换平台，制定跨部门的数据接口标准，同步建立异地灾备系统，保障数据安全与业务连续性。</w:t>
      </w:r>
    </w:p>
    <w:p w14:paraId="057F4C8F">
      <w:pPr>
        <w:pStyle w:val="4"/>
        <w:numPr>
          <w:ilvl w:val="2"/>
          <w:numId w:val="2"/>
        </w:numPr>
        <w:rPr>
          <w:rFonts w:ascii="宋体" w:hAnsi="宋体"/>
          <w:color w:val="auto"/>
        </w:rPr>
      </w:pPr>
      <w:r>
        <w:rPr>
          <w:rFonts w:hint="eastAsia" w:ascii="宋体" w:hAnsi="宋体"/>
          <w:color w:val="auto"/>
        </w:rPr>
        <w:t>建设数字孪生核心平台</w:t>
      </w:r>
    </w:p>
    <w:p w14:paraId="40B97EAB">
      <w:pPr>
        <w:ind w:firstLine="565" w:firstLineChars="202"/>
        <w:rPr>
          <w:rFonts w:ascii="宋体" w:hAnsi="宋体"/>
        </w:rPr>
      </w:pPr>
      <w:r>
        <w:rPr>
          <w:rFonts w:hint="eastAsia" w:ascii="宋体" w:hAnsi="宋体"/>
        </w:rPr>
        <w:t>紧扣长汀县水利数字化发展现状，锚定当前水利数据来</w:t>
      </w:r>
      <w:r>
        <w:rPr>
          <w:rFonts w:ascii="宋体" w:hAnsi="宋体"/>
        </w:rPr>
        <w:t>源分散、标准不统一，模型类型单一、适配性欠缺，知识沉淀不足等痛点，以数字孪生汀江流域建设为牵引，</w:t>
      </w:r>
      <w:r>
        <w:rPr>
          <w:rFonts w:hint="eastAsia" w:ascii="宋体" w:hAnsi="宋体"/>
        </w:rPr>
        <w:t>通过“全维度数据底板构建、多场景模型平台建设、动态化</w:t>
      </w:r>
      <w:r>
        <w:rPr>
          <w:rFonts w:ascii="宋体" w:hAnsi="宋体"/>
        </w:rPr>
        <w:t>知识平台完善”三位一体建设，打造覆盖“数据－模型－知识”全链条的数字孪生核心平台，实现对物理流域全要素、水利治理全流程的数字化映射与智慧化模拟，为智慧水利业务应用提供坚实底座。</w:t>
      </w:r>
    </w:p>
    <w:p w14:paraId="273D2B95">
      <w:pPr>
        <w:ind w:firstLine="565" w:firstLineChars="202"/>
        <w:rPr>
          <w:rFonts w:ascii="宋体" w:hAnsi="宋体"/>
        </w:rPr>
      </w:pPr>
      <w:r>
        <w:rPr>
          <w:rFonts w:hint="eastAsia" w:ascii="宋体" w:hAnsi="宋体"/>
        </w:rPr>
        <w:t>全维度数据底板构建：按照“基础数据</w:t>
      </w:r>
      <w:r>
        <w:rPr>
          <w:rFonts w:ascii="宋体" w:hAnsi="宋体"/>
        </w:rPr>
        <w:t>+监测数据+业务数据+共享数据+地理空间数据”五层架构汇聚数据，补充汀江流域L2级地理空间数据，建设</w:t>
      </w:r>
      <w:r>
        <w:rPr>
          <w:rFonts w:hint="eastAsia" w:ascii="宋体" w:hAnsi="宋体"/>
        </w:rPr>
        <w:t>荣丰</w:t>
      </w:r>
      <w:r>
        <w:rPr>
          <w:rFonts w:ascii="宋体" w:hAnsi="宋体"/>
        </w:rPr>
        <w:t>水库、</w:t>
      </w:r>
      <w:r>
        <w:rPr>
          <w:rFonts w:hint="eastAsia" w:ascii="宋体" w:hAnsi="宋体"/>
        </w:rPr>
        <w:t>溪源</w:t>
      </w:r>
      <w:r>
        <w:rPr>
          <w:rFonts w:ascii="宋体" w:hAnsi="宋体"/>
        </w:rPr>
        <w:t>水库、</w:t>
      </w:r>
      <w:r>
        <w:rPr>
          <w:rFonts w:hint="eastAsia" w:ascii="宋体" w:hAnsi="宋体"/>
        </w:rPr>
        <w:t>陂下</w:t>
      </w:r>
      <w:r>
        <w:rPr>
          <w:rFonts w:ascii="宋体" w:hAnsi="宋体"/>
        </w:rPr>
        <w:t>水库等重要水利工程L3级地理空间数据；开发数据治理引擎，实现数据清洗、融合、标准化处理，保障数据资源的完整性与可用性。</w:t>
      </w:r>
    </w:p>
    <w:p w14:paraId="38DDE0C3">
      <w:pPr>
        <w:ind w:firstLine="565" w:firstLineChars="202"/>
        <w:rPr>
          <w:rFonts w:ascii="宋体" w:hAnsi="宋体"/>
        </w:rPr>
      </w:pPr>
      <w:r>
        <w:rPr>
          <w:rFonts w:hint="eastAsia" w:ascii="宋体" w:hAnsi="宋体"/>
        </w:rPr>
        <w:t>多场景模型平台建设：立足长汀本地水利发展特色，系</w:t>
      </w:r>
      <w:r>
        <w:rPr>
          <w:rFonts w:ascii="宋体" w:hAnsi="宋体"/>
        </w:rPr>
        <w:t>统构建多维度模型体系与高性能支撑引擎。构建流域水文模型，持续提升模型预报精度；开发水资源模型，支持月尺度流域水资源供需平衡分析；建立水生态模型，实现突发水污染事件快速模拟与预测；补充河道垃圾识别、闸门状态识别等智能识别模型，强化自动预警能力；搭建高性能模拟仿真引擎，支持流域流场、工程运行状态实时渲染，全面满足可视化预演需求。</w:t>
      </w:r>
    </w:p>
    <w:p w14:paraId="5E05B49B">
      <w:pPr>
        <w:ind w:firstLine="565" w:firstLineChars="202"/>
        <w:rPr>
          <w:rFonts w:ascii="宋体" w:hAnsi="宋体"/>
        </w:rPr>
      </w:pPr>
      <w:r>
        <w:rPr>
          <w:rFonts w:hint="eastAsia" w:ascii="宋体" w:hAnsi="宋体"/>
        </w:rPr>
        <w:t>动态化知识平台完善：构建水利对象关联知识库，系统</w:t>
      </w:r>
      <w:r>
        <w:rPr>
          <w:rFonts w:ascii="宋体" w:hAnsi="宋体"/>
        </w:rPr>
        <w:t>收录工程、河湖、监测站点关联关系及调度方案等核心信息；开发智能知识推理引擎，支持洪水调度方案智能生成等场景</w:t>
      </w:r>
      <w:r>
        <w:rPr>
          <w:rFonts w:hint="eastAsia" w:ascii="宋体" w:hAnsi="宋体"/>
        </w:rPr>
        <w:t>应用；建立历史场景库，分类存储典型洪水、干旱事件处理</w:t>
      </w:r>
      <w:r>
        <w:rPr>
          <w:rFonts w:ascii="宋体" w:hAnsi="宋体"/>
        </w:rPr>
        <w:t>案例，为流域智慧决策提供知识与经验支撑。</w:t>
      </w:r>
    </w:p>
    <w:p w14:paraId="6245C8B8">
      <w:pPr>
        <w:pStyle w:val="4"/>
        <w:numPr>
          <w:ilvl w:val="2"/>
          <w:numId w:val="2"/>
        </w:numPr>
        <w:rPr>
          <w:rFonts w:ascii="宋体" w:hAnsi="宋体"/>
          <w:color w:val="auto"/>
        </w:rPr>
      </w:pPr>
      <w:r>
        <w:rPr>
          <w:rFonts w:hint="eastAsia" w:ascii="宋体" w:hAnsi="宋体"/>
          <w:color w:val="auto"/>
        </w:rPr>
        <w:t>深化智慧应用体系建设</w:t>
      </w:r>
    </w:p>
    <w:p w14:paraId="5ED229D2">
      <w:pPr>
        <w:ind w:firstLine="565" w:firstLineChars="202"/>
        <w:rPr>
          <w:rFonts w:ascii="宋体" w:hAnsi="宋体"/>
        </w:rPr>
      </w:pPr>
      <w:r>
        <w:rPr>
          <w:rFonts w:hint="eastAsia" w:ascii="宋体" w:hAnsi="宋体"/>
        </w:rPr>
        <w:t>针对现有系统分散、应用深度不足等问题，构建覆盖水</w:t>
      </w:r>
      <w:r>
        <w:rPr>
          <w:rFonts w:ascii="宋体" w:hAnsi="宋体"/>
        </w:rPr>
        <w:t>利全业务智能应用矩阵。深度融合云计算、物联网等新型信息技术与传统水文、水动力学，搭建</w:t>
      </w:r>
      <w:r>
        <w:rPr>
          <w:rFonts w:hint="eastAsia" w:ascii="宋体" w:hAnsi="宋体"/>
        </w:rPr>
        <w:t>县</w:t>
      </w:r>
      <w:r>
        <w:rPr>
          <w:rFonts w:ascii="宋体" w:hAnsi="宋体"/>
        </w:rPr>
        <w:t>级防洪排涝、山洪灾害等模型分析体系，精准模拟设计与实时场景下城市涝水分布、流域洪水演进等情况，全面提升水利智能化决策水平。</w:t>
      </w:r>
    </w:p>
    <w:p w14:paraId="62721FA7">
      <w:pPr>
        <w:ind w:firstLine="565" w:firstLineChars="202"/>
        <w:rPr>
          <w:rFonts w:ascii="宋体" w:hAnsi="宋体"/>
        </w:rPr>
      </w:pPr>
      <w:r>
        <w:rPr>
          <w:rFonts w:hint="eastAsia" w:ascii="宋体" w:hAnsi="宋体"/>
        </w:rPr>
        <w:t>围绕水网调度与行业监管核心业务，构建以“四预”为</w:t>
      </w:r>
      <w:r>
        <w:rPr>
          <w:rFonts w:ascii="宋体" w:hAnsi="宋体"/>
        </w:rPr>
        <w:t>核心的智慧应用体系。重点打造“水利一张图”作为综合运行监视平台，并开发流域联合调度决策系统，保障多目标方案的模拟推演与优化选择。同步完善日常业务与应急事件的线上闭环管理，集成空天地水工多源信息，实现突发事件的智能识别、处置方案预演。拓展水土保持、河湖监管等专项业务系统，全面提升天地一体化监管与BIM全生命周期应用水平。</w:t>
      </w:r>
    </w:p>
    <w:p w14:paraId="4740A5A3">
      <w:pPr>
        <w:pStyle w:val="4"/>
        <w:numPr>
          <w:ilvl w:val="2"/>
          <w:numId w:val="2"/>
        </w:numPr>
        <w:rPr>
          <w:rFonts w:ascii="宋体" w:hAnsi="宋体"/>
          <w:color w:val="auto"/>
        </w:rPr>
      </w:pPr>
      <w:r>
        <w:rPr>
          <w:rFonts w:hint="eastAsia" w:ascii="宋体" w:hAnsi="宋体"/>
          <w:color w:val="auto"/>
        </w:rPr>
        <w:t>推进自动化升级改造</w:t>
      </w:r>
    </w:p>
    <w:p w14:paraId="034AF240">
      <w:pPr>
        <w:ind w:firstLine="565" w:firstLineChars="202"/>
        <w:rPr>
          <w:rFonts w:ascii="宋体" w:hAnsi="宋体"/>
        </w:rPr>
      </w:pPr>
      <w:r>
        <w:rPr>
          <w:rFonts w:hint="eastAsia" w:ascii="宋体" w:hAnsi="宋体"/>
        </w:rPr>
        <w:t>针对水利工程自动化程度偏低、管控手段相对落后的问</w:t>
      </w:r>
      <w:r>
        <w:rPr>
          <w:rFonts w:ascii="宋体" w:hAnsi="宋体"/>
        </w:rPr>
        <w:t>题，以“感知—控制—调度”一体化协同为目标，分批次、分类别推进已建工程智能化改造与新建工程数字化同步建设，全面提升工程运行调控精准化与高效化水平。</w:t>
      </w:r>
    </w:p>
    <w:p w14:paraId="6D3C2883">
      <w:pPr>
        <w:ind w:firstLine="565" w:firstLineChars="202"/>
        <w:rPr>
          <w:rFonts w:ascii="宋体" w:hAnsi="宋体"/>
        </w:rPr>
      </w:pPr>
      <w:r>
        <w:rPr>
          <w:rFonts w:hint="eastAsia" w:ascii="宋体" w:hAnsi="宋体"/>
        </w:rPr>
        <w:t>现有工程智能化改造：升级中型水库、水闸、大</w:t>
      </w:r>
      <w:r>
        <w:rPr>
          <w:rFonts w:ascii="宋体" w:hAnsi="宋体"/>
        </w:rPr>
        <w:t>型灌区闸泵阀设备，加装视频、流量监测设施及远程控制装置，提升工程管控自动化水平，强化工程智能化管控技术应用，提升管控效能。</w:t>
      </w:r>
    </w:p>
    <w:p w14:paraId="37EB0A53">
      <w:pPr>
        <w:ind w:firstLine="565" w:firstLineChars="202"/>
        <w:rPr>
          <w:rFonts w:ascii="宋体" w:hAnsi="宋体"/>
        </w:rPr>
      </w:pPr>
      <w:r>
        <w:rPr>
          <w:rFonts w:hint="eastAsia" w:ascii="宋体" w:hAnsi="宋体"/>
        </w:rPr>
        <w:t>新改扩建工程数字化同步建设：重点水源工</w:t>
      </w:r>
      <w:r>
        <w:rPr>
          <w:rFonts w:ascii="宋体" w:hAnsi="宋体"/>
        </w:rPr>
        <w:t>程部署BIM模型实现全生命周期数据衔接，新开水厂及供水管道配套智能监测与自控系统，水土保持工程布设智能监测设备并接入</w:t>
      </w:r>
      <w:r>
        <w:rPr>
          <w:rFonts w:hint="eastAsia" w:ascii="宋体" w:hAnsi="宋体"/>
        </w:rPr>
        <w:t>省市</w:t>
      </w:r>
      <w:r>
        <w:rPr>
          <w:rFonts w:ascii="宋体" w:hAnsi="宋体"/>
        </w:rPr>
        <w:t>级平台统一管理。</w:t>
      </w:r>
    </w:p>
    <w:p w14:paraId="33B4FB55">
      <w:pPr>
        <w:ind w:firstLine="565" w:firstLineChars="202"/>
        <w:rPr>
          <w:rFonts w:ascii="宋体" w:hAnsi="宋体"/>
        </w:rPr>
      </w:pPr>
      <w:r>
        <w:rPr>
          <w:rFonts w:hint="eastAsia" w:ascii="宋体" w:hAnsi="宋体"/>
        </w:rPr>
        <w:t>远程集控系统整合：依托龙岩市水利工程远程集控中心，</w:t>
      </w:r>
      <w:r>
        <w:rPr>
          <w:rFonts w:ascii="宋体" w:hAnsi="宋体"/>
        </w:rPr>
        <w:t>整合中型水库、重点灌区等远程控制资源，开发移动监控APP，支持管理人员实时查看工程运行状态、实时接收告警信息，响应效率提升。</w:t>
      </w:r>
    </w:p>
    <w:p w14:paraId="53E92329">
      <w:pPr>
        <w:pStyle w:val="4"/>
        <w:numPr>
          <w:ilvl w:val="2"/>
          <w:numId w:val="2"/>
        </w:numPr>
        <w:rPr>
          <w:rFonts w:ascii="宋体" w:hAnsi="宋体"/>
          <w:color w:val="auto"/>
        </w:rPr>
      </w:pPr>
      <w:r>
        <w:rPr>
          <w:rFonts w:hint="eastAsia" w:ascii="宋体" w:hAnsi="宋体"/>
          <w:color w:val="auto"/>
        </w:rPr>
        <w:t>推进重点流域数字孪生建设</w:t>
      </w:r>
    </w:p>
    <w:p w14:paraId="469D0C28">
      <w:pPr>
        <w:ind w:firstLine="565" w:firstLineChars="202"/>
        <w:rPr>
          <w:rFonts w:ascii="宋体" w:hAnsi="宋体" w:cs="Times New Roman"/>
          <w:szCs w:val="28"/>
        </w:rPr>
      </w:pPr>
      <w:r>
        <w:rPr>
          <w:rFonts w:hint="eastAsia" w:ascii="宋体" w:hAnsi="宋体" w:cs="Times New Roman"/>
          <w:szCs w:val="28"/>
        </w:rPr>
        <w:t>以汀江流域为建设重点，系统构建覆</w:t>
      </w:r>
      <w:r>
        <w:rPr>
          <w:rFonts w:ascii="宋体" w:hAnsi="宋体" w:cs="Times New Roman"/>
          <w:szCs w:val="28"/>
        </w:rPr>
        <w:t>盖“感知－数据－模型－应用－安全”全要素、贯通“预报</w:t>
      </w:r>
      <w:r>
        <w:rPr>
          <w:rFonts w:hint="eastAsia" w:ascii="宋体" w:hAnsi="宋体" w:cs="Times New Roman"/>
          <w:szCs w:val="28"/>
        </w:rPr>
        <w:t>－预警－预演－预案”全链条的数字孪生体系，打造感知精准、模拟精细、调度智能、安全可靠的数字孪生流域样板，</w:t>
      </w:r>
      <w:r>
        <w:rPr>
          <w:rFonts w:ascii="宋体" w:hAnsi="宋体" w:cs="Times New Roman"/>
          <w:szCs w:val="28"/>
        </w:rPr>
        <w:t>形成可复制、可推广的流域智慧治理模式，为全</w:t>
      </w:r>
      <w:r>
        <w:rPr>
          <w:rFonts w:hint="eastAsia" w:ascii="宋体" w:hAnsi="宋体" w:cs="Times New Roman"/>
          <w:szCs w:val="28"/>
        </w:rPr>
        <w:t>县</w:t>
      </w:r>
      <w:r>
        <w:rPr>
          <w:rFonts w:ascii="宋体" w:hAnsi="宋体" w:cs="Times New Roman"/>
          <w:szCs w:val="28"/>
        </w:rPr>
        <w:t>水网数字化、智能化建设提供核心示范载体。</w:t>
      </w:r>
    </w:p>
    <w:p w14:paraId="11E82696">
      <w:pPr>
        <w:ind w:firstLine="565" w:firstLineChars="202"/>
        <w:rPr>
          <w:rFonts w:ascii="宋体" w:hAnsi="宋体" w:cs="Times New Roman"/>
          <w:szCs w:val="28"/>
        </w:rPr>
      </w:pPr>
      <w:r>
        <w:rPr>
          <w:rFonts w:hint="eastAsia" w:ascii="宋体" w:hAnsi="宋体" w:cs="Times New Roman"/>
          <w:szCs w:val="28"/>
        </w:rPr>
        <w:t>流域信息化基础设施强化：通过“夯实数据根基，打通</w:t>
      </w:r>
      <w:r>
        <w:rPr>
          <w:rFonts w:ascii="宋体" w:hAnsi="宋体" w:cs="Times New Roman"/>
          <w:szCs w:val="28"/>
        </w:rPr>
        <w:t>传输脉络，升级算力中枢”为水利智能业务应用提供坚实的基础支撑。新增流域汀江干流水文监测站点，科学布防汀江流域水土流失敏感区域物联网感知节点</w:t>
      </w:r>
      <w:r>
        <w:rPr>
          <w:rFonts w:hint="eastAsia" w:ascii="宋体" w:hAnsi="宋体" w:cs="Times New Roman"/>
          <w:szCs w:val="28"/>
        </w:rPr>
        <w:t>，</w:t>
      </w:r>
      <w:r>
        <w:rPr>
          <w:rFonts w:ascii="宋体" w:hAnsi="宋体" w:cs="Times New Roman"/>
          <w:szCs w:val="28"/>
        </w:rPr>
        <w:t>升级流域范围网络带宽，</w:t>
      </w:r>
      <w:r>
        <w:rPr>
          <w:rFonts w:hint="eastAsia" w:ascii="宋体" w:hAnsi="宋体" w:cs="Times New Roman"/>
          <w:szCs w:val="28"/>
        </w:rPr>
        <w:t>长汀县</w:t>
      </w:r>
      <w:r>
        <w:rPr>
          <w:rFonts w:ascii="宋体" w:hAnsi="宋体" w:cs="Times New Roman"/>
          <w:szCs w:val="28"/>
        </w:rPr>
        <w:t>下辖各</w:t>
      </w:r>
      <w:r>
        <w:rPr>
          <w:rFonts w:hint="eastAsia" w:ascii="宋体" w:hAnsi="宋体" w:cs="Times New Roman"/>
          <w:szCs w:val="28"/>
        </w:rPr>
        <w:t>乡镇</w:t>
      </w:r>
      <w:r>
        <w:rPr>
          <w:rFonts w:ascii="宋体" w:hAnsi="宋体" w:cs="Times New Roman"/>
          <w:szCs w:val="28"/>
        </w:rPr>
        <w:t>偏远河段部署备用卫星通信终端，依托市级政务云平台为</w:t>
      </w:r>
      <w:r>
        <w:rPr>
          <w:rFonts w:hint="eastAsia" w:ascii="宋体" w:hAnsi="宋体" w:cs="Times New Roman"/>
          <w:szCs w:val="28"/>
        </w:rPr>
        <w:t>汀江</w:t>
      </w:r>
      <w:r>
        <w:rPr>
          <w:rFonts w:ascii="宋体" w:hAnsi="宋体" w:cs="Times New Roman"/>
          <w:szCs w:val="28"/>
        </w:rPr>
        <w:t>流域单独划分存储资源，充实保障数据安全存储及高效利用。</w:t>
      </w:r>
    </w:p>
    <w:p w14:paraId="121D09FC">
      <w:pPr>
        <w:ind w:firstLine="565" w:firstLineChars="202"/>
        <w:rPr>
          <w:rFonts w:ascii="宋体" w:hAnsi="宋体" w:cs="Times New Roman"/>
          <w:szCs w:val="28"/>
        </w:rPr>
      </w:pPr>
      <w:r>
        <w:rPr>
          <w:rFonts w:hint="eastAsia" w:ascii="宋体" w:hAnsi="宋体" w:cs="Times New Roman"/>
          <w:szCs w:val="28"/>
        </w:rPr>
        <w:t>流域数字孪生平台构建：建成汀江流域</w:t>
      </w:r>
      <w:r>
        <w:rPr>
          <w:rFonts w:ascii="宋体" w:hAnsi="宋体" w:cs="Times New Roman"/>
          <w:szCs w:val="28"/>
        </w:rPr>
        <w:t>L2级数字孪生数据底板，开发流域专属水文水动力模型，构建水资源调配模型与水生态耦合模型，优化水资源配置方案，支撑水生态保护科学决策；构建流域知识图谱，系统收录历史洪水案例、生态调度方案等核心信息，开发智能推理模块，实现防洪调度方案自动生成与优化。</w:t>
      </w:r>
    </w:p>
    <w:p w14:paraId="7F14B294">
      <w:pPr>
        <w:ind w:firstLine="565" w:firstLineChars="202"/>
        <w:rPr>
          <w:rFonts w:ascii="宋体" w:hAnsi="宋体" w:cs="Times New Roman"/>
          <w:szCs w:val="28"/>
        </w:rPr>
      </w:pPr>
      <w:r>
        <w:rPr>
          <w:rFonts w:hint="eastAsia" w:ascii="宋体" w:hAnsi="宋体" w:cs="Times New Roman"/>
          <w:szCs w:val="28"/>
        </w:rPr>
        <w:t>流域特色业务应用开发：建设汀江流域红色水利文化数</w:t>
      </w:r>
      <w:r>
        <w:rPr>
          <w:rFonts w:ascii="宋体" w:hAnsi="宋体" w:cs="Times New Roman"/>
          <w:szCs w:val="28"/>
        </w:rPr>
        <w:t>字展示系统，搭建流域水土保持动态监测系统，助力生态修复，开发流域突发水污染应急处置系统，提升水污染事件处置能力。</w:t>
      </w:r>
    </w:p>
    <w:p w14:paraId="63B49BCA">
      <w:pPr>
        <w:ind w:firstLine="565" w:firstLineChars="202"/>
        <w:rPr>
          <w:rFonts w:ascii="宋体" w:hAnsi="宋体" w:cs="Times New Roman"/>
          <w:szCs w:val="28"/>
        </w:rPr>
      </w:pPr>
      <w:r>
        <w:rPr>
          <w:rFonts w:hint="eastAsia" w:ascii="宋体" w:hAnsi="宋体" w:cs="Times New Roman"/>
          <w:szCs w:val="28"/>
        </w:rPr>
        <w:t>流域网络安全体系完善：在流域内水利工程工控系统关</w:t>
      </w:r>
      <w:r>
        <w:rPr>
          <w:rFonts w:ascii="宋体" w:hAnsi="宋体" w:cs="Times New Roman"/>
          <w:szCs w:val="28"/>
        </w:rPr>
        <w:t>键节点部署入侵检测设备，筑牢工控安全防线；建立流域级安全运营子中心，确保网络威胁事件及时发现、快速处置；对流域数字孪生核心数据采用加密存储技术，确保孪生平台稳定、安全运行。</w:t>
      </w:r>
    </w:p>
    <w:p w14:paraId="12F97437">
      <w:pPr>
        <w:tabs>
          <w:tab w:val="left" w:pos="3456"/>
        </w:tabs>
        <w:spacing w:line="406" w:lineRule="exact"/>
        <w:rPr>
          <w:rFonts w:ascii="宋体" w:hAnsi="宋体" w:cs="Microsoft JhengHei"/>
          <w:b/>
          <w:bCs/>
          <w:sz w:val="30"/>
          <w:szCs w:val="30"/>
        </w:rPr>
      </w:pPr>
      <w:r>
        <w:rPr>
          <w:rFonts w:ascii="宋体" w:hAnsi="宋体" w:cs="Microsoft JhengHei"/>
          <w:b/>
          <w:bCs/>
          <w:sz w:val="30"/>
          <w:szCs w:val="30"/>
        </w:rPr>
        <w:t>专栏5-7</w:t>
      </w:r>
      <w:r>
        <w:rPr>
          <w:rFonts w:hint="eastAsia" w:ascii="宋体" w:hAnsi="宋体" w:cs="Microsoft JhengHei"/>
          <w:b/>
          <w:bCs/>
          <w:sz w:val="30"/>
          <w:szCs w:val="30"/>
        </w:rPr>
        <w:t xml:space="preserve">          长汀县</w:t>
      </w:r>
      <w:r>
        <w:rPr>
          <w:rFonts w:ascii="宋体" w:hAnsi="宋体" w:cs="Microsoft JhengHei"/>
          <w:b/>
          <w:bCs/>
          <w:sz w:val="30"/>
          <w:szCs w:val="30"/>
        </w:rPr>
        <w:t>数字孪生建设工程</w:t>
      </w:r>
    </w:p>
    <w:p w14:paraId="06EC12C3">
      <w:pPr>
        <w:spacing w:before="2"/>
        <w:rPr>
          <w:rFonts w:ascii="宋体" w:hAnsi="宋体" w:cs="Microsoft JhengHei"/>
          <w:b/>
          <w:bCs/>
          <w:sz w:val="9"/>
          <w:szCs w:val="9"/>
        </w:rPr>
      </w:pPr>
    </w:p>
    <w:tbl>
      <w:tblPr>
        <w:tblStyle w:val="63"/>
        <w:tblW w:w="8669" w:type="dxa"/>
        <w:tblInd w:w="115" w:type="dxa"/>
        <w:tblLayout w:type="fixed"/>
        <w:tblCellMar>
          <w:top w:w="0" w:type="dxa"/>
          <w:left w:w="0" w:type="dxa"/>
          <w:bottom w:w="0" w:type="dxa"/>
          <w:right w:w="0" w:type="dxa"/>
        </w:tblCellMar>
      </w:tblPr>
      <w:tblGrid>
        <w:gridCol w:w="8669"/>
      </w:tblGrid>
      <w:tr w14:paraId="1E40C797">
        <w:trPr>
          <w:trHeight w:val="730" w:hRule="exact"/>
        </w:trPr>
        <w:tc>
          <w:tcPr>
            <w:tcW w:w="8669" w:type="dxa"/>
            <w:tcBorders>
              <w:top w:val="single" w:color="000000" w:sz="4" w:space="0"/>
              <w:left w:val="single" w:color="000000" w:sz="4" w:space="0"/>
              <w:bottom w:val="dotted" w:color="000000" w:sz="4" w:space="0"/>
              <w:right w:val="single" w:color="000000" w:sz="4" w:space="0"/>
            </w:tcBorders>
          </w:tcPr>
          <w:p w14:paraId="29987FD5">
            <w:pPr>
              <w:pStyle w:val="65"/>
              <w:spacing w:line="349" w:lineRule="exact"/>
              <w:ind w:left="103"/>
              <w:rPr>
                <w:rFonts w:ascii="宋体" w:hAnsi="宋体" w:eastAsia="宋体" w:cs="Microsoft JhengHei"/>
                <w:sz w:val="24"/>
                <w:szCs w:val="24"/>
                <w:lang w:eastAsia="zh-CN"/>
              </w:rPr>
            </w:pPr>
            <w:r>
              <w:rPr>
                <w:rFonts w:ascii="宋体" w:hAnsi="宋体" w:eastAsia="宋体" w:cs="Microsoft JhengHei"/>
                <w:b/>
                <w:bCs/>
                <w:sz w:val="24"/>
                <w:szCs w:val="24"/>
                <w:lang w:eastAsia="zh-CN"/>
              </w:rPr>
              <w:t>数字孪生流域建设工程</w:t>
            </w:r>
          </w:p>
          <w:p w14:paraId="5A6CE2AC">
            <w:pPr>
              <w:pStyle w:val="65"/>
              <w:spacing w:before="19"/>
              <w:ind w:left="103"/>
              <w:rPr>
                <w:rFonts w:ascii="宋体" w:hAnsi="宋体" w:eastAsia="宋体" w:cs="宋体"/>
                <w:sz w:val="24"/>
                <w:szCs w:val="24"/>
                <w:lang w:eastAsia="zh-CN"/>
              </w:rPr>
            </w:pPr>
            <w:r>
              <w:rPr>
                <w:rFonts w:ascii="宋体" w:hAnsi="宋体" w:eastAsia="宋体" w:cs="宋体"/>
                <w:sz w:val="24"/>
                <w:szCs w:val="24"/>
                <w:lang w:eastAsia="zh-CN"/>
              </w:rPr>
              <w:t>涉及汀江流域</w:t>
            </w:r>
          </w:p>
        </w:tc>
      </w:tr>
      <w:tr w14:paraId="41D255B0">
        <w:tblPrEx>
          <w:tblCellMar>
            <w:top w:w="0" w:type="dxa"/>
            <w:left w:w="0" w:type="dxa"/>
            <w:bottom w:w="0" w:type="dxa"/>
            <w:right w:w="0" w:type="dxa"/>
          </w:tblCellMar>
        </w:tblPrEx>
        <w:trPr>
          <w:trHeight w:val="1554" w:hRule="exact"/>
        </w:trPr>
        <w:tc>
          <w:tcPr>
            <w:tcW w:w="8669" w:type="dxa"/>
            <w:tcBorders>
              <w:top w:val="dotted" w:color="000000" w:sz="4" w:space="0"/>
              <w:left w:val="single" w:color="000000" w:sz="4" w:space="0"/>
              <w:bottom w:val="dotted" w:color="000000" w:sz="4" w:space="0"/>
              <w:right w:val="single" w:color="000000" w:sz="4" w:space="0"/>
            </w:tcBorders>
          </w:tcPr>
          <w:p w14:paraId="5A57E798">
            <w:pPr>
              <w:pStyle w:val="65"/>
              <w:spacing w:line="360" w:lineRule="exact"/>
              <w:ind w:left="103" w:right="33"/>
              <w:rPr>
                <w:rFonts w:ascii="宋体" w:hAnsi="宋体" w:eastAsia="宋体" w:cs="Microsoft JhengHei"/>
                <w:b/>
                <w:bCs/>
                <w:spacing w:val="-53"/>
                <w:sz w:val="24"/>
                <w:szCs w:val="24"/>
                <w:lang w:eastAsia="zh-CN"/>
              </w:rPr>
            </w:pPr>
            <w:r>
              <w:rPr>
                <w:rFonts w:ascii="宋体" w:hAnsi="宋体" w:eastAsia="宋体" w:cs="Microsoft JhengHei"/>
                <w:b/>
                <w:bCs/>
                <w:sz w:val="24"/>
                <w:szCs w:val="24"/>
                <w:lang w:eastAsia="zh-CN"/>
              </w:rPr>
              <w:t>流域信息化基础设施强化</w:t>
            </w:r>
          </w:p>
          <w:p w14:paraId="36359CEF">
            <w:pPr>
              <w:pStyle w:val="65"/>
              <w:spacing w:line="360" w:lineRule="exact"/>
              <w:ind w:left="103" w:right="33"/>
              <w:rPr>
                <w:rFonts w:ascii="宋体" w:hAnsi="宋体" w:eastAsia="宋体" w:cs="宋体"/>
                <w:sz w:val="24"/>
                <w:szCs w:val="24"/>
                <w:lang w:eastAsia="zh-CN"/>
              </w:rPr>
            </w:pPr>
            <w:r>
              <w:rPr>
                <w:rFonts w:ascii="宋体" w:hAnsi="宋体" w:eastAsia="宋体" w:cs="宋体"/>
                <w:sz w:val="24"/>
                <w:szCs w:val="24"/>
                <w:lang w:eastAsia="zh-CN"/>
              </w:rPr>
              <w:t>结合</w:t>
            </w:r>
            <w:r>
              <w:rPr>
                <w:rFonts w:hint="eastAsia" w:ascii="宋体" w:hAnsi="宋体" w:eastAsia="宋体" w:cs="宋体"/>
                <w:sz w:val="24"/>
                <w:szCs w:val="24"/>
                <w:lang w:eastAsia="zh-CN"/>
              </w:rPr>
              <w:t>长汀县</w:t>
            </w:r>
            <w:r>
              <w:rPr>
                <w:rFonts w:ascii="宋体" w:hAnsi="宋体" w:eastAsia="宋体" w:cs="宋体"/>
                <w:sz w:val="24"/>
                <w:szCs w:val="24"/>
                <w:lang w:eastAsia="zh-CN"/>
              </w:rPr>
              <w:t>信息基础设施现状，协同推进水利感知网、信息网和云平台建设：</w:t>
            </w:r>
            <w:r>
              <w:rPr>
                <w:rFonts w:ascii="宋体" w:hAnsi="宋体" w:eastAsia="宋体" w:cs="宋体"/>
                <w:spacing w:val="-3"/>
                <w:sz w:val="24"/>
                <w:szCs w:val="24"/>
                <w:lang w:eastAsia="zh-CN"/>
              </w:rPr>
              <w:t>部署全域监测站点提升感知能力，构建高速可靠信息网保障数据通畅，打造集约高效水利云平台，为数字孪生流域提供坚实数据基础、高速网络通道和强大</w:t>
            </w:r>
            <w:r>
              <w:rPr>
                <w:rFonts w:ascii="宋体" w:hAnsi="宋体" w:eastAsia="宋体" w:cs="宋体"/>
                <w:sz w:val="24"/>
                <w:szCs w:val="24"/>
                <w:lang w:eastAsia="zh-CN"/>
              </w:rPr>
              <w:t>算力核心。</w:t>
            </w:r>
          </w:p>
        </w:tc>
      </w:tr>
      <w:tr w14:paraId="2E3BAA49">
        <w:tblPrEx>
          <w:tblCellMar>
            <w:top w:w="0" w:type="dxa"/>
            <w:left w:w="0" w:type="dxa"/>
            <w:bottom w:w="0" w:type="dxa"/>
            <w:right w:w="0" w:type="dxa"/>
          </w:tblCellMar>
        </w:tblPrEx>
        <w:trPr>
          <w:trHeight w:val="2271" w:hRule="exact"/>
        </w:trPr>
        <w:tc>
          <w:tcPr>
            <w:tcW w:w="8669" w:type="dxa"/>
            <w:tcBorders>
              <w:top w:val="dotted" w:color="000000" w:sz="4" w:space="0"/>
              <w:left w:val="single" w:color="000000" w:sz="4" w:space="0"/>
              <w:bottom w:val="dotted" w:color="000000" w:sz="4" w:space="0"/>
              <w:right w:val="single" w:color="000000" w:sz="4" w:space="0"/>
            </w:tcBorders>
          </w:tcPr>
          <w:p w14:paraId="49FF17C1">
            <w:pPr>
              <w:pStyle w:val="65"/>
              <w:spacing w:line="360" w:lineRule="exact"/>
              <w:ind w:left="103" w:right="101"/>
              <w:rPr>
                <w:rFonts w:ascii="宋体" w:hAnsi="宋体" w:eastAsia="宋体" w:cs="Microsoft JhengHei"/>
                <w:b/>
                <w:bCs/>
                <w:spacing w:val="-53"/>
                <w:sz w:val="24"/>
                <w:szCs w:val="24"/>
                <w:lang w:eastAsia="zh-CN"/>
              </w:rPr>
            </w:pPr>
            <w:r>
              <w:rPr>
                <w:rFonts w:ascii="宋体" w:hAnsi="宋体" w:eastAsia="宋体" w:cs="Microsoft JhengHei"/>
                <w:b/>
                <w:bCs/>
                <w:sz w:val="24"/>
                <w:szCs w:val="24"/>
                <w:lang w:eastAsia="zh-CN"/>
              </w:rPr>
              <w:t>流域数字孪生平台构建</w:t>
            </w:r>
          </w:p>
          <w:p w14:paraId="2F38B9C6">
            <w:pPr>
              <w:pStyle w:val="65"/>
              <w:spacing w:line="360" w:lineRule="exact"/>
              <w:ind w:left="103" w:right="101"/>
              <w:rPr>
                <w:rFonts w:ascii="宋体" w:hAnsi="宋体" w:eastAsia="宋体" w:cs="宋体"/>
                <w:sz w:val="24"/>
                <w:szCs w:val="24"/>
                <w:lang w:eastAsia="zh-CN"/>
              </w:rPr>
            </w:pPr>
            <w:r>
              <w:rPr>
                <w:rFonts w:ascii="宋体" w:hAnsi="宋体" w:eastAsia="宋体" w:cs="宋体"/>
                <w:spacing w:val="-5"/>
                <w:sz w:val="24"/>
                <w:szCs w:val="24"/>
                <w:lang w:eastAsia="zh-CN"/>
              </w:rPr>
              <w:t>构建数据底板、模型平台与知识平台核心支撑体系：建成汀江流域</w:t>
            </w:r>
            <w:r>
              <w:rPr>
                <w:rFonts w:ascii="宋体" w:hAnsi="宋体" w:eastAsia="宋体" w:cs="Times New Roman"/>
                <w:sz w:val="24"/>
                <w:szCs w:val="24"/>
                <w:lang w:eastAsia="zh-CN"/>
              </w:rPr>
              <w:t>L2</w:t>
            </w:r>
            <w:r>
              <w:rPr>
                <w:rFonts w:ascii="宋体" w:hAnsi="宋体" w:eastAsia="宋体" w:cs="宋体"/>
                <w:sz w:val="24"/>
                <w:szCs w:val="24"/>
                <w:lang w:eastAsia="zh-CN"/>
              </w:rPr>
              <w:t>级数字孪生数据底板及</w:t>
            </w:r>
            <w:r>
              <w:rPr>
                <w:rFonts w:hint="eastAsia" w:ascii="宋体" w:hAnsi="宋体" w:eastAsia="宋体" w:cs="宋体"/>
                <w:sz w:val="24"/>
                <w:szCs w:val="24"/>
                <w:lang w:eastAsia="zh-CN"/>
              </w:rPr>
              <w:t>荣丰</w:t>
            </w:r>
            <w:r>
              <w:rPr>
                <w:rFonts w:ascii="宋体" w:hAnsi="宋体" w:eastAsia="宋体" w:cs="宋体"/>
                <w:sz w:val="24"/>
                <w:szCs w:val="24"/>
                <w:lang w:eastAsia="zh-CN"/>
              </w:rPr>
              <w:t>等重要水库</w:t>
            </w:r>
            <w:r>
              <w:rPr>
                <w:rFonts w:ascii="宋体" w:hAnsi="宋体" w:eastAsia="宋体" w:cs="Times New Roman"/>
                <w:sz w:val="24"/>
                <w:szCs w:val="24"/>
                <w:lang w:eastAsia="zh-CN"/>
              </w:rPr>
              <w:t>L3</w:t>
            </w:r>
            <w:r>
              <w:rPr>
                <w:rFonts w:ascii="宋体" w:hAnsi="宋体" w:eastAsia="宋体" w:cs="宋体"/>
                <w:sz w:val="24"/>
                <w:szCs w:val="24"/>
                <w:lang w:eastAsia="zh-CN"/>
              </w:rPr>
              <w:t>级地理空间数据，实现流域要素</w:t>
            </w:r>
            <w:r>
              <w:rPr>
                <w:rFonts w:ascii="宋体" w:hAnsi="宋体" w:eastAsia="宋体" w:cs="宋体"/>
                <w:spacing w:val="-3"/>
                <w:sz w:val="24"/>
                <w:szCs w:val="24"/>
                <w:lang w:eastAsia="zh-CN"/>
              </w:rPr>
              <w:t>高精度数字化映射；开发水文、水资源调配等水利专业模型，提供智慧化模拟仿真功能；构建流域知识图谱，收录历史案例与调度方案，开发智能推理模块实现防洪调度方案自动生成优化，为水利治理科学化、精准化、智能化提供根</w:t>
            </w:r>
            <w:r>
              <w:rPr>
                <w:rFonts w:ascii="宋体" w:hAnsi="宋体" w:eastAsia="宋体" w:cs="宋体"/>
                <w:sz w:val="24"/>
                <w:szCs w:val="24"/>
                <w:lang w:eastAsia="zh-CN"/>
              </w:rPr>
              <w:t>本支撑。</w:t>
            </w:r>
          </w:p>
        </w:tc>
      </w:tr>
      <w:tr w14:paraId="2915A29B">
        <w:tblPrEx>
          <w:tblCellMar>
            <w:top w:w="0" w:type="dxa"/>
            <w:left w:w="0" w:type="dxa"/>
            <w:bottom w:w="0" w:type="dxa"/>
            <w:right w:w="0" w:type="dxa"/>
          </w:tblCellMar>
        </w:tblPrEx>
        <w:trPr>
          <w:trHeight w:val="1810" w:hRule="exact"/>
        </w:trPr>
        <w:tc>
          <w:tcPr>
            <w:tcW w:w="8669" w:type="dxa"/>
            <w:tcBorders>
              <w:top w:val="dotted" w:color="000000" w:sz="4" w:space="0"/>
              <w:left w:val="single" w:color="000000" w:sz="4" w:space="0"/>
              <w:bottom w:val="dotted" w:color="000000" w:sz="4" w:space="0"/>
              <w:right w:val="single" w:color="000000" w:sz="4" w:space="0"/>
            </w:tcBorders>
          </w:tcPr>
          <w:p w14:paraId="1BC18DCA">
            <w:pPr>
              <w:pStyle w:val="65"/>
              <w:spacing w:line="360" w:lineRule="exact"/>
              <w:ind w:left="103" w:right="102"/>
              <w:rPr>
                <w:rFonts w:ascii="宋体" w:hAnsi="宋体" w:eastAsia="宋体" w:cs="Microsoft JhengHei"/>
                <w:b/>
                <w:bCs/>
                <w:spacing w:val="-53"/>
                <w:sz w:val="24"/>
                <w:szCs w:val="24"/>
                <w:lang w:eastAsia="zh-CN"/>
              </w:rPr>
            </w:pPr>
            <w:r>
              <w:rPr>
                <w:rFonts w:ascii="宋体" w:hAnsi="宋体" w:eastAsia="宋体" w:cs="Microsoft JhengHei"/>
                <w:b/>
                <w:bCs/>
                <w:sz w:val="24"/>
                <w:szCs w:val="24"/>
                <w:lang w:eastAsia="zh-CN"/>
              </w:rPr>
              <w:t>流域特色业务应用开发</w:t>
            </w:r>
          </w:p>
          <w:p w14:paraId="420085B1">
            <w:pPr>
              <w:pStyle w:val="65"/>
              <w:spacing w:line="360" w:lineRule="exact"/>
              <w:ind w:left="103" w:right="102"/>
              <w:rPr>
                <w:rFonts w:ascii="宋体" w:hAnsi="宋体" w:eastAsia="宋体" w:cs="宋体"/>
                <w:sz w:val="24"/>
                <w:szCs w:val="24"/>
                <w:lang w:eastAsia="zh-CN"/>
              </w:rPr>
            </w:pPr>
            <w:r>
              <w:rPr>
                <w:rFonts w:ascii="宋体" w:hAnsi="宋体" w:eastAsia="宋体" w:cs="宋体"/>
                <w:spacing w:val="-3"/>
                <w:sz w:val="24"/>
                <w:szCs w:val="24"/>
                <w:lang w:eastAsia="zh-CN"/>
              </w:rPr>
              <w:t>结合</w:t>
            </w:r>
            <w:r>
              <w:rPr>
                <w:rFonts w:hint="eastAsia" w:ascii="宋体" w:hAnsi="宋体" w:eastAsia="宋体" w:cs="宋体"/>
                <w:spacing w:val="-3"/>
                <w:sz w:val="24"/>
                <w:szCs w:val="24"/>
                <w:lang w:eastAsia="zh-CN"/>
              </w:rPr>
              <w:t>长汀</w:t>
            </w:r>
            <w:r>
              <w:rPr>
                <w:rFonts w:ascii="宋体" w:hAnsi="宋体" w:eastAsia="宋体" w:cs="宋体"/>
                <w:spacing w:val="-3"/>
                <w:sz w:val="24"/>
                <w:szCs w:val="24"/>
                <w:lang w:eastAsia="zh-CN"/>
              </w:rPr>
              <w:t>实际需求，建设特色水利智能业务应用体系：开发汀江流域红色水利文化数字展示系统传承红色文化，提升水资源效率，流域水土保持动态监测系统助力生态修复，突发水污染应急处置系</w:t>
            </w:r>
            <w:r>
              <w:rPr>
                <w:rFonts w:ascii="宋体" w:hAnsi="宋体" w:eastAsia="宋体" w:cs="宋体"/>
                <w:sz w:val="24"/>
                <w:szCs w:val="24"/>
                <w:lang w:eastAsia="zh-CN"/>
              </w:rPr>
              <w:t>统增强事件处置能力，通过多应用集成联动提升水治理现代化水平。</w:t>
            </w:r>
          </w:p>
        </w:tc>
      </w:tr>
      <w:tr w14:paraId="46D509F7">
        <w:tblPrEx>
          <w:tblCellMar>
            <w:top w:w="0" w:type="dxa"/>
            <w:left w:w="0" w:type="dxa"/>
            <w:bottom w:w="0" w:type="dxa"/>
            <w:right w:w="0" w:type="dxa"/>
          </w:tblCellMar>
        </w:tblPrEx>
        <w:trPr>
          <w:trHeight w:val="1453" w:hRule="exact"/>
        </w:trPr>
        <w:tc>
          <w:tcPr>
            <w:tcW w:w="8669" w:type="dxa"/>
            <w:tcBorders>
              <w:top w:val="dotted" w:color="000000" w:sz="4" w:space="0"/>
              <w:left w:val="single" w:color="000000" w:sz="4" w:space="0"/>
              <w:bottom w:val="single" w:color="000000" w:sz="4" w:space="0"/>
              <w:right w:val="single" w:color="000000" w:sz="4" w:space="0"/>
            </w:tcBorders>
          </w:tcPr>
          <w:p w14:paraId="2D3BCE52">
            <w:pPr>
              <w:pStyle w:val="65"/>
              <w:spacing w:before="2" w:line="360" w:lineRule="exact"/>
              <w:ind w:left="103" w:right="102"/>
              <w:rPr>
                <w:rFonts w:ascii="宋体" w:hAnsi="宋体" w:eastAsia="宋体" w:cs="Microsoft JhengHei"/>
                <w:b/>
                <w:bCs/>
                <w:spacing w:val="-53"/>
                <w:sz w:val="24"/>
                <w:szCs w:val="24"/>
                <w:lang w:eastAsia="zh-CN"/>
              </w:rPr>
            </w:pPr>
            <w:r>
              <w:rPr>
                <w:rFonts w:ascii="宋体" w:hAnsi="宋体" w:eastAsia="宋体" w:cs="Microsoft JhengHei"/>
                <w:b/>
                <w:bCs/>
                <w:sz w:val="24"/>
                <w:szCs w:val="24"/>
                <w:lang w:eastAsia="zh-CN"/>
              </w:rPr>
              <w:t>流域网络安全体系完善</w:t>
            </w:r>
          </w:p>
          <w:p w14:paraId="3E0BDCD7">
            <w:pPr>
              <w:pStyle w:val="65"/>
              <w:spacing w:before="2" w:line="360" w:lineRule="exact"/>
              <w:ind w:left="103" w:right="102"/>
              <w:rPr>
                <w:rFonts w:ascii="宋体" w:hAnsi="宋体" w:eastAsia="宋体" w:cs="宋体"/>
                <w:sz w:val="24"/>
                <w:szCs w:val="24"/>
                <w:lang w:eastAsia="zh-CN"/>
              </w:rPr>
            </w:pPr>
            <w:r>
              <w:rPr>
                <w:rFonts w:ascii="宋体" w:hAnsi="宋体" w:eastAsia="宋体" w:cs="宋体"/>
                <w:spacing w:val="-3"/>
                <w:sz w:val="24"/>
                <w:szCs w:val="24"/>
                <w:lang w:eastAsia="zh-CN"/>
              </w:rPr>
              <w:t>为保障数字孪生体系安全运行，工控层部署入侵检测与主机防护设备筑牢前端</w:t>
            </w:r>
          </w:p>
          <w:p w14:paraId="6823F759">
            <w:pPr>
              <w:pStyle w:val="65"/>
              <w:spacing w:before="8" w:line="276" w:lineRule="auto"/>
              <w:ind w:left="103" w:right="105"/>
              <w:rPr>
                <w:rFonts w:ascii="宋体" w:hAnsi="宋体" w:eastAsia="宋体" w:cs="宋体"/>
                <w:sz w:val="24"/>
                <w:szCs w:val="24"/>
                <w:lang w:eastAsia="zh-CN"/>
              </w:rPr>
            </w:pPr>
            <w:r>
              <w:rPr>
                <w:rFonts w:ascii="宋体" w:hAnsi="宋体" w:eastAsia="宋体" w:cs="宋体"/>
                <w:spacing w:val="-3"/>
                <w:sz w:val="24"/>
                <w:szCs w:val="24"/>
                <w:lang w:eastAsia="zh-CN"/>
              </w:rPr>
              <w:t>防线，网络层建立安全运营子中心实现威胁联动处置，平台层强化核心数据加</w:t>
            </w:r>
            <w:r>
              <w:rPr>
                <w:rFonts w:ascii="宋体" w:hAnsi="宋体" w:eastAsia="宋体" w:cs="宋体"/>
                <w:sz w:val="24"/>
                <w:szCs w:val="24"/>
                <w:lang w:eastAsia="zh-CN"/>
              </w:rPr>
              <w:t>密与安全测试，保障系统持续可靠安全运行。</w:t>
            </w:r>
          </w:p>
        </w:tc>
      </w:tr>
    </w:tbl>
    <w:p w14:paraId="222AADEC">
      <w:pPr>
        <w:ind w:firstLine="565" w:firstLineChars="202"/>
        <w:rPr>
          <w:rFonts w:ascii="宋体" w:hAnsi="宋体"/>
        </w:rPr>
      </w:pPr>
    </w:p>
    <w:p w14:paraId="15881AD6">
      <w:pPr>
        <w:pStyle w:val="3"/>
        <w:numPr>
          <w:ilvl w:val="1"/>
          <w:numId w:val="2"/>
        </w:numPr>
        <w:rPr>
          <w:rFonts w:ascii="宋体" w:hAnsi="宋体"/>
          <w:color w:val="auto"/>
        </w:rPr>
      </w:pPr>
      <w:bookmarkStart w:id="50" w:name="_Toc216791704"/>
      <w:r>
        <w:rPr>
          <w:rFonts w:hint="eastAsia" w:ascii="宋体" w:hAnsi="宋体"/>
          <w:color w:val="auto"/>
        </w:rPr>
        <w:t>聚焦“五个方向”，推进重点工程建设</w:t>
      </w:r>
      <w:bookmarkEnd w:id="50"/>
    </w:p>
    <w:p w14:paraId="0E5E85B4">
      <w:pPr>
        <w:ind w:firstLine="565" w:firstLineChars="202"/>
        <w:rPr>
          <w:rFonts w:ascii="宋体" w:hAnsi="宋体"/>
        </w:rPr>
      </w:pPr>
      <w:r>
        <w:rPr>
          <w:rFonts w:hint="eastAsia" w:ascii="宋体" w:hAnsi="宋体"/>
        </w:rPr>
        <w:t>按照“确有需要、生态安全、可以持续”的原则，坚持目标导向、目标牵引，以巩固提升存量、新建必要增量为抓</w:t>
      </w:r>
      <w:r>
        <w:rPr>
          <w:rFonts w:ascii="宋体" w:hAnsi="宋体"/>
        </w:rPr>
        <w:t>手，着力补齐防洪短板、供水安全、水生态修复、智慧水利等突出短板，全力完善水利基础设施网络，着力提升</w:t>
      </w:r>
      <w:r>
        <w:rPr>
          <w:rFonts w:hint="eastAsia" w:ascii="宋体" w:hAnsi="宋体"/>
        </w:rPr>
        <w:t>长汀县</w:t>
      </w:r>
      <w:r>
        <w:rPr>
          <w:rFonts w:ascii="宋体" w:hAnsi="宋体"/>
        </w:rPr>
        <w:t>水安全保障能力。</w:t>
      </w:r>
    </w:p>
    <w:p w14:paraId="6B86D5E9">
      <w:pPr>
        <w:pStyle w:val="4"/>
        <w:rPr>
          <w:rFonts w:ascii="宋体" w:hAnsi="宋体"/>
          <w:color w:val="auto"/>
        </w:rPr>
      </w:pPr>
      <w:r>
        <w:rPr>
          <w:rFonts w:hint="eastAsia" w:ascii="宋体" w:hAnsi="宋体"/>
          <w:color w:val="auto"/>
        </w:rPr>
        <w:t>防洪排涝能力提升重点工程</w:t>
      </w:r>
    </w:p>
    <w:p w14:paraId="4A8B35F5">
      <w:pPr>
        <w:pStyle w:val="5"/>
        <w:rPr>
          <w:rFonts w:ascii="宋体" w:hAnsi="宋体"/>
          <w:color w:val="auto"/>
        </w:rPr>
      </w:pPr>
      <w:r>
        <w:rPr>
          <w:rFonts w:hint="eastAsia" w:ascii="宋体" w:hAnsi="宋体"/>
          <w:color w:val="auto"/>
        </w:rPr>
        <w:t>“五江一溪”防洪</w:t>
      </w:r>
      <w:r>
        <w:rPr>
          <w:rFonts w:ascii="宋体" w:hAnsi="宋体"/>
          <w:color w:val="auto"/>
        </w:rPr>
        <w:t>工程</w:t>
      </w:r>
    </w:p>
    <w:p w14:paraId="1A65CAF2">
      <w:pPr>
        <w:ind w:firstLine="565" w:firstLineChars="202"/>
        <w:rPr>
          <w:rFonts w:ascii="宋体" w:hAnsi="宋体"/>
        </w:rPr>
      </w:pPr>
      <w:r>
        <w:rPr>
          <w:rFonts w:hint="eastAsia" w:ascii="宋体" w:hAnsi="宋体"/>
        </w:rPr>
        <w:t>继续推进福建省汀江（龙岩长汀段）防洪治理工程，项目共布置</w:t>
      </w:r>
      <w:r>
        <w:rPr>
          <w:rFonts w:ascii="宋体" w:hAnsi="宋体"/>
        </w:rPr>
        <w:t>21条堤段，建设堤防总长度49.53Km，其中新建防洪堤23.77Km，新建护岸25.76Km，工程建设总投资8.12亿元，“十五五”期间计划投资5.0亿元。</w:t>
      </w:r>
    </w:p>
    <w:p w14:paraId="2A6E2DD9">
      <w:pPr>
        <w:pStyle w:val="5"/>
        <w:rPr>
          <w:rFonts w:ascii="宋体" w:hAnsi="宋体"/>
          <w:color w:val="auto"/>
        </w:rPr>
      </w:pPr>
      <w:r>
        <w:rPr>
          <w:rFonts w:hint="eastAsia" w:ascii="宋体" w:hAnsi="宋体"/>
          <w:color w:val="auto"/>
        </w:rPr>
        <w:t>重点</w:t>
      </w:r>
      <w:r>
        <w:rPr>
          <w:rFonts w:ascii="宋体" w:hAnsi="宋体"/>
          <w:color w:val="auto"/>
        </w:rPr>
        <w:t>涝区综合治理</w:t>
      </w:r>
    </w:p>
    <w:p w14:paraId="5E6A516B">
      <w:pPr>
        <w:ind w:firstLine="565" w:firstLineChars="202"/>
        <w:rPr>
          <w:rFonts w:ascii="宋体" w:hAnsi="宋体"/>
        </w:rPr>
      </w:pPr>
      <w:r>
        <w:rPr>
          <w:rFonts w:hint="eastAsia" w:ascii="宋体" w:hAnsi="宋体"/>
        </w:rPr>
        <w:t>至2030年</w:t>
      </w:r>
      <w:r>
        <w:rPr>
          <w:rFonts w:ascii="宋体" w:hAnsi="宋体"/>
        </w:rPr>
        <w:t>，重点推进</w:t>
      </w:r>
      <w:r>
        <w:rPr>
          <w:rFonts w:hint="eastAsia" w:ascii="宋体" w:hAnsi="宋体"/>
        </w:rPr>
        <w:t>福建省</w:t>
      </w:r>
      <w:bookmarkStart w:id="51" w:name="OLE_LINK8"/>
      <w:r>
        <w:rPr>
          <w:rFonts w:hint="eastAsia" w:ascii="宋体" w:hAnsi="宋体"/>
        </w:rPr>
        <w:t>韩江上游福建片（长汀县河田、大同、新桥、策武、三洲、四都、濯田、涂坊）</w:t>
      </w:r>
      <w:bookmarkEnd w:id="51"/>
      <w:r>
        <w:rPr>
          <w:rFonts w:hint="eastAsia" w:ascii="宋体" w:hAnsi="宋体"/>
        </w:rPr>
        <w:t>排涝工程，项目通过加固或新建排涝截排沟渠、压排泵站和挡水水闸等综合措施，完善韩江上游福建片（长汀县河田、大同、新桥、策武、三洲、四都、濯田、涂坊）</w:t>
      </w:r>
      <w:r>
        <w:rPr>
          <w:rFonts w:ascii="宋体" w:hAnsi="宋体"/>
        </w:rPr>
        <w:t>防洪排涝体系，通过合理的排涝工程设计达到提高保护区防洪治涝能力、防范或减轻洪涝灾害、保护国家和人民群众生命财产安全美化环境、创造良好投资环境的目的。</w:t>
      </w:r>
      <w:r>
        <w:rPr>
          <w:rFonts w:hint="eastAsia" w:ascii="宋体" w:hAnsi="宋体"/>
        </w:rPr>
        <w:t>项目</w:t>
      </w:r>
      <w:r>
        <w:rPr>
          <w:rFonts w:ascii="宋体" w:hAnsi="宋体"/>
        </w:rPr>
        <w:t>建设内容有：</w:t>
      </w:r>
      <w:r>
        <w:rPr>
          <w:rFonts w:hint="eastAsia" w:ascii="宋体" w:hAnsi="宋体"/>
        </w:rPr>
        <w:t>新建泵站</w:t>
      </w:r>
      <w:r>
        <w:rPr>
          <w:rFonts w:ascii="宋体" w:hAnsi="宋体"/>
        </w:rPr>
        <w:t>3座、整治撇洪沟、沟渠94.60km、整治涵闸12座。</w:t>
      </w:r>
      <w:r>
        <w:rPr>
          <w:rFonts w:hint="eastAsia" w:ascii="宋体" w:hAnsi="宋体"/>
        </w:rPr>
        <w:t>工程建设总投资</w:t>
      </w:r>
      <w:r>
        <w:rPr>
          <w:rFonts w:ascii="宋体" w:hAnsi="宋体"/>
        </w:rPr>
        <w:t>10.82亿元，“十五五”期间计划投资5.0亿元。</w:t>
      </w:r>
    </w:p>
    <w:p w14:paraId="2A3CACCE">
      <w:pPr>
        <w:pStyle w:val="4"/>
        <w:rPr>
          <w:rFonts w:ascii="宋体" w:hAnsi="宋体"/>
          <w:color w:val="auto"/>
        </w:rPr>
      </w:pPr>
      <w:r>
        <w:rPr>
          <w:rFonts w:hint="eastAsia" w:ascii="宋体" w:hAnsi="宋体"/>
          <w:color w:val="auto"/>
        </w:rPr>
        <w:t>水资源配置重点工程</w:t>
      </w:r>
    </w:p>
    <w:p w14:paraId="66AC4D4B">
      <w:pPr>
        <w:ind w:firstLine="565" w:firstLineChars="202"/>
        <w:rPr>
          <w:rFonts w:ascii="宋体" w:hAnsi="宋体"/>
        </w:rPr>
      </w:pPr>
      <w:r>
        <w:rPr>
          <w:rFonts w:hint="eastAsia" w:ascii="宋体" w:hAnsi="宋体"/>
        </w:rPr>
        <w:t>秉持“节水优先、以水定需、优水优用、保障生态”理念，构建高效安全的水资源配置体系。全县形成</w:t>
      </w:r>
      <w:r>
        <w:rPr>
          <w:rFonts w:ascii="宋体" w:hAnsi="宋体"/>
        </w:rPr>
        <w:t>“一核四库、六区联动”的总体格局</w:t>
      </w:r>
      <w:r>
        <w:rPr>
          <w:rFonts w:hint="eastAsia" w:ascii="宋体" w:hAnsi="宋体"/>
        </w:rPr>
        <w:t>。至</w:t>
      </w:r>
      <w:r>
        <w:rPr>
          <w:rFonts w:ascii="宋体" w:hAnsi="宋体"/>
        </w:rPr>
        <w:t>2030年，</w:t>
      </w:r>
      <w:r>
        <w:rPr>
          <w:rFonts w:hint="eastAsia" w:ascii="宋体" w:hAnsi="宋体"/>
        </w:rPr>
        <w:t>启动汀江大型灌区前期工作，推进龙门水库、桐睦水库、伯公前水库等水源</w:t>
      </w:r>
      <w:r>
        <w:rPr>
          <w:rFonts w:ascii="宋体" w:hAnsi="宋体"/>
        </w:rPr>
        <w:t>工程建设，推进</w:t>
      </w:r>
      <w:r>
        <w:rPr>
          <w:rFonts w:hint="eastAsia" w:ascii="宋体" w:hAnsi="宋体"/>
        </w:rPr>
        <w:t>陂下</w:t>
      </w:r>
      <w:r>
        <w:rPr>
          <w:rFonts w:ascii="宋体" w:hAnsi="宋体"/>
        </w:rPr>
        <w:t>水库调水工程</w:t>
      </w:r>
      <w:r>
        <w:rPr>
          <w:rFonts w:hint="eastAsia" w:ascii="宋体" w:hAnsi="宋体"/>
        </w:rPr>
        <w:t>建设</w:t>
      </w:r>
      <w:r>
        <w:rPr>
          <w:rFonts w:ascii="宋体" w:hAnsi="宋体"/>
        </w:rPr>
        <w:t>。重点工程</w:t>
      </w:r>
      <w:r>
        <w:rPr>
          <w:rFonts w:hint="eastAsia" w:ascii="宋体" w:hAnsi="宋体"/>
        </w:rPr>
        <w:t>建设</w:t>
      </w:r>
      <w:r>
        <w:rPr>
          <w:rFonts w:ascii="宋体" w:hAnsi="宋体"/>
        </w:rPr>
        <w:t>总投资51.63亿元，“十五五”期间计划投资7.26亿元。</w:t>
      </w:r>
    </w:p>
    <w:p w14:paraId="3E5F74E2">
      <w:pPr>
        <w:pStyle w:val="5"/>
        <w:rPr>
          <w:rFonts w:ascii="宋体" w:hAnsi="宋体"/>
          <w:color w:val="auto"/>
        </w:rPr>
      </w:pPr>
      <w:r>
        <w:rPr>
          <w:rFonts w:hint="eastAsia" w:ascii="宋体" w:hAnsi="宋体"/>
          <w:color w:val="auto"/>
        </w:rPr>
        <w:t>启动汀江大型灌区前期工作</w:t>
      </w:r>
    </w:p>
    <w:p w14:paraId="419C1A43">
      <w:pPr>
        <w:ind w:firstLine="565" w:firstLineChars="202"/>
        <w:rPr>
          <w:rFonts w:ascii="宋体" w:hAnsi="宋体"/>
        </w:rPr>
      </w:pPr>
      <w:r>
        <w:rPr>
          <w:rFonts w:hint="eastAsia" w:ascii="宋体" w:hAnsi="宋体"/>
        </w:rPr>
        <w:t>初步计划与上杭联合策划（其中：长汀30万亩，上杭20万亩），汀江大型灌区长汀灌片计划以汀江干流为脉，通过龙门、荣丰、陂下、溪源水库等四库中型与51座小型水库构建“四核多源”的水源保障体系，实施陂下水库引调水、龙门水库干渠、双溪口水库干渠、福盛水库干渠等骨干工程，整合荣丰灌区（不含古城镇）、河策灌区、汀南灌区、陂下灌区、三洲旱片灌区、千工陂灌区等6个中型灌区，可初步建成“一干四核六片多源”长汀县现代化灌溉保障网、农村供水保障网。并将地势较低的旱地、林地纳入，实施“旱改水”及发展林下经济，建成后保障灌溉面积30万亩、新增灌溉面积8万亩、保障40万人供水。工程建设总投资约30亿元，“十五五”期间计划投资</w:t>
      </w:r>
      <w:r>
        <w:rPr>
          <w:rFonts w:ascii="宋体" w:hAnsi="宋体"/>
        </w:rPr>
        <w:t>0.3亿元。</w:t>
      </w:r>
    </w:p>
    <w:p w14:paraId="6F13E53B">
      <w:pPr>
        <w:pStyle w:val="5"/>
        <w:rPr>
          <w:rFonts w:ascii="宋体" w:hAnsi="宋体"/>
          <w:color w:val="auto"/>
        </w:rPr>
      </w:pPr>
      <w:r>
        <w:rPr>
          <w:rFonts w:hint="eastAsia" w:ascii="宋体" w:hAnsi="宋体"/>
          <w:color w:val="auto"/>
        </w:rPr>
        <w:t>长汀县陂下水库引水工程</w:t>
      </w:r>
    </w:p>
    <w:p w14:paraId="0DEA24B7">
      <w:pPr>
        <w:ind w:firstLine="565" w:firstLineChars="202"/>
        <w:rPr>
          <w:rFonts w:ascii="宋体" w:hAnsi="宋体"/>
        </w:rPr>
      </w:pPr>
      <w:r>
        <w:rPr>
          <w:rFonts w:hint="eastAsia" w:ascii="宋体" w:hAnsi="宋体"/>
        </w:rPr>
        <w:t>陂下水库建成于</w:t>
      </w:r>
      <w:r>
        <w:rPr>
          <w:rFonts w:ascii="宋体" w:hAnsi="宋体"/>
        </w:rPr>
        <w:t>1986年7月，</w:t>
      </w:r>
      <w:r>
        <w:rPr>
          <w:rFonts w:hint="eastAsia" w:ascii="宋体" w:hAnsi="宋体"/>
        </w:rPr>
        <w:t>为长汀县规模最大的中型水库。水库</w:t>
      </w:r>
      <w:r>
        <w:rPr>
          <w:rFonts w:ascii="宋体" w:hAnsi="宋体"/>
        </w:rPr>
        <w:t>总库容5801万m</w:t>
      </w:r>
      <w:r>
        <w:rPr>
          <w:rFonts w:ascii="宋体" w:hAnsi="宋体"/>
          <w:vertAlign w:val="superscript"/>
        </w:rPr>
        <w:t xml:space="preserve">3 </w:t>
      </w:r>
      <w:r>
        <w:rPr>
          <w:rFonts w:ascii="宋体" w:hAnsi="宋体"/>
        </w:rPr>
        <w:t>，兴利库容3560万m</w:t>
      </w:r>
      <w:r>
        <w:rPr>
          <w:rFonts w:ascii="宋体" w:hAnsi="宋体"/>
          <w:vertAlign w:val="superscript"/>
        </w:rPr>
        <w:t xml:space="preserve">3 </w:t>
      </w:r>
      <w:r>
        <w:rPr>
          <w:rFonts w:ascii="宋体" w:hAnsi="宋体"/>
        </w:rPr>
        <w:t>，为年调节水库，对径流的调节性能良好，水库坝址位于濯田河干流，坝址以上集水面积166km</w:t>
      </w:r>
      <w:r>
        <w:rPr>
          <w:rFonts w:ascii="宋体" w:hAnsi="宋体"/>
          <w:vertAlign w:val="superscript"/>
        </w:rPr>
        <w:t>2</w:t>
      </w:r>
      <w:r>
        <w:rPr>
          <w:rFonts w:ascii="宋体" w:hAnsi="宋体"/>
        </w:rPr>
        <w:t>，下游影响区包括四都镇的羊牯岭村、</w:t>
      </w:r>
      <w:r>
        <w:rPr>
          <w:rFonts w:hint="eastAsia" w:ascii="宋体" w:hAnsi="宋体"/>
        </w:rPr>
        <w:t>圭田村、坪埔村，濯田镇的安仁村、李湖村及濯田镇区等。工程原设</w:t>
      </w:r>
      <w:r>
        <w:rPr>
          <w:rFonts w:ascii="宋体" w:hAnsi="宋体"/>
        </w:rPr>
        <w:t>计任务为灌溉和发电，设计灌溉面积2万亩。水库地势较高，为提高水资源利用效率、高水高用，规划从陂下水库调水，连通大丰水库、郭寨等小型水库为濯田、三洲、策武、河田等地势较高灌区供水。经测算，</w:t>
      </w:r>
      <w:r>
        <w:rPr>
          <w:rFonts w:hint="eastAsia" w:ascii="宋体" w:hAnsi="宋体"/>
        </w:rPr>
        <w:t>引用流量为每秒</w:t>
      </w:r>
      <w:r>
        <w:rPr>
          <w:rFonts w:ascii="宋体" w:hAnsi="宋体"/>
        </w:rPr>
        <w:t>3.0立方，年调水9460万方，新增灌溉面积3.75万亩。引水线路总长61.2km ，总投资 7.23 亿元。</w:t>
      </w:r>
      <w:r>
        <w:rPr>
          <w:rFonts w:hint="eastAsia" w:ascii="宋体" w:hAnsi="宋体"/>
        </w:rPr>
        <w:t>工程</w:t>
      </w:r>
      <w:r>
        <w:rPr>
          <w:rFonts w:ascii="宋体" w:hAnsi="宋体"/>
        </w:rPr>
        <w:t>建设</w:t>
      </w:r>
      <w:r>
        <w:rPr>
          <w:rFonts w:hint="eastAsia" w:ascii="宋体" w:hAnsi="宋体"/>
        </w:rPr>
        <w:t>总投资</w:t>
      </w:r>
      <w:r>
        <w:rPr>
          <w:rFonts w:ascii="宋体" w:hAnsi="宋体"/>
        </w:rPr>
        <w:t>8.2亿元，“十五五”期间计划投资0.82亿元。</w:t>
      </w:r>
    </w:p>
    <w:p w14:paraId="694DEE2F">
      <w:pPr>
        <w:pStyle w:val="5"/>
        <w:rPr>
          <w:rFonts w:ascii="宋体" w:hAnsi="宋体"/>
          <w:color w:val="auto"/>
        </w:rPr>
      </w:pPr>
      <w:r>
        <w:rPr>
          <w:rFonts w:hint="eastAsia" w:ascii="宋体" w:hAnsi="宋体"/>
          <w:color w:val="auto"/>
        </w:rPr>
        <w:t>水源工程</w:t>
      </w:r>
    </w:p>
    <w:p w14:paraId="2579D0EA">
      <w:pPr>
        <w:ind w:firstLine="565" w:firstLineChars="202"/>
        <w:rPr>
          <w:rFonts w:ascii="宋体" w:hAnsi="宋体"/>
        </w:rPr>
      </w:pPr>
      <w:r>
        <w:rPr>
          <w:rFonts w:hint="eastAsia" w:ascii="宋体" w:hAnsi="宋体"/>
        </w:rPr>
        <w:t>至</w:t>
      </w:r>
      <w:r>
        <w:rPr>
          <w:rFonts w:ascii="宋体" w:hAnsi="宋体"/>
        </w:rPr>
        <w:t>2030年，重点推进龙门水库的前期工作，争取开工建设，持续推进桐睦水库工程建设完成，发挥效益；持续推进伯公前水库工程，重点水库建设工程总投资13.43亿元，“十五五”期间计划投资6.14亿元。</w:t>
      </w:r>
    </w:p>
    <w:p w14:paraId="32046831">
      <w:pPr>
        <w:ind w:firstLine="565" w:firstLineChars="202"/>
        <w:rPr>
          <w:rFonts w:ascii="宋体" w:hAnsi="宋体"/>
        </w:rPr>
      </w:pPr>
      <w:r>
        <w:rPr>
          <w:rFonts w:hint="eastAsia" w:ascii="宋体" w:hAnsi="宋体"/>
        </w:rPr>
        <w:t>（1）中型水库（1座）</w:t>
      </w:r>
    </w:p>
    <w:p w14:paraId="6E1DFB23">
      <w:pPr>
        <w:ind w:firstLine="565" w:firstLineChars="202"/>
        <w:rPr>
          <w:rFonts w:ascii="宋体" w:hAnsi="宋体"/>
        </w:rPr>
      </w:pPr>
      <w:r>
        <w:rPr>
          <w:rFonts w:hint="eastAsia" w:ascii="宋体" w:hAnsi="宋体"/>
        </w:rPr>
        <w:t>龙门水库工程：坝址位于福建省龙岩市长汀县庵杰乡上赤村下廖自然村桥下游约1.20公里处，距长汀县城约40公里。坝址以上集雨面积77.91平方公里，河长21.80公里，河道平均坡降17.15‰。水库承担防洪、城乡供水、农业灌溉、兼顾发电等综合利用任务，并改善下游生态用水条件。工程建设总投资</w:t>
      </w:r>
      <w:r>
        <w:rPr>
          <w:rFonts w:ascii="宋体" w:hAnsi="宋体"/>
        </w:rPr>
        <w:t>8</w:t>
      </w:r>
      <w:r>
        <w:rPr>
          <w:rFonts w:hint="eastAsia" w:ascii="宋体" w:hAnsi="宋体"/>
        </w:rPr>
        <w:t>.97亿元，“十五五”期间计划投资</w:t>
      </w:r>
      <w:r>
        <w:rPr>
          <w:rFonts w:ascii="宋体" w:hAnsi="宋体"/>
        </w:rPr>
        <w:t>3.59</w:t>
      </w:r>
      <w:r>
        <w:rPr>
          <w:rFonts w:hint="eastAsia" w:ascii="宋体" w:hAnsi="宋体"/>
        </w:rPr>
        <w:t>亿元。</w:t>
      </w:r>
    </w:p>
    <w:p w14:paraId="0F3857AB">
      <w:pPr>
        <w:ind w:firstLine="565" w:firstLineChars="202"/>
        <w:rPr>
          <w:rFonts w:ascii="宋体" w:hAnsi="宋体"/>
        </w:rPr>
      </w:pPr>
      <w:r>
        <w:rPr>
          <w:rFonts w:hint="eastAsia" w:ascii="宋体" w:hAnsi="宋体"/>
        </w:rPr>
        <w:t>（2）小型水库（</w:t>
      </w:r>
      <w:r>
        <w:rPr>
          <w:rFonts w:ascii="宋体" w:hAnsi="宋体"/>
        </w:rPr>
        <w:t>2</w:t>
      </w:r>
      <w:r>
        <w:rPr>
          <w:rFonts w:hint="eastAsia" w:ascii="宋体" w:hAnsi="宋体"/>
        </w:rPr>
        <w:t>座）</w:t>
      </w:r>
    </w:p>
    <w:p w14:paraId="1BF33F9A">
      <w:pPr>
        <w:ind w:firstLine="565" w:firstLineChars="202"/>
        <w:rPr>
          <w:rFonts w:ascii="宋体" w:hAnsi="宋体"/>
        </w:rPr>
      </w:pPr>
      <w:r>
        <w:rPr>
          <w:rFonts w:hint="eastAsia" w:ascii="宋体" w:hAnsi="宋体"/>
        </w:rPr>
        <w:t>①桐睦水库建设工程</w:t>
      </w:r>
    </w:p>
    <w:p w14:paraId="5DDBC0E6">
      <w:pPr>
        <w:ind w:firstLine="565" w:firstLineChars="202"/>
        <w:rPr>
          <w:rFonts w:ascii="宋体" w:hAnsi="宋体"/>
        </w:rPr>
      </w:pPr>
      <w:r>
        <w:rPr>
          <w:rFonts w:hint="eastAsia" w:ascii="宋体" w:hAnsi="宋体"/>
        </w:rPr>
        <w:t>桐睦水库位于长汀县濯田镇桐睦村，坝址位于濯田河支流桐睦溪上游，坝址以上集雨面积8.40km²。水库建设以灌溉为主，兼顾村镇生活供水，兼有下游防洪、生态补水等综合利用功能。受益范围：⑴灌溉：濯田镇左拔、升平、段上、长巫等25个行政村，设计有效灌溉面积8320亩（保灌5900亩），⑵供水：规划水平年2020年受益人口4.24万人，年供水量189.07万m³，供水保证率95%。该水库于</w:t>
      </w:r>
      <w:r>
        <w:rPr>
          <w:rFonts w:ascii="宋体" w:hAnsi="宋体"/>
        </w:rPr>
        <w:t>2023年3月开工建设，目前已完成大坝混凝土浇筑至坝高35米，计划2025年底完成大坝混凝土浇筑至坝高40米。</w:t>
      </w:r>
      <w:r>
        <w:rPr>
          <w:rFonts w:hint="eastAsia" w:ascii="宋体" w:hAnsi="宋体"/>
        </w:rPr>
        <w:t>工程建设总投资</w:t>
      </w:r>
      <w:r>
        <w:rPr>
          <w:rFonts w:ascii="宋体" w:hAnsi="宋体"/>
        </w:rPr>
        <w:t>2.09亿元，</w:t>
      </w:r>
      <w:r>
        <w:rPr>
          <w:rFonts w:hint="eastAsia" w:ascii="宋体" w:hAnsi="宋体"/>
        </w:rPr>
        <w:t>“十五五”期间计划投资0.18亿元。</w:t>
      </w:r>
    </w:p>
    <w:p w14:paraId="52841C1C">
      <w:pPr>
        <w:ind w:firstLine="565" w:firstLineChars="202"/>
        <w:rPr>
          <w:rFonts w:ascii="宋体" w:hAnsi="宋体"/>
        </w:rPr>
      </w:pPr>
      <w:r>
        <w:rPr>
          <w:rFonts w:hint="eastAsia" w:ascii="宋体" w:hAnsi="宋体"/>
        </w:rPr>
        <w:t>②伯公前水库</w:t>
      </w:r>
    </w:p>
    <w:p w14:paraId="31372EDF">
      <w:pPr>
        <w:ind w:firstLine="565" w:firstLineChars="202"/>
        <w:rPr>
          <w:rFonts w:ascii="宋体" w:hAnsi="宋体"/>
        </w:rPr>
      </w:pPr>
      <w:r>
        <w:rPr>
          <w:rFonts w:hint="eastAsia" w:ascii="宋体" w:hAnsi="宋体"/>
        </w:rPr>
        <w:t>伯公前水库工程位于长汀县河田镇刘源河支流相见岭溪下游伯公岭村北部，距离河田镇11Km，距离长汀县城约33Km。水库以供水、灌溉为主，兼有防洪、生态等综合利用功能。年设计供水量：680万立方米，灌溉面积：8000亩，供水对象河田镇、三洲镇集镇及周边行政村和晋江工业园区。</w:t>
      </w:r>
      <w:bookmarkStart w:id="52" w:name="_Hlk212735267"/>
      <w:r>
        <w:rPr>
          <w:rFonts w:hint="eastAsia" w:ascii="宋体" w:hAnsi="宋体"/>
        </w:rPr>
        <w:t>目前龙岩市水利局已于</w:t>
      </w:r>
      <w:r>
        <w:rPr>
          <w:rFonts w:ascii="宋体" w:hAnsi="宋体"/>
        </w:rPr>
        <w:t>2025年8月8日以岩水审批(2025]57号文件《龙岩市水利局关于长汀县伯公前水库工程初步设计报告的批复》对该项目进行批复。</w:t>
      </w:r>
      <w:r>
        <w:rPr>
          <w:rFonts w:hint="eastAsia" w:ascii="宋体" w:hAnsi="宋体"/>
        </w:rPr>
        <w:t>工程建设总投资2.</w:t>
      </w:r>
      <w:r>
        <w:rPr>
          <w:rFonts w:ascii="宋体" w:hAnsi="宋体"/>
        </w:rPr>
        <w:t>37</w:t>
      </w:r>
      <w:r>
        <w:rPr>
          <w:rFonts w:hint="eastAsia" w:ascii="宋体" w:hAnsi="宋体"/>
        </w:rPr>
        <w:t>亿元，“十五五”期间计划投资2.</w:t>
      </w:r>
      <w:r>
        <w:rPr>
          <w:rFonts w:ascii="宋体" w:hAnsi="宋体"/>
        </w:rPr>
        <w:t>37</w:t>
      </w:r>
      <w:r>
        <w:rPr>
          <w:rFonts w:hint="eastAsia" w:ascii="宋体" w:hAnsi="宋体"/>
        </w:rPr>
        <w:t>亿元。</w:t>
      </w:r>
      <w:bookmarkEnd w:id="52"/>
    </w:p>
    <w:p w14:paraId="5EBA6B45">
      <w:pPr>
        <w:pStyle w:val="4"/>
        <w:rPr>
          <w:rFonts w:ascii="宋体" w:hAnsi="宋体"/>
          <w:color w:val="auto"/>
        </w:rPr>
      </w:pPr>
      <w:r>
        <w:rPr>
          <w:rFonts w:hint="eastAsia" w:ascii="宋体" w:hAnsi="宋体"/>
          <w:color w:val="auto"/>
        </w:rPr>
        <w:t>水生态保护修复重点工程</w:t>
      </w:r>
    </w:p>
    <w:p w14:paraId="422C5B58">
      <w:pPr>
        <w:ind w:firstLine="565" w:firstLineChars="202"/>
        <w:rPr>
          <w:rFonts w:ascii="宋体" w:hAnsi="宋体"/>
        </w:rPr>
      </w:pPr>
      <w:r>
        <w:rPr>
          <w:rFonts w:hint="eastAsia" w:ascii="宋体" w:hAnsi="宋体"/>
        </w:rPr>
        <w:t>至</w:t>
      </w:r>
      <w:r>
        <w:rPr>
          <w:rFonts w:ascii="宋体" w:hAnsi="宋体"/>
        </w:rPr>
        <w:t>2030年，重点推进</w:t>
      </w:r>
      <w:r>
        <w:rPr>
          <w:rFonts w:hint="eastAsia" w:ascii="宋体" w:hAnsi="宋体"/>
        </w:rPr>
        <w:t>福建省汀江流域（长汀段）水生态保护修复工程，主要</w:t>
      </w:r>
      <w:r>
        <w:rPr>
          <w:rFonts w:ascii="宋体" w:hAnsi="宋体"/>
        </w:rPr>
        <w:t>建设内容包括</w:t>
      </w:r>
      <w:r>
        <w:rPr>
          <w:rFonts w:hint="eastAsia" w:ascii="宋体" w:hAnsi="宋体"/>
        </w:rPr>
        <w:t>：生态清淤</w:t>
      </w:r>
      <w:r>
        <w:rPr>
          <w:rFonts w:ascii="宋体" w:hAnsi="宋体"/>
        </w:rPr>
        <w:t>50万立方米；库周生态沟渠50公里；沿河浅滩植物栽植40公顷；支流汇入汀江前置净化生态坝30处；闸站改造4座；新建生态护岸23公里；改建生态护岸10公里；水源涵养林10公顷；滤食性水生动物投放1项；配套管护设施设备1项，应急工程1项，水质监测体系1项。</w:t>
      </w:r>
      <w:r>
        <w:rPr>
          <w:rFonts w:hint="eastAsia" w:ascii="宋体" w:hAnsi="宋体"/>
        </w:rPr>
        <w:t>工程建设总投资为3.80亿元，“十五五”期间计划投资</w:t>
      </w:r>
      <w:r>
        <w:rPr>
          <w:rFonts w:ascii="宋体" w:hAnsi="宋体"/>
        </w:rPr>
        <w:t>0.38</w:t>
      </w:r>
      <w:r>
        <w:rPr>
          <w:rFonts w:hint="eastAsia" w:ascii="宋体" w:hAnsi="宋体"/>
        </w:rPr>
        <w:t>亿元。</w:t>
      </w:r>
    </w:p>
    <w:p w14:paraId="6CE3346A">
      <w:pPr>
        <w:pStyle w:val="4"/>
        <w:rPr>
          <w:rFonts w:ascii="宋体" w:hAnsi="宋体"/>
          <w:color w:val="auto"/>
        </w:rPr>
      </w:pPr>
      <w:r>
        <w:rPr>
          <w:rFonts w:hint="eastAsia" w:ascii="宋体" w:hAnsi="宋体"/>
          <w:color w:val="auto"/>
        </w:rPr>
        <w:t>幸福河湖建设重点工程</w:t>
      </w:r>
    </w:p>
    <w:p w14:paraId="48D690FA">
      <w:pPr>
        <w:ind w:firstLine="565" w:firstLineChars="202"/>
        <w:rPr>
          <w:rFonts w:ascii="宋体" w:hAnsi="宋体"/>
        </w:rPr>
      </w:pPr>
      <w:r>
        <w:rPr>
          <w:rFonts w:ascii="宋体" w:hAnsi="宋体"/>
        </w:rPr>
        <w:t>至</w:t>
      </w:r>
      <w:r>
        <w:rPr>
          <w:rFonts w:ascii="宋体" w:hAnsi="宋体" w:cs="Times New Roman"/>
        </w:rPr>
        <w:t>2030</w:t>
      </w:r>
      <w:r>
        <w:rPr>
          <w:rFonts w:ascii="宋体" w:hAnsi="宋体"/>
        </w:rPr>
        <w:t>年，重点推进</w:t>
      </w:r>
      <w:r>
        <w:rPr>
          <w:rFonts w:hint="eastAsia" w:ascii="宋体" w:hAnsi="宋体"/>
        </w:rPr>
        <w:t>福建省濯田河幸福河湖建设项目，围绕“红绿交融</w:t>
      </w:r>
      <w:r>
        <w:rPr>
          <w:rFonts w:hint="eastAsia" w:ascii="微软雅黑" w:hAnsi="微软雅黑" w:eastAsia="微软雅黑" w:cs="微软雅黑"/>
        </w:rPr>
        <w:t>・</w:t>
      </w:r>
      <w:r>
        <w:rPr>
          <w:rFonts w:hint="eastAsia" w:ascii="宋体" w:hAnsi="宋体" w:cs="宋体"/>
        </w:rPr>
        <w:t>水润濯田”主题，按照“一廊引领、两区协同、多点赋能”的总体布局，系统推进濯田河幸福河湖建设。项目范围涉及四都镇、濯田镇、古城镇及红山乡等</w:t>
      </w:r>
      <w:r>
        <w:rPr>
          <w:rFonts w:ascii="宋体" w:hAnsi="宋体"/>
        </w:rPr>
        <w:t>4个乡镇，辐射人口约9.6万人。重点建设任务包括：河湖水系连通项目3项；河湖堤岸功能改造项目2项，改造总长11.863公里；水环境治理项目1项；河湖水域空间保护修复2处；河湖水域岸线管理3项；智慧监管设施建设1套；助力流域区域发展项目3项。</w:t>
      </w:r>
      <w:r>
        <w:rPr>
          <w:rFonts w:hint="eastAsia" w:ascii="宋体" w:hAnsi="宋体"/>
        </w:rPr>
        <w:t>工程建设总投资1.30亿元，“十五五”期间计划投资1.30亿元。</w:t>
      </w:r>
    </w:p>
    <w:p w14:paraId="6A84B2A4">
      <w:pPr>
        <w:pStyle w:val="4"/>
        <w:rPr>
          <w:rFonts w:ascii="宋体" w:hAnsi="宋体"/>
          <w:color w:val="auto"/>
        </w:rPr>
      </w:pPr>
      <w:r>
        <w:rPr>
          <w:rFonts w:hint="eastAsia" w:ascii="宋体" w:hAnsi="宋体"/>
          <w:color w:val="auto"/>
        </w:rPr>
        <w:t>数字孪生水利工程</w:t>
      </w:r>
    </w:p>
    <w:p w14:paraId="47C30376">
      <w:pPr>
        <w:ind w:firstLine="565" w:firstLineChars="202"/>
        <w:rPr>
          <w:rFonts w:ascii="宋体" w:hAnsi="宋体"/>
        </w:rPr>
      </w:pPr>
      <w:r>
        <w:rPr>
          <w:rFonts w:hint="eastAsia" w:ascii="宋体" w:hAnsi="宋体"/>
        </w:rPr>
        <w:t>数字孪生汀江流域建设，主要包括信息化</w:t>
      </w:r>
      <w:r>
        <w:rPr>
          <w:rFonts w:ascii="宋体" w:hAnsi="宋体"/>
        </w:rPr>
        <w:t>基础设施、数字孪生平台、业务应用系统、网络安全体系4个部分，构建全链条、一体化的流域智慧治理支撑体系。具体包括：强化两大流域监测感知能力，优化水利信息网覆盖于水利云算力支撑能力；构建数字孪生流域数据底板、模型平台及知识平台，夯实智慧化应用基础；开发流域防洪调度系统、水资源管理与调配系统、河湖管理与保护系统、水土保持管理系统、水利工程建设管理综合系统等重点业务应用，全面覆盖流域治理关键场景；同步强化网络安全防护体系，保障系统稳定运行。以“预报</w:t>
      </w:r>
      <w:r>
        <w:rPr>
          <w:rFonts w:hint="eastAsia" w:ascii="宋体" w:hAnsi="宋体"/>
        </w:rPr>
        <w:t>、预警、预演、预案”（“四</w:t>
      </w:r>
      <w:r>
        <w:rPr>
          <w:rFonts w:ascii="宋体" w:hAnsi="宋体"/>
        </w:rPr>
        <w:t>预”）系统为核心抓手，在此基础上统筹完善数字孪生流域</w:t>
      </w:r>
      <w:r>
        <w:rPr>
          <w:rFonts w:hint="eastAsia" w:ascii="宋体" w:hAnsi="宋体"/>
        </w:rPr>
        <w:t>其他业务应用，确保功能协同、效能最大化。至</w:t>
      </w:r>
      <w:r>
        <w:rPr>
          <w:rFonts w:ascii="宋体" w:hAnsi="宋体"/>
        </w:rPr>
        <w:t>2030年，重</w:t>
      </w:r>
      <w:r>
        <w:rPr>
          <w:rFonts w:hint="eastAsia" w:ascii="宋体" w:hAnsi="宋体"/>
        </w:rPr>
        <w:t>点推进数字孪生汀江流域建设，总投资</w:t>
      </w:r>
      <w:r>
        <w:rPr>
          <w:rFonts w:ascii="宋体" w:hAnsi="宋体"/>
        </w:rPr>
        <w:t>1.64亿</w:t>
      </w:r>
      <w:r>
        <w:rPr>
          <w:rFonts w:hint="eastAsia" w:ascii="宋体" w:hAnsi="宋体"/>
        </w:rPr>
        <w:t>元，“十五五”期间投资</w:t>
      </w:r>
      <w:r>
        <w:rPr>
          <w:rFonts w:ascii="宋体" w:hAnsi="宋体"/>
        </w:rPr>
        <w:t>0.57亿元。</w:t>
      </w:r>
    </w:p>
    <w:p w14:paraId="06915774">
      <w:pPr>
        <w:widowControl/>
        <w:spacing w:line="240" w:lineRule="auto"/>
        <w:jc w:val="left"/>
        <w:rPr>
          <w:rFonts w:ascii="宋体" w:hAnsi="宋体"/>
        </w:rPr>
      </w:pPr>
      <w:r>
        <w:rPr>
          <w:rFonts w:ascii="宋体" w:hAnsi="宋体"/>
        </w:rPr>
        <w:br w:type="page"/>
      </w:r>
    </w:p>
    <w:p w14:paraId="62977A41">
      <w:pPr>
        <w:pStyle w:val="2"/>
        <w:numPr>
          <w:ilvl w:val="0"/>
          <w:numId w:val="2"/>
        </w:numPr>
        <w:jc w:val="center"/>
        <w:rPr>
          <w:rFonts w:ascii="宋体" w:hAnsi="宋体"/>
          <w:b/>
          <w:bCs/>
          <w:color w:val="auto"/>
        </w:rPr>
      </w:pPr>
      <w:bookmarkStart w:id="53" w:name="_Toc216791705"/>
      <w:r>
        <w:rPr>
          <w:rFonts w:hint="eastAsia" w:ascii="宋体" w:hAnsi="宋体"/>
          <w:b/>
          <w:bCs/>
          <w:color w:val="auto"/>
        </w:rPr>
        <w:t>提升“六项能力”，升级水利治理水平</w:t>
      </w:r>
      <w:bookmarkEnd w:id="53"/>
    </w:p>
    <w:p w14:paraId="119B2EDC">
      <w:pPr>
        <w:ind w:firstLine="565" w:firstLineChars="202"/>
        <w:rPr>
          <w:rFonts w:ascii="宋体" w:hAnsi="宋体"/>
        </w:rPr>
      </w:pPr>
      <w:r>
        <w:rPr>
          <w:rFonts w:hint="eastAsia" w:ascii="宋体" w:hAnsi="宋体"/>
        </w:rPr>
        <w:t>全面落实系统治理理念，由单一的功能性治水向全要素</w:t>
      </w:r>
      <w:r>
        <w:rPr>
          <w:rFonts w:ascii="宋体" w:hAnsi="宋体"/>
        </w:rPr>
        <w:t>系统性治理转变，以河湖长制为引领，以涉水法规制度为遵循，以遥感、大数据等技术为手段，全面落实河湖水域全生命周期监管，用绣花功夫不断促进我市水利科技创新、高效管理以及涉水产业健康发展。</w:t>
      </w:r>
    </w:p>
    <w:p w14:paraId="09615689">
      <w:pPr>
        <w:pStyle w:val="3"/>
        <w:numPr>
          <w:ilvl w:val="1"/>
          <w:numId w:val="2"/>
        </w:numPr>
        <w:rPr>
          <w:rFonts w:ascii="宋体" w:hAnsi="宋体"/>
          <w:color w:val="auto"/>
        </w:rPr>
      </w:pPr>
      <w:bookmarkStart w:id="54" w:name="_Toc216791706"/>
      <w:r>
        <w:rPr>
          <w:rFonts w:hint="eastAsia" w:ascii="宋体" w:hAnsi="宋体"/>
          <w:color w:val="auto"/>
        </w:rPr>
        <w:t>提升流域管理及河湖长制能力</w:t>
      </w:r>
      <w:bookmarkEnd w:id="54"/>
    </w:p>
    <w:p w14:paraId="4B6A59D0">
      <w:pPr>
        <w:ind w:firstLine="568" w:firstLineChars="202"/>
        <w:rPr>
          <w:rFonts w:ascii="宋体" w:hAnsi="宋体"/>
        </w:rPr>
      </w:pPr>
      <w:r>
        <w:rPr>
          <w:rFonts w:hint="eastAsia" w:ascii="宋体" w:hAnsi="宋体"/>
          <w:b/>
        </w:rPr>
        <w:t>完善流域管理体制。</w:t>
      </w:r>
      <w:r>
        <w:rPr>
          <w:rFonts w:hint="eastAsia" w:ascii="宋体" w:hAnsi="宋体"/>
        </w:rPr>
        <w:t>健全五大流域管理机构工作机制，</w:t>
      </w:r>
      <w:r>
        <w:rPr>
          <w:rFonts w:ascii="宋体" w:hAnsi="宋体"/>
        </w:rPr>
        <w:t>明确流域管理机构水资源统一调度权责，探索流域水利工程</w:t>
      </w:r>
      <w:r>
        <w:rPr>
          <w:rFonts w:hint="eastAsia" w:ascii="宋体" w:hAnsi="宋体"/>
        </w:rPr>
        <w:t>联合调度机制，加强流域水安全、水资源、水环境统筹能力</w:t>
      </w:r>
      <w:r>
        <w:rPr>
          <w:rFonts w:ascii="宋体" w:hAnsi="宋体"/>
        </w:rPr>
        <w:t>建设。</w:t>
      </w:r>
    </w:p>
    <w:p w14:paraId="0A276E6D">
      <w:pPr>
        <w:ind w:firstLine="568" w:firstLineChars="202"/>
        <w:rPr>
          <w:rFonts w:ascii="宋体" w:hAnsi="宋体"/>
        </w:rPr>
      </w:pPr>
      <w:r>
        <w:rPr>
          <w:rFonts w:hint="eastAsia" w:ascii="宋体" w:hAnsi="宋体"/>
          <w:b/>
        </w:rPr>
        <w:t>深化河湖长制改革。</w:t>
      </w:r>
      <w:r>
        <w:rPr>
          <w:rFonts w:hint="eastAsia" w:ascii="宋体" w:hAnsi="宋体"/>
        </w:rPr>
        <w:t>研究赋予基层河长更多职权，推动资源力量下沉，促进权责匹配；优化河长制考核方式，加大</w:t>
      </w:r>
      <w:r>
        <w:rPr>
          <w:rFonts w:ascii="宋体" w:hAnsi="宋体"/>
        </w:rPr>
        <w:t>日常监管考核比重，提升考核效能；完善河湖警长体系，实现“河湖警长制”与“河湖长制”无缝对接，严厉打击水环境违法犯罪活动</w:t>
      </w:r>
      <w:r>
        <w:rPr>
          <w:rFonts w:hint="eastAsia" w:ascii="宋体" w:hAnsi="宋体"/>
        </w:rPr>
        <w:t>。</w:t>
      </w:r>
    </w:p>
    <w:p w14:paraId="421ECA17">
      <w:pPr>
        <w:ind w:firstLine="568" w:firstLineChars="202"/>
        <w:rPr>
          <w:rFonts w:ascii="宋体" w:hAnsi="宋体"/>
        </w:rPr>
      </w:pPr>
      <w:r>
        <w:rPr>
          <w:rFonts w:hint="eastAsia" w:ascii="宋体" w:hAnsi="宋体"/>
          <w:b/>
        </w:rPr>
        <w:t>继续擦亮“长汀河长”品牌。</w:t>
      </w:r>
      <w:r>
        <w:rPr>
          <w:rFonts w:hint="eastAsia" w:ascii="宋体" w:hAnsi="宋体"/>
        </w:rPr>
        <w:t>充分利用“世界水日”“中国水周”等节日开展针对性宣传，引导市民强化爱水护水理</w:t>
      </w:r>
      <w:r>
        <w:rPr>
          <w:rFonts w:ascii="宋体" w:hAnsi="宋体"/>
        </w:rPr>
        <w:t>念；加大创新力度，持续扩大“</w:t>
      </w:r>
      <w:r>
        <w:rPr>
          <w:rFonts w:hint="eastAsia" w:ascii="宋体" w:hAnsi="宋体"/>
        </w:rPr>
        <w:t>长汀</w:t>
      </w:r>
      <w:r>
        <w:rPr>
          <w:rFonts w:ascii="宋体" w:hAnsi="宋体"/>
        </w:rPr>
        <w:t>河长”影响力，让“</w:t>
      </w:r>
      <w:r>
        <w:rPr>
          <w:rFonts w:hint="eastAsia" w:ascii="宋体" w:hAnsi="宋体"/>
        </w:rPr>
        <w:t>长汀</w:t>
      </w:r>
      <w:r>
        <w:rPr>
          <w:rFonts w:ascii="宋体" w:hAnsi="宋体"/>
        </w:rPr>
        <w:t>河长”成为</w:t>
      </w:r>
      <w:r>
        <w:rPr>
          <w:rFonts w:hint="eastAsia" w:ascii="宋体" w:hAnsi="宋体"/>
        </w:rPr>
        <w:t>长汀</w:t>
      </w:r>
      <w:r>
        <w:rPr>
          <w:rFonts w:ascii="宋体" w:hAnsi="宋体"/>
        </w:rPr>
        <w:t>的“金招牌”</w:t>
      </w:r>
      <w:r>
        <w:rPr>
          <w:rFonts w:hint="eastAsia" w:ascii="宋体" w:hAnsi="宋体"/>
        </w:rPr>
        <w:t>。</w:t>
      </w:r>
    </w:p>
    <w:p w14:paraId="323BA56E">
      <w:pPr>
        <w:pStyle w:val="3"/>
        <w:numPr>
          <w:ilvl w:val="1"/>
          <w:numId w:val="2"/>
        </w:numPr>
        <w:rPr>
          <w:rFonts w:ascii="宋体" w:hAnsi="宋体"/>
          <w:color w:val="auto"/>
        </w:rPr>
      </w:pPr>
      <w:bookmarkStart w:id="55" w:name="_Toc216791707"/>
      <w:r>
        <w:rPr>
          <w:rFonts w:hint="eastAsia" w:ascii="宋体" w:hAnsi="宋体"/>
          <w:color w:val="auto"/>
        </w:rPr>
        <w:t>提升水利工程管理和涉水监管能力</w:t>
      </w:r>
      <w:bookmarkEnd w:id="55"/>
    </w:p>
    <w:p w14:paraId="354634F8">
      <w:pPr>
        <w:ind w:firstLine="568" w:firstLineChars="202"/>
        <w:rPr>
          <w:rFonts w:ascii="宋体" w:hAnsi="宋体"/>
        </w:rPr>
      </w:pPr>
      <w:r>
        <w:rPr>
          <w:rFonts w:hint="eastAsia" w:ascii="宋体" w:hAnsi="宋体"/>
          <w:b/>
        </w:rPr>
        <w:t>建立健全水利工程管理长效机制。</w:t>
      </w:r>
      <w:r>
        <w:rPr>
          <w:rFonts w:hint="eastAsia" w:ascii="宋体" w:hAnsi="宋体"/>
        </w:rPr>
        <w:t>加快规模以上水利工</w:t>
      </w:r>
      <w:r>
        <w:rPr>
          <w:rFonts w:ascii="宋体" w:hAnsi="宋体"/>
        </w:rPr>
        <w:t>程管理及保护范围划定及后续确权，鼓励水利工程养护体系社会化、专业化以及市场化，推动水利行业监督体系向基层延伸。</w:t>
      </w:r>
    </w:p>
    <w:p w14:paraId="5AC40ADA">
      <w:pPr>
        <w:ind w:firstLine="568" w:firstLineChars="202"/>
        <w:rPr>
          <w:rFonts w:ascii="宋体" w:hAnsi="宋体"/>
        </w:rPr>
      </w:pPr>
      <w:r>
        <w:rPr>
          <w:rFonts w:hint="eastAsia" w:ascii="宋体" w:hAnsi="宋体"/>
          <w:b/>
        </w:rPr>
        <w:t>强化河湖管控力度。</w:t>
      </w:r>
      <w:r>
        <w:rPr>
          <w:rFonts w:hint="eastAsia" w:ascii="宋体" w:hAnsi="宋体"/>
        </w:rPr>
        <w:t>加快划定落实河湖空间保护范围，加强河湖水域岸线空间分区分类管控，遵循涉河建设项目确</w:t>
      </w:r>
      <w:r>
        <w:rPr>
          <w:rFonts w:ascii="宋体" w:hAnsi="宋体"/>
        </w:rPr>
        <w:t>有必要、无法避让河湖管理范围的原则，严格审查涉河项目建设；公布全市主要河道名录，强化涉河建设项目前期引导、许可规范、影响补偿和实施监管。建成完善“天空地”协同水行政执法监督指挥体系，依托智慧水利一体化平台、一网统管等支撑能力，打造</w:t>
      </w:r>
      <w:r>
        <w:rPr>
          <w:rFonts w:hint="eastAsia" w:ascii="宋体" w:hAnsi="宋体"/>
        </w:rPr>
        <w:t>县、</w:t>
      </w:r>
      <w:r>
        <w:rPr>
          <w:rFonts w:ascii="宋体" w:hAnsi="宋体"/>
        </w:rPr>
        <w:t>乡、村三级贯通的一站式全联接数字化、场景化模块，以监督指挥为基础，全面覆盖水政日常巡查、检查、执法过程数字化，支撑专项行动、联合执法行动等协同指挥，更加精准监测打击破坏河湖岸线等水事违法违规行为。</w:t>
      </w:r>
    </w:p>
    <w:p w14:paraId="2DE13559">
      <w:pPr>
        <w:pStyle w:val="3"/>
        <w:numPr>
          <w:ilvl w:val="1"/>
          <w:numId w:val="2"/>
        </w:numPr>
        <w:rPr>
          <w:rFonts w:ascii="宋体" w:hAnsi="宋体"/>
          <w:color w:val="auto"/>
        </w:rPr>
      </w:pPr>
      <w:bookmarkStart w:id="56" w:name="_Toc216791708"/>
      <w:r>
        <w:rPr>
          <w:rFonts w:hint="eastAsia" w:ascii="宋体" w:hAnsi="宋体"/>
          <w:color w:val="auto"/>
        </w:rPr>
        <w:t>提升依法治水管水能力</w:t>
      </w:r>
      <w:bookmarkEnd w:id="56"/>
    </w:p>
    <w:p w14:paraId="306CDD81">
      <w:pPr>
        <w:ind w:firstLine="565" w:firstLineChars="202"/>
        <w:rPr>
          <w:rFonts w:ascii="宋体" w:hAnsi="宋体"/>
        </w:rPr>
      </w:pPr>
      <w:r>
        <w:rPr>
          <w:rFonts w:hint="eastAsia" w:ascii="宋体" w:hAnsi="宋体"/>
        </w:rPr>
        <w:t>立足新时期治水要求，加强顶层设计，严格落实《龙岩</w:t>
      </w:r>
      <w:r>
        <w:rPr>
          <w:rFonts w:ascii="宋体" w:hAnsi="宋体"/>
        </w:rPr>
        <w:t>市汀江保护条例》等涉水重点法规，进一步完善流域管理制度，为流域管理机构履职提供制度依据。加大水政执法力度，严厉</w:t>
      </w:r>
      <w:r>
        <w:rPr>
          <w:rFonts w:hint="eastAsia" w:ascii="宋体" w:hAnsi="宋体"/>
        </w:rPr>
        <w:t>打击涉水违法行为，切实维护河湖管理秩序。进一步健全完</w:t>
      </w:r>
      <w:r>
        <w:rPr>
          <w:rFonts w:ascii="宋体" w:hAnsi="宋体"/>
        </w:rPr>
        <w:t>善与城管、生态环境、农业、工信、住建等部门联合执法、交叉执法机制，形成全链条涉水执法监管链条。</w:t>
      </w:r>
    </w:p>
    <w:p w14:paraId="5B7A7B86">
      <w:pPr>
        <w:pStyle w:val="3"/>
        <w:numPr>
          <w:ilvl w:val="1"/>
          <w:numId w:val="2"/>
        </w:numPr>
        <w:rPr>
          <w:rFonts w:ascii="宋体" w:hAnsi="宋体"/>
          <w:color w:val="auto"/>
        </w:rPr>
      </w:pPr>
      <w:bookmarkStart w:id="57" w:name="_Toc216791709"/>
      <w:r>
        <w:rPr>
          <w:rFonts w:hint="eastAsia" w:ascii="宋体" w:hAnsi="宋体"/>
          <w:color w:val="auto"/>
        </w:rPr>
        <w:t>提升科技赋能治水能力</w:t>
      </w:r>
      <w:bookmarkEnd w:id="57"/>
    </w:p>
    <w:p w14:paraId="5EAF85A0">
      <w:pPr>
        <w:ind w:firstLine="568" w:firstLineChars="202"/>
        <w:rPr>
          <w:rFonts w:ascii="宋体" w:hAnsi="宋体"/>
        </w:rPr>
      </w:pPr>
      <w:r>
        <w:rPr>
          <w:rFonts w:hint="eastAsia" w:ascii="宋体" w:hAnsi="宋体"/>
          <w:b/>
        </w:rPr>
        <w:t>提升河湖监管科技手段。</w:t>
      </w:r>
      <w:r>
        <w:rPr>
          <w:rFonts w:hint="eastAsia" w:ascii="宋体" w:hAnsi="宋体"/>
        </w:rPr>
        <w:t>利用卫星遥感技术，加强水域</w:t>
      </w:r>
      <w:r>
        <w:rPr>
          <w:rFonts w:ascii="宋体" w:hAnsi="宋体"/>
        </w:rPr>
        <w:t>面积的动态监测和占用水域活动的监督检查，分析河湖岸线</w:t>
      </w:r>
      <w:r>
        <w:rPr>
          <w:rFonts w:hint="eastAsia" w:ascii="宋体" w:hAnsi="宋体"/>
        </w:rPr>
        <w:t>内用地逐年变化情况（如违建、绿化率、水土流失等），确</w:t>
      </w:r>
      <w:r>
        <w:rPr>
          <w:rFonts w:ascii="宋体" w:hAnsi="宋体"/>
        </w:rPr>
        <w:t>保现状水域面积只增不减，为严格落实水域管理提供抓手。推进河湖信息化监管。健全涉河建设项目台账，将河湖岸线功能分区、涉河建设项目等信息纳入“水利一张图”，实现信息化管理。</w:t>
      </w:r>
    </w:p>
    <w:p w14:paraId="18045C79">
      <w:pPr>
        <w:ind w:firstLine="568" w:firstLineChars="202"/>
        <w:rPr>
          <w:rFonts w:ascii="宋体" w:hAnsi="宋体"/>
        </w:rPr>
      </w:pPr>
      <w:r>
        <w:rPr>
          <w:rFonts w:hint="eastAsia" w:ascii="宋体" w:hAnsi="宋体"/>
          <w:b/>
        </w:rPr>
        <w:t>强化水土保持监管力度。</w:t>
      </w:r>
      <w:r>
        <w:rPr>
          <w:rFonts w:hint="eastAsia" w:ascii="宋体" w:hAnsi="宋体"/>
        </w:rPr>
        <w:t>持续深化水土保持“放管服”改革，建立人为水土流失常态化监管机制，持续推进遥感监</w:t>
      </w:r>
      <w:r>
        <w:rPr>
          <w:rFonts w:ascii="宋体" w:hAnsi="宋体"/>
        </w:rPr>
        <w:t>管全覆盖，全面强化生产建设项目水土保持监管，建立水土保持监督检查与水行政综合执法长效机制。提高水土保持监测支撑能力，持续开展水土流失动态监测，完善水土流失监测站点建设。充分运用好卫星遥感、无人机、大数据、人工智能等信息技术，提升水土保持监管效能、治理水平和监测质量。</w:t>
      </w:r>
    </w:p>
    <w:p w14:paraId="0F25B452">
      <w:pPr>
        <w:ind w:firstLine="568" w:firstLineChars="202"/>
        <w:rPr>
          <w:rFonts w:ascii="宋体" w:hAnsi="宋体"/>
        </w:rPr>
      </w:pPr>
      <w:r>
        <w:rPr>
          <w:rFonts w:hint="eastAsia" w:ascii="宋体" w:hAnsi="宋体"/>
          <w:b/>
        </w:rPr>
        <w:t>提升平台智能化管理水平。</w:t>
      </w:r>
      <w:r>
        <w:rPr>
          <w:rFonts w:hint="eastAsia" w:ascii="宋体" w:hAnsi="宋体"/>
        </w:rPr>
        <w:t>集合长汀县智慧水利平台，升级建设数字孪生水网平台。全面推进算据、算法、算力建设，搭建水网具有预报、预警、预演、预案功能的业务应用</w:t>
      </w:r>
      <w:r>
        <w:rPr>
          <w:rFonts w:ascii="宋体" w:hAnsi="宋体"/>
        </w:rPr>
        <w:t>体系，服务于“水安全、水资源、水环境、水生态、水文化、水经济”业务体系，构建自主可控安全防护体系，形成管理与保障体系，推动水利工程智慧化建设、改造与优化升级，建设智能高效的数字孪生水网，全面提升水网调度管理智能化水平。</w:t>
      </w:r>
    </w:p>
    <w:p w14:paraId="348363D0">
      <w:pPr>
        <w:pStyle w:val="3"/>
        <w:numPr>
          <w:ilvl w:val="1"/>
          <w:numId w:val="2"/>
        </w:numPr>
        <w:rPr>
          <w:rFonts w:ascii="宋体" w:hAnsi="宋体"/>
          <w:color w:val="auto"/>
        </w:rPr>
      </w:pPr>
      <w:bookmarkStart w:id="58" w:name="_Toc216791710"/>
      <w:r>
        <w:rPr>
          <w:rFonts w:hint="eastAsia" w:ascii="宋体" w:hAnsi="宋体"/>
          <w:color w:val="auto"/>
        </w:rPr>
        <w:t>提升水利建设运营管理能力</w:t>
      </w:r>
      <w:bookmarkEnd w:id="58"/>
    </w:p>
    <w:p w14:paraId="2F98FAFB">
      <w:pPr>
        <w:ind w:firstLine="565" w:firstLineChars="202"/>
        <w:rPr>
          <w:rFonts w:ascii="宋体" w:hAnsi="宋体"/>
        </w:rPr>
      </w:pPr>
      <w:r>
        <w:rPr>
          <w:rFonts w:hint="eastAsia" w:ascii="宋体" w:hAnsi="宋体"/>
        </w:rPr>
        <w:t>强化工程质量和安全管理，数字赋能工程管理，推进工</w:t>
      </w:r>
      <w:r>
        <w:rPr>
          <w:rFonts w:ascii="宋体" w:hAnsi="宋体"/>
        </w:rPr>
        <w:t>程质量与安全管理的标准化、智慧化建设。强化水利建设市场监督管理，建立水利建设市场信用动态监管机制，加强水利工程建设项目质量安全监督检查。积极探索引入价格机制、竞争机制、激励机制，建立水网工程运行管护常态化机制。强化大中型水利工程现代化、精细化管理，深化小型水利工程管理体制改革，大力推行管养分离，促进工程管理专业化、标准化、物业化，深化工程管理体制改革，探索水网工程集中管理模式，促进工程良性运行。</w:t>
      </w:r>
    </w:p>
    <w:p w14:paraId="1AE12F8D">
      <w:pPr>
        <w:pStyle w:val="3"/>
        <w:numPr>
          <w:ilvl w:val="1"/>
          <w:numId w:val="2"/>
        </w:numPr>
        <w:rPr>
          <w:rFonts w:ascii="宋体" w:hAnsi="宋体"/>
          <w:color w:val="auto"/>
        </w:rPr>
      </w:pPr>
      <w:bookmarkStart w:id="59" w:name="_Toc216791711"/>
      <w:r>
        <w:rPr>
          <w:rFonts w:hint="eastAsia" w:ascii="宋体" w:hAnsi="宋体"/>
          <w:color w:val="auto"/>
        </w:rPr>
        <w:t>提升重大风险防控能力</w:t>
      </w:r>
      <w:bookmarkEnd w:id="59"/>
    </w:p>
    <w:p w14:paraId="2FE29058">
      <w:pPr>
        <w:ind w:firstLine="568" w:firstLineChars="202"/>
        <w:rPr>
          <w:rFonts w:ascii="宋体" w:hAnsi="宋体"/>
        </w:rPr>
      </w:pPr>
      <w:r>
        <w:rPr>
          <w:rFonts w:hint="eastAsia" w:ascii="宋体" w:hAnsi="宋体"/>
          <w:b/>
        </w:rPr>
        <w:t>完善水利工程安全防控机制。</w:t>
      </w:r>
      <w:r>
        <w:rPr>
          <w:rFonts w:hint="eastAsia" w:ascii="宋体" w:hAnsi="宋体"/>
        </w:rPr>
        <w:t>建立并运用水利工程安全生产风险管控“六项机制”，对水利工程的全生命周期运行</w:t>
      </w:r>
      <w:r>
        <w:rPr>
          <w:rFonts w:ascii="宋体" w:hAnsi="宋体"/>
        </w:rPr>
        <w:t>进行有效监管；对重大水利工程按照“一工程一对策”，对小型水利工程按照“分区分类”的思路，建立覆盖全区水利</w:t>
      </w:r>
      <w:r>
        <w:rPr>
          <w:rFonts w:hint="eastAsia" w:ascii="宋体" w:hAnsi="宋体"/>
        </w:rPr>
        <w:t>工程的安全应对预案。</w:t>
      </w:r>
    </w:p>
    <w:p w14:paraId="4248E8AB">
      <w:pPr>
        <w:ind w:firstLine="568" w:firstLineChars="202"/>
        <w:rPr>
          <w:rFonts w:ascii="宋体" w:hAnsi="宋体"/>
        </w:rPr>
      </w:pPr>
      <w:r>
        <w:rPr>
          <w:rFonts w:ascii="宋体" w:hAnsi="宋体"/>
          <w:b/>
        </w:rPr>
        <w:t>深化工程安全评价管理。</w:t>
      </w:r>
      <w:r>
        <w:rPr>
          <w:rFonts w:ascii="宋体" w:hAnsi="宋体"/>
        </w:rPr>
        <w:t>继续深化水库的安全鉴定制度</w:t>
      </w:r>
      <w:r>
        <w:rPr>
          <w:rFonts w:hint="eastAsia" w:ascii="宋体" w:hAnsi="宋体"/>
        </w:rPr>
        <w:t>，推动重点堤防安全评价工作，摸清病险水库、水闸和堤防险、</w:t>
      </w:r>
      <w:r>
        <w:rPr>
          <w:rFonts w:ascii="宋体" w:hAnsi="宋体"/>
        </w:rPr>
        <w:t>工险段安全状况，及时消除工程隐患。</w:t>
      </w:r>
    </w:p>
    <w:p w14:paraId="1038B295">
      <w:pPr>
        <w:widowControl/>
        <w:spacing w:line="240" w:lineRule="auto"/>
        <w:jc w:val="left"/>
        <w:rPr>
          <w:rFonts w:ascii="宋体" w:hAnsi="宋体"/>
        </w:rPr>
      </w:pPr>
      <w:r>
        <w:rPr>
          <w:rFonts w:ascii="宋体" w:hAnsi="宋体"/>
        </w:rPr>
        <w:br w:type="page"/>
      </w:r>
    </w:p>
    <w:p w14:paraId="692CB0C9">
      <w:pPr>
        <w:pStyle w:val="2"/>
        <w:numPr>
          <w:ilvl w:val="0"/>
          <w:numId w:val="2"/>
        </w:numPr>
        <w:jc w:val="center"/>
        <w:rPr>
          <w:rFonts w:ascii="宋体" w:hAnsi="宋体"/>
          <w:b/>
          <w:bCs/>
          <w:color w:val="auto"/>
        </w:rPr>
      </w:pPr>
      <w:bookmarkStart w:id="60" w:name="_Toc216791712"/>
      <w:r>
        <w:rPr>
          <w:rFonts w:hint="eastAsia" w:ascii="宋体" w:hAnsi="宋体"/>
          <w:b/>
          <w:bCs/>
          <w:color w:val="auto"/>
        </w:rPr>
        <w:t>环境影响评价</w:t>
      </w:r>
      <w:bookmarkEnd w:id="60"/>
    </w:p>
    <w:p w14:paraId="3E43BEB6">
      <w:pPr>
        <w:ind w:firstLine="565" w:firstLineChars="202"/>
        <w:rPr>
          <w:rFonts w:ascii="宋体" w:hAnsi="宋体"/>
        </w:rPr>
      </w:pPr>
      <w:r>
        <w:rPr>
          <w:rFonts w:hint="eastAsia" w:ascii="宋体" w:hAnsi="宋体"/>
        </w:rPr>
        <w:t>本规划从目标指标、重点任务、工程项目和政策措施等方面对长汀县水安全保障进行了统筹谋划和布局。通过环境保护目标确定、规划协调性分析、环境影响评价，提出应采取的预防和减缓措施，以促进经济社会与环境协调发展。规划实施后，可有效完善水利基础设施网络，提高水资源合理配置和高效利用能力、水旱灾害综合防御能力、水生态保护与修复水平及水利智慧管理水平，有力保障全区经济社会发展和改善生态环境。</w:t>
      </w:r>
    </w:p>
    <w:p w14:paraId="17956581">
      <w:pPr>
        <w:pStyle w:val="3"/>
        <w:numPr>
          <w:ilvl w:val="1"/>
          <w:numId w:val="2"/>
        </w:numPr>
        <w:rPr>
          <w:rFonts w:ascii="宋体" w:hAnsi="宋体"/>
          <w:color w:val="auto"/>
        </w:rPr>
      </w:pPr>
      <w:bookmarkStart w:id="61" w:name="_Toc216791713"/>
      <w:r>
        <w:rPr>
          <w:rFonts w:hint="eastAsia" w:ascii="宋体" w:hAnsi="宋体"/>
          <w:color w:val="auto"/>
        </w:rPr>
        <w:t>环境保护要求</w:t>
      </w:r>
      <w:bookmarkEnd w:id="61"/>
    </w:p>
    <w:p w14:paraId="631D4104">
      <w:pPr>
        <w:ind w:firstLine="565" w:firstLineChars="202"/>
        <w:rPr>
          <w:rFonts w:ascii="宋体" w:hAnsi="宋体"/>
        </w:rPr>
      </w:pPr>
      <w:r>
        <w:rPr>
          <w:rFonts w:hint="eastAsia" w:ascii="宋体" w:hAnsi="宋体"/>
        </w:rPr>
        <w:t>（一）环境保护目标</w:t>
      </w:r>
    </w:p>
    <w:p w14:paraId="74541C47">
      <w:pPr>
        <w:ind w:firstLine="565" w:firstLineChars="202"/>
        <w:rPr>
          <w:rFonts w:ascii="宋体" w:hAnsi="宋体"/>
        </w:rPr>
      </w:pPr>
      <w:r>
        <w:rPr>
          <w:rFonts w:hint="eastAsia" w:ascii="宋体" w:hAnsi="宋体"/>
        </w:rPr>
        <w:t>水质保护目标：各河段水质满足地表水功能区划的要求，供水水源不受污染；饮用水源一级保护区执行《地表水环境质量标准》（GB3838-2002）Ⅱ类水质标准，二级保护区执行《地表水环境质量标准》（GB3838-2002）Ⅲ类标准。</w:t>
      </w:r>
    </w:p>
    <w:p w14:paraId="59CDCA39">
      <w:pPr>
        <w:ind w:firstLine="565" w:firstLineChars="202"/>
        <w:rPr>
          <w:rFonts w:ascii="宋体" w:hAnsi="宋体"/>
        </w:rPr>
      </w:pPr>
      <w:r>
        <w:rPr>
          <w:rFonts w:hint="eastAsia" w:ascii="宋体" w:hAnsi="宋体"/>
        </w:rPr>
        <w:t>流域生态保护目标：维护流域生态系统的完整性和稳定性，保护流域植被和动物多样性，确保受影响的珍稀、特有物种不致因工程建设而在本流域消失。</w:t>
      </w:r>
    </w:p>
    <w:p w14:paraId="4A150540">
      <w:pPr>
        <w:ind w:firstLine="565" w:firstLineChars="202"/>
        <w:rPr>
          <w:rFonts w:ascii="宋体" w:hAnsi="宋体"/>
        </w:rPr>
      </w:pPr>
      <w:r>
        <w:rPr>
          <w:rFonts w:hint="eastAsia" w:ascii="宋体" w:hAnsi="宋体"/>
        </w:rPr>
        <w:t>（二）环境制约因素识别</w:t>
      </w:r>
    </w:p>
    <w:p w14:paraId="237737C0">
      <w:pPr>
        <w:ind w:firstLine="565" w:firstLineChars="202"/>
        <w:rPr>
          <w:rFonts w:ascii="宋体" w:hAnsi="宋体"/>
        </w:rPr>
      </w:pPr>
      <w:r>
        <w:rPr>
          <w:rFonts w:hint="eastAsia" w:ascii="宋体" w:hAnsi="宋体"/>
        </w:rPr>
        <w:t>根据龙岩市“三区三线”划定成果（自然资办函〔2022〕2207号），本次规划建设的陂下水库调水工程、长汀县红山河山洪沟治理工程、长汀县南山河治理工程涉及生态保护红线；陂下水库调水工程涉及福建龙岩汀州地方级森林公园以及福建龙岩楼子坝地方级森林公园一般控制区。由于本规划项目建设位置、线路等存在诸多不确定因素，建议在项目前期工作中，适时开展环境影响评价专题和生态保护红线不可避让专题论证，重点论证工程选址、选线与环境敏感区的区位关系及其环境影响，并采取切实可行的环境影响避让和减缓措施。</w:t>
      </w:r>
    </w:p>
    <w:p w14:paraId="0A765706">
      <w:pPr>
        <w:pStyle w:val="3"/>
        <w:numPr>
          <w:ilvl w:val="1"/>
          <w:numId w:val="2"/>
        </w:numPr>
        <w:rPr>
          <w:rFonts w:ascii="宋体" w:hAnsi="宋体"/>
          <w:color w:val="auto"/>
        </w:rPr>
      </w:pPr>
      <w:bookmarkStart w:id="62" w:name="_Toc216791714"/>
      <w:r>
        <w:rPr>
          <w:rFonts w:hint="eastAsia" w:ascii="宋体" w:hAnsi="宋体"/>
          <w:color w:val="auto"/>
        </w:rPr>
        <w:t>规划符合性分析</w:t>
      </w:r>
      <w:bookmarkEnd w:id="62"/>
    </w:p>
    <w:p w14:paraId="73F46B8D">
      <w:pPr>
        <w:ind w:firstLine="565" w:firstLineChars="202"/>
        <w:rPr>
          <w:rFonts w:ascii="宋体" w:hAnsi="宋体"/>
        </w:rPr>
      </w:pPr>
      <w:r>
        <w:rPr>
          <w:rFonts w:hint="eastAsia" w:ascii="宋体" w:hAnsi="宋体"/>
        </w:rPr>
        <w:t>（一）与法律法规符合性分析</w:t>
      </w:r>
    </w:p>
    <w:p w14:paraId="02CEF74A">
      <w:pPr>
        <w:ind w:firstLine="565" w:firstLineChars="202"/>
        <w:rPr>
          <w:rFonts w:ascii="宋体" w:hAnsi="宋体"/>
        </w:rPr>
      </w:pPr>
      <w:r>
        <w:rPr>
          <w:rFonts w:hint="eastAsia" w:ascii="宋体" w:hAnsi="宋体"/>
        </w:rPr>
        <w:t>本次规划的总体布局、规划方案、重大工程选址及规模符合《中华人民共和国环境保护法》《中华人民共和国水土保持法》《中华人民共和国水污染防治法》《中华人民共和国湿地保护法》《饮用水源保护区污染防治管理规定》《福建省森林公园管理办法》《中华人民共和国自然保护区条例》《福建省湿地保护条例》等环境保护法律法规和政策的相关规定。</w:t>
      </w:r>
    </w:p>
    <w:p w14:paraId="58F1771F">
      <w:pPr>
        <w:ind w:firstLine="565" w:firstLineChars="202"/>
        <w:rPr>
          <w:rFonts w:ascii="宋体" w:hAnsi="宋体"/>
        </w:rPr>
      </w:pPr>
      <w:r>
        <w:rPr>
          <w:rFonts w:hint="eastAsia" w:ascii="宋体" w:hAnsi="宋体"/>
        </w:rPr>
        <w:t>长汀县内有福建汀江源国家级自然保护区、福建龙岩汀州地方级森林公园以及福建龙岩楼子坝地方级森林公园等多处环境敏感区。《规划》实施过程中应充分协调流域治理开发与生态保护之间的关系，妥善处理规划布局、工程布局与敏感区的关系，促进长汀县生态环境良性循环。</w:t>
      </w:r>
    </w:p>
    <w:p w14:paraId="6E4CADE2">
      <w:pPr>
        <w:ind w:firstLine="565" w:firstLineChars="202"/>
        <w:rPr>
          <w:rFonts w:ascii="宋体" w:hAnsi="宋体"/>
        </w:rPr>
      </w:pPr>
      <w:r>
        <w:rPr>
          <w:rFonts w:hint="eastAsia" w:ascii="宋体" w:hAnsi="宋体"/>
        </w:rPr>
        <w:t>（二）与相关规划的符合性分析</w:t>
      </w:r>
    </w:p>
    <w:p w14:paraId="0EB7A82C">
      <w:pPr>
        <w:ind w:firstLine="565" w:firstLineChars="202"/>
        <w:rPr>
          <w:rFonts w:ascii="宋体" w:hAnsi="宋体"/>
        </w:rPr>
      </w:pPr>
      <w:r>
        <w:rPr>
          <w:rFonts w:hint="eastAsia" w:ascii="宋体" w:hAnsi="宋体"/>
        </w:rPr>
        <w:t>《国家水网工程建设规划纲要》提出“到2035年，基本形成国家水网总体格局，国家水网主骨架和大动脉基本建成，省市县网基本完善”；《福建省“十四五”水利建设专项规划》提出“构建现代化水网，保障全方位推进高质量发展超越刚性用水需求。”本规划构建的水安全保障总体布局以及水资源配置布局，符合构建福建水网工程建设的总体要求，与长汀县水网规划内容协调一致。</w:t>
      </w:r>
    </w:p>
    <w:p w14:paraId="36BB5735">
      <w:pPr>
        <w:ind w:firstLine="565" w:firstLineChars="202"/>
        <w:rPr>
          <w:rFonts w:ascii="宋体" w:hAnsi="宋体"/>
        </w:rPr>
      </w:pPr>
      <w:r>
        <w:rPr>
          <w:rFonts w:hint="eastAsia" w:ascii="宋体" w:hAnsi="宋体"/>
        </w:rPr>
        <w:t>《福建省国土空间规划（2021—2035年）》（国函〔2023〕131号）提出：深入实施主体功能区战略。落实全国主体功能总体布局和国家级主体功能分区，优化省级主体功能分区，实施差异化发展指引。长汀县为重要生态功能区，需合理控制国土开发强度和城乡建设用地增量，形成点状开发、面上保护的空间格局，扩大林地、水面、湿地等蓝绿空间比例，加强水源涵养、水土保持和生物多样性保护，提高生态环境质量。</w:t>
      </w:r>
    </w:p>
    <w:p w14:paraId="4C0D6113">
      <w:pPr>
        <w:ind w:firstLine="565" w:firstLineChars="202"/>
        <w:rPr>
          <w:rFonts w:ascii="宋体" w:hAnsi="宋体"/>
        </w:rPr>
      </w:pPr>
      <w:r>
        <w:rPr>
          <w:rFonts w:hint="eastAsia" w:ascii="宋体" w:hAnsi="宋体"/>
        </w:rPr>
        <w:t>《龙岩市国土空间总体规划（2021—2035年）》（闽政文〔2024〕117号）提出：健全公共安全和综合防灾体系，优化防灾减灾救灾设施区域布局，加强城市地质安全风险防控，保障城市生命线稳定运行，提高国土空间的安全韧性。</w:t>
      </w:r>
    </w:p>
    <w:p w14:paraId="3851E10E">
      <w:pPr>
        <w:ind w:firstLine="565" w:firstLineChars="202"/>
        <w:rPr>
          <w:rFonts w:ascii="宋体" w:hAnsi="宋体"/>
        </w:rPr>
      </w:pPr>
      <w:r>
        <w:rPr>
          <w:rFonts w:hint="eastAsia" w:ascii="宋体" w:hAnsi="宋体"/>
        </w:rPr>
        <w:t>《长汀县国土空间总体规划（2021—2035年）》（闽政文〔2024〕188号）提出：通过修建防洪构筑物、整治拓浚行洪通道、林分改造、发挥水库、低洼地等调蓄作用，综合提高长汀县流域防洪排涝能力；划定洪涝风险控制线，构建蓄排平衡的防洪防涝体系。</w:t>
      </w:r>
    </w:p>
    <w:p w14:paraId="3833B70B">
      <w:pPr>
        <w:ind w:firstLine="565" w:firstLineChars="202"/>
        <w:rPr>
          <w:rFonts w:ascii="宋体" w:hAnsi="宋体"/>
        </w:rPr>
      </w:pPr>
      <w:r>
        <w:rPr>
          <w:rFonts w:hint="eastAsia" w:ascii="宋体" w:hAnsi="宋体"/>
        </w:rPr>
        <w:t>本规划中完善流域防洪减灾体系、水资源配置和供水保障体系、水生态修复、幸福河湖工程体系等内容将提高流域防洪能力和水资源利用效率、保障供水安全和流域水生态环境，符合福建省国土空间规划中支持水利等重大基础设施布局优先向城市化发展区倾斜、统筹保护城市间绿色屏障、加快城市绿地生态系统建设等要求，符合龙岩市国土空间总体规划中健全公共安全和综合防灾体系、优化防灾减灾救灾设施区域布局的要求，符合长汀县国土空间总体规划中提高流域防洪排涝能力、构建蓄排平衡的防洪防涝体系的要求，同时符合《长汀县国民经济和社会发展第十四个五年规划和二〇三五年远景目标纲要》《长汀县“十四五”生态环境保护规划》等经济发展及生态保护要求和规划。</w:t>
      </w:r>
    </w:p>
    <w:p w14:paraId="6E3FF291">
      <w:pPr>
        <w:ind w:firstLine="565" w:firstLineChars="202"/>
        <w:rPr>
          <w:rFonts w:ascii="宋体" w:hAnsi="宋体"/>
        </w:rPr>
      </w:pPr>
      <w:r>
        <w:rPr>
          <w:rFonts w:hint="eastAsia" w:ascii="宋体" w:hAnsi="宋体"/>
        </w:rPr>
        <w:t>（三）“三线一单”符合性分析</w:t>
      </w:r>
    </w:p>
    <w:p w14:paraId="2649967E">
      <w:pPr>
        <w:ind w:firstLine="565" w:firstLineChars="202"/>
        <w:rPr>
          <w:rFonts w:ascii="宋体" w:hAnsi="宋体"/>
        </w:rPr>
      </w:pPr>
      <w:r>
        <w:rPr>
          <w:rFonts w:hint="eastAsia" w:ascii="宋体" w:hAnsi="宋体"/>
        </w:rPr>
        <w:t>根据《关于加强生态保护红线管理的通知（试行）》（自然资发〔2022〕142号），规范管控对生态功能不造成破坏的有限人为活动，生态保护红线内自然保护地核心保护区外，禁止开发性、生产性建设活动，在符合法律法规的前提下，仅允许以下对生态功能不造成破坏的有限人为活动。本次水安全保障规划中包括陂下水库调水工程等引调水工程等生态修复工程，规划涉及范围大、线路长、结点多，涉及占用部分生态保护红线，应在工程规划和实施阶段进一步优化布局，避让或减少占用生态保护红线。</w:t>
      </w:r>
    </w:p>
    <w:p w14:paraId="701F3650">
      <w:pPr>
        <w:ind w:firstLine="565" w:firstLineChars="202"/>
        <w:rPr>
          <w:rFonts w:ascii="宋体" w:hAnsi="宋体"/>
        </w:rPr>
      </w:pPr>
      <w:r>
        <w:rPr>
          <w:rFonts w:hint="eastAsia" w:ascii="宋体" w:hAnsi="宋体"/>
        </w:rPr>
        <w:t>规划提出入河排污口整治、河岸缓冲带建设、农村污染治理等一系列措施，削减流域入河污染源总量，提高流域内重要控制断面水环境质量。因此，规划符合环境质量底线的要求。</w:t>
      </w:r>
    </w:p>
    <w:p w14:paraId="78739365">
      <w:pPr>
        <w:ind w:firstLine="565" w:firstLineChars="202"/>
        <w:rPr>
          <w:rFonts w:ascii="宋体" w:hAnsi="宋体"/>
        </w:rPr>
      </w:pPr>
      <w:r>
        <w:rPr>
          <w:rFonts w:hint="eastAsia" w:ascii="宋体" w:hAnsi="宋体"/>
        </w:rPr>
        <w:t>根据《龙岩市人民政府关于下达水资源管理“三条红线”县（市、区）控制目标的通知》（龙政综〔2013〕417号），长汀县2030年水资源三条红线值为3.64亿m³,规划实施后长汀县2030年需水预测值为未突破用水总量要求，符合资源利用上限要求。</w:t>
      </w:r>
    </w:p>
    <w:p w14:paraId="04EA7F1C">
      <w:pPr>
        <w:ind w:firstLine="565" w:firstLineChars="202"/>
        <w:rPr>
          <w:rFonts w:ascii="宋体" w:hAnsi="宋体"/>
        </w:rPr>
      </w:pPr>
      <w:r>
        <w:rPr>
          <w:rFonts w:hint="eastAsia" w:ascii="宋体" w:hAnsi="宋体"/>
        </w:rPr>
        <w:t>经与“龙岩市生态环境准入清单”比对，规划内容不涉及清单中“禁止开发建设活动”；对于规划涉及部分“限制开发建设活动”在履行相关手续并优化工程设计方案，尽量降低工程建设的不利影响等措施后，符合环境管控单元管控要求。</w:t>
      </w:r>
    </w:p>
    <w:p w14:paraId="2D0B324B">
      <w:pPr>
        <w:pStyle w:val="3"/>
        <w:numPr>
          <w:ilvl w:val="1"/>
          <w:numId w:val="2"/>
        </w:numPr>
        <w:rPr>
          <w:rFonts w:ascii="宋体" w:hAnsi="宋体"/>
          <w:color w:val="auto"/>
        </w:rPr>
      </w:pPr>
      <w:bookmarkStart w:id="63" w:name="_Toc216791715"/>
      <w:r>
        <w:rPr>
          <w:rFonts w:hint="eastAsia" w:ascii="宋体" w:hAnsi="宋体"/>
          <w:color w:val="auto"/>
        </w:rPr>
        <w:t>环境影响评价</w:t>
      </w:r>
      <w:bookmarkEnd w:id="63"/>
    </w:p>
    <w:p w14:paraId="713D30B8">
      <w:pPr>
        <w:ind w:firstLine="565" w:firstLineChars="202"/>
        <w:rPr>
          <w:rFonts w:ascii="宋体" w:hAnsi="宋体"/>
        </w:rPr>
      </w:pPr>
      <w:r>
        <w:rPr>
          <w:rFonts w:hint="eastAsia" w:ascii="宋体" w:hAnsi="宋体"/>
        </w:rPr>
        <w:t>（一）水资源及水文情势影响变化分析</w:t>
      </w:r>
    </w:p>
    <w:p w14:paraId="5382FED9">
      <w:pPr>
        <w:ind w:firstLine="565" w:firstLineChars="202"/>
        <w:rPr>
          <w:rFonts w:ascii="宋体" w:hAnsi="宋体"/>
        </w:rPr>
      </w:pPr>
      <w:r>
        <w:rPr>
          <w:rFonts w:hint="eastAsia" w:ascii="宋体" w:hAnsi="宋体"/>
        </w:rPr>
        <w:t>防洪减灾工程规划建设堤线与现有的岸线基本一致，防洪堤的修建对水文情势影响不大，城区高水高排工程会改变局部的水资源时空分布，对全区水资源基本没有影响；节水改造工程主要为灌区节水改造，有利于提高灌溉水的利用率，对区域水资源的利用是有利的；引调水工程在预留足够生态流量的情况下可减轻对取水口下游河道水文情势的影响；新建水库蓄水后，受水库拦蓄影响，若调度运行不当，在下游可能形成一定的减水河段，将对下游河流生态造成较大的影响。本次规划各蓄水工程均考虑了下泄生态基流，可减小对上下游水文情势影响。</w:t>
      </w:r>
    </w:p>
    <w:p w14:paraId="0381834B">
      <w:pPr>
        <w:ind w:firstLine="565" w:firstLineChars="202"/>
        <w:rPr>
          <w:rFonts w:ascii="宋体" w:hAnsi="宋体"/>
        </w:rPr>
      </w:pPr>
      <w:r>
        <w:rPr>
          <w:rFonts w:hint="eastAsia" w:ascii="宋体" w:hAnsi="宋体"/>
        </w:rPr>
        <w:t>（二）水环境影响分析</w:t>
      </w:r>
    </w:p>
    <w:p w14:paraId="1A96895F">
      <w:pPr>
        <w:ind w:firstLine="565" w:firstLineChars="202"/>
        <w:rPr>
          <w:rFonts w:ascii="宋体" w:hAnsi="宋体"/>
        </w:rPr>
      </w:pPr>
      <w:r>
        <w:rPr>
          <w:rFonts w:hint="eastAsia" w:ascii="宋体" w:hAnsi="宋体"/>
        </w:rPr>
        <w:t>防洪减灾工程：对水质几乎无影响，仅其中的中小河流、防洪治理工程中，需对河道底泥进行疏浚，将造成短期内河流含沙量增高、水质浑浊，工程完工后随着泥沙的沉降和水体自净，河流水质将得到改善。</w:t>
      </w:r>
    </w:p>
    <w:p w14:paraId="1C20D309">
      <w:pPr>
        <w:ind w:firstLine="565" w:firstLineChars="202"/>
        <w:rPr>
          <w:rFonts w:ascii="宋体" w:hAnsi="宋体"/>
        </w:rPr>
      </w:pPr>
      <w:r>
        <w:rPr>
          <w:rFonts w:hint="eastAsia" w:ascii="宋体" w:hAnsi="宋体"/>
        </w:rPr>
        <w:t>水库工程：规划新建水库工程在河道上筑坝建库，改变了原有水体特征，库区河段由河流变为水库。水库蓄水初期被淹没的土壤、植被会溶解释放出有机质、营养盐。一般情况在蓄水初期第一年释放量最大，其后随时间增加释放量减少，最后达到平衡状态。因此在水库蓄水初期，水质会稍有恶化，随着时间推移，水质渐渐好转。水库建成后，下游的河水流量减少，下游排放的污染物的稀释、降解、扩散能力也随之发生变化，从而使其下游水质发生变化。由于项目建设于山区农村，坝址下游河段的污染源入河量很少，水库泄放的生态流量在保证下游生态需水的同时，能够起到稀释污染物浓度，满足水体自净的作用，因此水库建设对下游河道水环境的影响较小。</w:t>
      </w:r>
    </w:p>
    <w:p w14:paraId="324CCBB9">
      <w:pPr>
        <w:ind w:firstLine="565" w:firstLineChars="202"/>
        <w:rPr>
          <w:rFonts w:ascii="宋体" w:hAnsi="宋体"/>
        </w:rPr>
      </w:pPr>
      <w:r>
        <w:rPr>
          <w:rFonts w:hint="eastAsia" w:ascii="宋体" w:hAnsi="宋体"/>
        </w:rPr>
        <w:t>灌区续建配套与节水改造工程：工程建成运行后，会减少沿程和田间的渗漏对区域地下水带来影响。</w:t>
      </w:r>
    </w:p>
    <w:p w14:paraId="47304EAD">
      <w:pPr>
        <w:ind w:firstLine="565" w:firstLineChars="202"/>
        <w:rPr>
          <w:rFonts w:ascii="宋体" w:hAnsi="宋体"/>
        </w:rPr>
      </w:pPr>
      <w:r>
        <w:rPr>
          <w:rFonts w:hint="eastAsia" w:ascii="宋体" w:hAnsi="宋体"/>
        </w:rPr>
        <w:t>引调水工程：取水口断面以下河段流量减少，水环境容量降低，通过加强水污染防治，可减轻其影响。受水区新增退水量会增加退水所在河流的污染负荷，但随着污水处理和回用设施的建设加强、对灌区节水技术应用的持续推广，入河排污总量能稳定控制在水环境承载力范围以内。</w:t>
      </w:r>
    </w:p>
    <w:p w14:paraId="23470DDA">
      <w:pPr>
        <w:ind w:firstLine="565" w:firstLineChars="202"/>
        <w:rPr>
          <w:rFonts w:ascii="宋体" w:hAnsi="宋体"/>
        </w:rPr>
      </w:pPr>
      <w:r>
        <w:rPr>
          <w:rFonts w:hint="eastAsia" w:ascii="宋体" w:hAnsi="宋体"/>
        </w:rPr>
        <w:t>河湖生态系统保护治理工程：工程的实施可以保障河道生态水量，恢复河道生态功能，对改善河湖水质发挥显著作用。规划提出饮用水水源地保护措施，有利于改善饮用水水源地水质。</w:t>
      </w:r>
    </w:p>
    <w:p w14:paraId="15B21CB7">
      <w:pPr>
        <w:ind w:firstLine="565" w:firstLineChars="202"/>
        <w:rPr>
          <w:rFonts w:ascii="宋体" w:hAnsi="宋体"/>
        </w:rPr>
      </w:pPr>
      <w:r>
        <w:rPr>
          <w:rFonts w:hint="eastAsia" w:ascii="宋体" w:hAnsi="宋体"/>
        </w:rPr>
        <w:t>（三）陆生生态影响分析</w:t>
      </w:r>
    </w:p>
    <w:p w14:paraId="6D0442F6">
      <w:pPr>
        <w:ind w:firstLine="565" w:firstLineChars="202"/>
        <w:rPr>
          <w:rFonts w:ascii="宋体" w:hAnsi="宋体"/>
        </w:rPr>
      </w:pPr>
      <w:r>
        <w:rPr>
          <w:rFonts w:hint="eastAsia" w:ascii="宋体" w:hAnsi="宋体"/>
        </w:rPr>
        <w:t>规划提出的水土保持及水源涵养措施有利于减小水土流失面积并改善陆生生态。规划新建水库实施后，将淹没部分土地及植被，局部区域动植物种类和数量将发生一定变化。规划堤防、河道整治、引水及供水等工程，在施工占地、土方开挖等过程中，将导致陆生植物生物量减少，对陆生野生动物也造成一定不利影响，但在采取植被保护与修复措施后可将影响降至较低的水平。</w:t>
      </w:r>
    </w:p>
    <w:p w14:paraId="5E116E82">
      <w:pPr>
        <w:ind w:firstLine="565" w:firstLineChars="202"/>
        <w:rPr>
          <w:rFonts w:ascii="宋体" w:hAnsi="宋体"/>
        </w:rPr>
      </w:pPr>
      <w:r>
        <w:rPr>
          <w:rFonts w:hint="eastAsia" w:ascii="宋体" w:hAnsi="宋体"/>
        </w:rPr>
        <w:t>（四）水生生态影响分析</w:t>
      </w:r>
    </w:p>
    <w:p w14:paraId="5DC946CB">
      <w:pPr>
        <w:ind w:firstLine="565" w:firstLineChars="202"/>
        <w:rPr>
          <w:rFonts w:ascii="宋体" w:hAnsi="宋体"/>
        </w:rPr>
      </w:pPr>
      <w:r>
        <w:rPr>
          <w:rFonts w:hint="eastAsia" w:ascii="宋体" w:hAnsi="宋体"/>
        </w:rPr>
        <w:t>防洪减灾工程施工过程中，会造成水体浑浊度上升，短期影响浮游植物的光合作用，进一步影响其他水生生物，伴随施工结束，浮游植物及水生生物将会恢复，因此影响对水生生态影响有限。规划水生态保护与修复等工程实施后，有利于恢复主要江河的水生态环境，恢复生物多样性，维护水生生态系统质量和稳定性。规划新建水库工程，将造成新的河流连通性阻隔，需严格落实生态流量。水文情势变化可能导致局部区域鱼类种群和生物量发生改变，对局部河段水生态系统结构和功能产生一定不利影响。</w:t>
      </w:r>
    </w:p>
    <w:p w14:paraId="5E4D7674">
      <w:pPr>
        <w:ind w:firstLine="565" w:firstLineChars="202"/>
        <w:rPr>
          <w:rFonts w:ascii="宋体" w:hAnsi="宋体"/>
        </w:rPr>
      </w:pPr>
      <w:r>
        <w:rPr>
          <w:rFonts w:hint="eastAsia" w:ascii="宋体" w:hAnsi="宋体"/>
        </w:rPr>
        <w:t>（五）环境敏感区影响</w:t>
      </w:r>
    </w:p>
    <w:p w14:paraId="5CC61F60">
      <w:pPr>
        <w:ind w:firstLine="565" w:firstLineChars="202"/>
        <w:rPr>
          <w:rFonts w:ascii="宋体" w:hAnsi="宋体"/>
        </w:rPr>
      </w:pPr>
      <w:r>
        <w:rPr>
          <w:rFonts w:hint="eastAsia" w:ascii="宋体" w:hAnsi="宋体"/>
        </w:rPr>
        <w:t>经识别分析，部分规划工程涉及生态保护红线、自然保护区等环境敏感区，规划实施可能会影响环境敏感区的生态环境。由于本规划项目建设位置、线路等存在诸多不确定因素，建议在项目前期工作中，适时开展环境影响评价专题和生态保护红线不可避让专题论工程证，重点论证工程选址、选线与环境敏感区的区位关系及其环境影响，并采取切实可行的环境影响避让和减缓措施。</w:t>
      </w:r>
    </w:p>
    <w:p w14:paraId="3BA00A14">
      <w:pPr>
        <w:pStyle w:val="3"/>
        <w:numPr>
          <w:ilvl w:val="1"/>
          <w:numId w:val="2"/>
        </w:numPr>
        <w:rPr>
          <w:rFonts w:ascii="宋体" w:hAnsi="宋体"/>
          <w:color w:val="auto"/>
        </w:rPr>
      </w:pPr>
      <w:bookmarkStart w:id="64" w:name="_Toc216791716"/>
      <w:r>
        <w:rPr>
          <w:rFonts w:hint="eastAsia" w:ascii="宋体" w:hAnsi="宋体"/>
          <w:color w:val="auto"/>
        </w:rPr>
        <w:t>环境保护措施</w:t>
      </w:r>
      <w:bookmarkEnd w:id="64"/>
    </w:p>
    <w:p w14:paraId="34A0142F">
      <w:pPr>
        <w:ind w:firstLine="565" w:firstLineChars="202"/>
        <w:rPr>
          <w:rFonts w:ascii="宋体" w:hAnsi="宋体"/>
        </w:rPr>
      </w:pPr>
      <w:r>
        <w:rPr>
          <w:rFonts w:hint="eastAsia" w:ascii="宋体" w:hAnsi="宋体"/>
        </w:rPr>
        <w:t>规划涉及的水利建设项目，须依法加强相关规划和建设项目环境影响评价等前期工作，优化选址选线，避让敏感保护目标，强化相应的生态环境保护措施，认真落实“三同时”管理制度，对规划实施情况进行环境影响跟踪监测、评价和评估，及时优化调整工程实施方式，强化对工程规划、设计、建设、管理全过程的监管，最大程度地减少规划实施带来的不利影响。</w:t>
      </w:r>
    </w:p>
    <w:p w14:paraId="51848CE1">
      <w:pPr>
        <w:ind w:firstLine="565" w:firstLineChars="202"/>
        <w:rPr>
          <w:rFonts w:ascii="宋体" w:hAnsi="宋体"/>
        </w:rPr>
      </w:pPr>
      <w:r>
        <w:rPr>
          <w:rFonts w:hint="eastAsia" w:ascii="宋体" w:hAnsi="宋体"/>
        </w:rPr>
        <w:t>坚持节约和绿色发展。加强流域和区域用水总量控制，节水优先，减少对水资源的过度消耗；加强水资源优化调度与管理，逐步退还被挤占的河道内生态环境用水，维持湖库和地下水的水位，落实新建水库的生态流量下泄，保障下游河道水量。落实“三先三后”原则，在建设过程中同步开展水源地保护工作，制定受水区新增废污水的治理对策和方案，建设完成后及时开展饮用水水源保护区划分及规范化建设工作。水资源利用应按照减量化、再利用、资源化的原则，加快建立高效循环利用体系，提高水资源的利用效率和效益，推进水资源可持续利用，推进绿色水电发展，保障电站生态流量泄放。加强灌区节水改造，减少化肥流失与污染，适当建设生态沟渠、氮磷拦截沟等程消纳灌区退水。采取截污纳管等措施削减污染物入河量，降低引调水工程产生的水量变化对水质的影响。</w:t>
      </w:r>
    </w:p>
    <w:p w14:paraId="33F36498">
      <w:pPr>
        <w:ind w:firstLine="565" w:firstLineChars="202"/>
        <w:rPr>
          <w:rFonts w:ascii="宋体" w:hAnsi="宋体"/>
        </w:rPr>
      </w:pPr>
      <w:r>
        <w:rPr>
          <w:rFonts w:hint="eastAsia" w:ascii="宋体" w:hAnsi="宋体"/>
        </w:rPr>
        <w:t>提高水利工程综合效益。做好堤防建设、河流治理与河流水生态廊道的衔接。处理好河湖水系连通工程与生态保护的关系，应考虑水生态保护目标对水系连通的需求。在中小河流治理中，避免束窄河道、减少行洪断面，尽量保持河道自然形态，提倡采用防洪工程生态堤，注重与城市景观、生态环境的协调，打造生态水系景观廊道，加强农村水环境综合治理，减少面源污染量，疏通河道，改善农村水生态环境，助力乡村振兴。</w:t>
      </w:r>
    </w:p>
    <w:p w14:paraId="58528C6E">
      <w:pPr>
        <w:pStyle w:val="3"/>
        <w:numPr>
          <w:ilvl w:val="1"/>
          <w:numId w:val="2"/>
        </w:numPr>
        <w:rPr>
          <w:rFonts w:ascii="宋体" w:hAnsi="宋体"/>
          <w:color w:val="auto"/>
        </w:rPr>
      </w:pPr>
      <w:bookmarkStart w:id="65" w:name="_Toc216791717"/>
      <w:r>
        <w:rPr>
          <w:rFonts w:hint="eastAsia" w:ascii="宋体" w:hAnsi="宋体"/>
          <w:color w:val="auto"/>
        </w:rPr>
        <w:t>环境影响评价结论</w:t>
      </w:r>
      <w:bookmarkEnd w:id="65"/>
    </w:p>
    <w:p w14:paraId="0F1E85D1">
      <w:pPr>
        <w:ind w:firstLine="565" w:firstLineChars="202"/>
        <w:rPr>
          <w:rFonts w:ascii="宋体" w:hAnsi="宋体"/>
        </w:rPr>
      </w:pPr>
      <w:r>
        <w:rPr>
          <w:rFonts w:hint="eastAsia" w:ascii="宋体" w:hAnsi="宋体"/>
        </w:rPr>
        <w:t>规划综合考虑了全区水资源和生态环境的特点，坚持了生态优先、绿色发展理念，在减少水旱灾害、复苏河湖生态，加强水源涵养与水土保持、保障河湖生态流量等开展了重大行动，有利于提升生态系统的质量和稳定性，有助于防控水资源开发带来的生态环境风险，对促进经济社会高质量发展具有重要意义。</w:t>
      </w:r>
    </w:p>
    <w:p w14:paraId="286957C7">
      <w:pPr>
        <w:ind w:firstLine="565" w:firstLineChars="202"/>
        <w:rPr>
          <w:rFonts w:ascii="宋体" w:hAnsi="宋体"/>
        </w:rPr>
      </w:pPr>
      <w:r>
        <w:rPr>
          <w:rFonts w:hint="eastAsia" w:ascii="宋体" w:hAnsi="宋体"/>
        </w:rPr>
        <w:t>在工程规划设计阶段优化工程布局，尽量减少工程占地，识别工程方案与敏感区的区位关系，分析论证其环境影响，并采取切实可行的生态避让和减缓措施。在实施工程方案优化和各项生态环境保护措施后，规划实施不利影响可得到控制和减缓，从环境保护角度分析，规划方案总体合理可行。</w:t>
      </w:r>
    </w:p>
    <w:p w14:paraId="39123494">
      <w:pPr>
        <w:ind w:firstLine="565" w:firstLineChars="202"/>
        <w:rPr>
          <w:rFonts w:ascii="宋体" w:hAnsi="宋体"/>
        </w:rPr>
      </w:pPr>
    </w:p>
    <w:p w14:paraId="34DE7342">
      <w:pPr>
        <w:ind w:firstLine="565" w:firstLineChars="202"/>
        <w:rPr>
          <w:rFonts w:ascii="宋体" w:hAnsi="宋体"/>
        </w:rPr>
      </w:pPr>
    </w:p>
    <w:p w14:paraId="5C42E0A6">
      <w:pPr>
        <w:ind w:firstLine="565" w:firstLineChars="202"/>
        <w:rPr>
          <w:rFonts w:ascii="宋体" w:hAnsi="宋体"/>
        </w:rPr>
      </w:pPr>
    </w:p>
    <w:p w14:paraId="04302D7E">
      <w:pPr>
        <w:ind w:firstLine="565" w:firstLineChars="202"/>
        <w:rPr>
          <w:rFonts w:ascii="宋体" w:hAnsi="宋体"/>
        </w:rPr>
      </w:pPr>
    </w:p>
    <w:p w14:paraId="7F62BEC9">
      <w:pPr>
        <w:ind w:firstLine="565" w:firstLineChars="202"/>
        <w:rPr>
          <w:rFonts w:ascii="宋体" w:hAnsi="宋体"/>
        </w:rPr>
        <w:sectPr>
          <w:pgSz w:w="11906" w:h="16838"/>
          <w:pgMar w:top="1440" w:right="1800" w:bottom="1440" w:left="1800" w:header="851" w:footer="992" w:gutter="0"/>
          <w:cols w:space="425" w:num="1"/>
          <w:docGrid w:type="lines" w:linePitch="312" w:charSpace="0"/>
        </w:sectPr>
      </w:pPr>
    </w:p>
    <w:p w14:paraId="3433A141">
      <w:pPr>
        <w:pStyle w:val="2"/>
        <w:numPr>
          <w:ilvl w:val="0"/>
          <w:numId w:val="2"/>
        </w:numPr>
        <w:jc w:val="center"/>
        <w:rPr>
          <w:rFonts w:ascii="宋体" w:hAnsi="宋体"/>
          <w:b/>
          <w:bCs/>
          <w:color w:val="auto"/>
        </w:rPr>
      </w:pPr>
      <w:bookmarkStart w:id="66" w:name="_Toc216791718"/>
      <w:r>
        <w:rPr>
          <w:rFonts w:hint="eastAsia" w:ascii="宋体" w:hAnsi="宋体"/>
          <w:b/>
          <w:bCs/>
          <w:color w:val="auto"/>
        </w:rPr>
        <w:t>项目实施</w:t>
      </w:r>
      <w:bookmarkEnd w:id="66"/>
    </w:p>
    <w:p w14:paraId="049109EC">
      <w:pPr>
        <w:pStyle w:val="3"/>
        <w:numPr>
          <w:ilvl w:val="1"/>
          <w:numId w:val="2"/>
        </w:numPr>
        <w:rPr>
          <w:rFonts w:ascii="宋体" w:hAnsi="宋体"/>
          <w:color w:val="auto"/>
        </w:rPr>
      </w:pPr>
      <w:bookmarkStart w:id="67" w:name="_Toc216791719"/>
      <w:r>
        <w:rPr>
          <w:rFonts w:hint="eastAsia" w:ascii="宋体" w:hAnsi="宋体"/>
          <w:color w:val="auto"/>
        </w:rPr>
        <w:t>投资规模</w:t>
      </w:r>
      <w:bookmarkEnd w:id="67"/>
    </w:p>
    <w:p w14:paraId="7EBE657A">
      <w:pPr>
        <w:ind w:firstLine="565" w:firstLineChars="202"/>
        <w:rPr>
          <w:rFonts w:ascii="宋体" w:hAnsi="宋体"/>
        </w:rPr>
      </w:pPr>
      <w:r>
        <w:rPr>
          <w:rFonts w:hint="eastAsia" w:ascii="宋体" w:hAnsi="宋体"/>
        </w:rPr>
        <w:t>根据“十五五”期间规划确定的水利发展目标、主要建设任务和水利发展总体布局，按照国家基本建设程序的要求，统筹考虑项目的技术可行性、经济合理性以及对移民、占地及生态环境的影响；统筹考虑区域间、城乡间、专业间等水利建设的需要；在已列入全国、流域以及区域水利发展和建设规划中和拟定“十五五”期间开工建设的项目及其重点的基础上，根据拟实施项目前期工作进度，按轻重缓急排序，并按各类工程的建设工期拟定项目的合理投资流程，测算出新建项目的总体投资规模及其投资分类结构。</w:t>
      </w:r>
    </w:p>
    <w:p w14:paraId="06457D93">
      <w:pPr>
        <w:ind w:firstLine="565" w:firstLineChars="202"/>
        <w:rPr>
          <w:rFonts w:ascii="宋体" w:hAnsi="宋体"/>
        </w:rPr>
      </w:pPr>
      <w:r>
        <w:rPr>
          <w:rFonts w:hint="eastAsia" w:ascii="宋体" w:hAnsi="宋体"/>
        </w:rPr>
        <w:t>在正确分析区域经济社会发展态势，并结合水利改革发展总基调及“十四五”期间长汀县水利建设投资规模和执行情况，按照突出重点、统筹兼顾、综合协调的原则，按照“十五五”规划目标、水利发展总体布局及任务的要求，认真分析规划依据、前期工作基础、开发利用和建设条件，最终确定十五五建设规划总投资</w:t>
      </w:r>
      <w:r>
        <w:rPr>
          <w:rFonts w:ascii="宋体" w:hAnsi="宋体"/>
        </w:rPr>
        <w:t>124.17</w:t>
      </w:r>
      <w:r>
        <w:rPr>
          <w:rFonts w:hint="eastAsia" w:ascii="宋体" w:hAnsi="宋体"/>
        </w:rPr>
        <w:t>亿元，其中“十五五”期间完成投资</w:t>
      </w:r>
      <w:r>
        <w:rPr>
          <w:rFonts w:ascii="宋体" w:hAnsi="宋体"/>
        </w:rPr>
        <w:t>41.88</w:t>
      </w:r>
      <w:r>
        <w:rPr>
          <w:rFonts w:hint="eastAsia" w:ascii="宋体" w:hAnsi="宋体"/>
        </w:rPr>
        <w:t>亿元，包括防洪减灾、水资源节约与高效利用、水生态保护修复、幸福河湖建设、数字孪生五大类项目建设。</w:t>
      </w:r>
    </w:p>
    <w:p w14:paraId="188B7F95">
      <w:pPr>
        <w:pStyle w:val="3"/>
        <w:numPr>
          <w:ilvl w:val="1"/>
          <w:numId w:val="2"/>
        </w:numPr>
        <w:rPr>
          <w:rFonts w:ascii="宋体" w:hAnsi="宋体"/>
          <w:color w:val="auto"/>
        </w:rPr>
      </w:pPr>
      <w:bookmarkStart w:id="68" w:name="_Toc216791720"/>
      <w:r>
        <w:rPr>
          <w:rFonts w:hint="eastAsia" w:ascii="宋体" w:hAnsi="宋体"/>
          <w:color w:val="auto"/>
        </w:rPr>
        <w:t>投资结构</w:t>
      </w:r>
      <w:bookmarkEnd w:id="68"/>
    </w:p>
    <w:p w14:paraId="2C7C3621">
      <w:pPr>
        <w:ind w:firstLine="565" w:firstLineChars="202"/>
        <w:rPr>
          <w:rFonts w:ascii="宋体" w:hAnsi="宋体"/>
        </w:rPr>
      </w:pPr>
      <w:r>
        <w:rPr>
          <w:rFonts w:hint="eastAsia" w:ascii="宋体" w:hAnsi="宋体"/>
        </w:rPr>
        <w:t>按</w:t>
      </w:r>
      <w:r>
        <w:rPr>
          <w:rFonts w:ascii="宋体" w:hAnsi="宋体"/>
        </w:rPr>
        <w:t>主要任务划分，“</w:t>
      </w:r>
      <w:r>
        <w:rPr>
          <w:rFonts w:hint="eastAsia" w:ascii="宋体" w:hAnsi="宋体"/>
        </w:rPr>
        <w:t>十五五</w:t>
      </w:r>
      <w:r>
        <w:rPr>
          <w:rFonts w:ascii="宋体" w:hAnsi="宋体"/>
        </w:rPr>
        <w:t>”</w:t>
      </w:r>
      <w:r>
        <w:rPr>
          <w:rFonts w:hint="eastAsia" w:ascii="宋体" w:hAnsi="宋体"/>
        </w:rPr>
        <w:t>规划</w:t>
      </w:r>
      <w:r>
        <w:rPr>
          <w:rFonts w:ascii="宋体" w:hAnsi="宋体"/>
        </w:rPr>
        <w:t>总投资</w:t>
      </w:r>
      <w:r>
        <w:rPr>
          <w:rFonts w:hint="eastAsia" w:ascii="宋体" w:hAnsi="宋体"/>
        </w:rPr>
        <w:t>中</w:t>
      </w:r>
      <w:r>
        <w:rPr>
          <w:rFonts w:ascii="宋体" w:hAnsi="宋体"/>
        </w:rPr>
        <w:t>，</w:t>
      </w:r>
      <w:r>
        <w:rPr>
          <w:rFonts w:hint="eastAsia" w:ascii="宋体" w:hAnsi="宋体"/>
        </w:rPr>
        <w:t>防洪减灾提升工程投资</w:t>
      </w:r>
      <w:r>
        <w:rPr>
          <w:rFonts w:ascii="宋体" w:hAnsi="宋体"/>
        </w:rPr>
        <w:t>18.50</w:t>
      </w:r>
      <w:r>
        <w:rPr>
          <w:rFonts w:hint="eastAsia" w:ascii="宋体" w:hAnsi="宋体"/>
        </w:rPr>
        <w:t>亿元，占总投资</w:t>
      </w:r>
      <w:r>
        <w:rPr>
          <w:rFonts w:ascii="宋体" w:hAnsi="宋体"/>
        </w:rPr>
        <w:t>44.16</w:t>
      </w:r>
      <w:r>
        <w:rPr>
          <w:rFonts w:hint="eastAsia" w:ascii="宋体" w:hAnsi="宋体"/>
        </w:rPr>
        <w:t>%；水资源配置工程投资</w:t>
      </w:r>
      <w:r>
        <w:rPr>
          <w:rFonts w:ascii="宋体" w:hAnsi="宋体"/>
        </w:rPr>
        <w:t>17.62</w:t>
      </w:r>
      <w:r>
        <w:rPr>
          <w:rFonts w:hint="eastAsia" w:ascii="宋体" w:hAnsi="宋体"/>
        </w:rPr>
        <w:t>亿元，占总投资</w:t>
      </w:r>
      <w:r>
        <w:rPr>
          <w:rFonts w:ascii="宋体" w:hAnsi="宋体"/>
        </w:rPr>
        <w:t>42.08</w:t>
      </w:r>
      <w:r>
        <w:rPr>
          <w:rFonts w:hint="eastAsia" w:ascii="宋体" w:hAnsi="宋体"/>
        </w:rPr>
        <w:t>%；水生态保护修复工程投资</w:t>
      </w:r>
      <w:r>
        <w:rPr>
          <w:rFonts w:ascii="宋体" w:hAnsi="宋体"/>
        </w:rPr>
        <w:t>2.94</w:t>
      </w:r>
      <w:r>
        <w:rPr>
          <w:rFonts w:hint="eastAsia" w:ascii="宋体" w:hAnsi="宋体"/>
        </w:rPr>
        <w:t>亿元，占总投资</w:t>
      </w:r>
      <w:r>
        <w:rPr>
          <w:rFonts w:ascii="宋体" w:hAnsi="宋体"/>
        </w:rPr>
        <w:t>7.03</w:t>
      </w:r>
      <w:r>
        <w:rPr>
          <w:rFonts w:hint="eastAsia" w:ascii="宋体" w:hAnsi="宋体"/>
        </w:rPr>
        <w:t>%；幸福河湖建设工程投资</w:t>
      </w:r>
      <w:r>
        <w:rPr>
          <w:rFonts w:ascii="宋体" w:hAnsi="宋体"/>
        </w:rPr>
        <w:t>2.24</w:t>
      </w:r>
      <w:r>
        <w:rPr>
          <w:rFonts w:hint="eastAsia" w:ascii="宋体" w:hAnsi="宋体"/>
        </w:rPr>
        <w:t>亿元，占总投资</w:t>
      </w:r>
      <w:r>
        <w:rPr>
          <w:rFonts w:ascii="宋体" w:hAnsi="宋体"/>
        </w:rPr>
        <w:t>5.36</w:t>
      </w:r>
      <w:r>
        <w:rPr>
          <w:rFonts w:hint="eastAsia" w:ascii="宋体" w:hAnsi="宋体"/>
        </w:rPr>
        <w:t>%；数字孪生水网建设投资</w:t>
      </w:r>
      <w:r>
        <w:rPr>
          <w:rFonts w:ascii="宋体" w:hAnsi="宋体"/>
        </w:rPr>
        <w:t>0.57</w:t>
      </w:r>
      <w:r>
        <w:rPr>
          <w:rFonts w:hint="eastAsia" w:ascii="宋体" w:hAnsi="宋体"/>
        </w:rPr>
        <w:t>亿元，占总投资1.3</w:t>
      </w:r>
      <w:r>
        <w:rPr>
          <w:rFonts w:ascii="宋体" w:hAnsi="宋体"/>
        </w:rPr>
        <w:t>7</w:t>
      </w:r>
      <w:r>
        <w:rPr>
          <w:rFonts w:hint="eastAsia" w:ascii="宋体" w:hAnsi="宋体"/>
        </w:rPr>
        <w:t>%。</w:t>
      </w:r>
    </w:p>
    <w:tbl>
      <w:tblPr>
        <w:tblStyle w:val="30"/>
        <w:tblW w:w="8560" w:type="dxa"/>
        <w:tblInd w:w="0" w:type="dxa"/>
        <w:tblLayout w:type="autofit"/>
        <w:tblCellMar>
          <w:top w:w="0" w:type="dxa"/>
          <w:left w:w="108" w:type="dxa"/>
          <w:bottom w:w="0" w:type="dxa"/>
          <w:right w:w="108" w:type="dxa"/>
        </w:tblCellMar>
      </w:tblPr>
      <w:tblGrid>
        <w:gridCol w:w="2000"/>
        <w:gridCol w:w="1400"/>
        <w:gridCol w:w="1356"/>
        <w:gridCol w:w="1900"/>
        <w:gridCol w:w="1904"/>
      </w:tblGrid>
      <w:tr w14:paraId="6B0D3AA7">
        <w:tblPrEx>
          <w:tblCellMar>
            <w:top w:w="0" w:type="dxa"/>
            <w:left w:w="108" w:type="dxa"/>
            <w:bottom w:w="0" w:type="dxa"/>
            <w:right w:w="108" w:type="dxa"/>
          </w:tblCellMar>
        </w:tblPrEx>
        <w:trPr>
          <w:trHeight w:val="804" w:hRule="atLeast"/>
        </w:trPr>
        <w:tc>
          <w:tcPr>
            <w:tcW w:w="8560" w:type="dxa"/>
            <w:gridSpan w:val="5"/>
            <w:tcBorders>
              <w:top w:val="nil"/>
              <w:left w:val="nil"/>
              <w:bottom w:val="single" w:color="auto" w:sz="4" w:space="0"/>
              <w:right w:val="nil"/>
            </w:tcBorders>
            <w:noWrap/>
            <w:vAlign w:val="center"/>
          </w:tcPr>
          <w:p w14:paraId="1071711E">
            <w:pPr>
              <w:widowControl/>
              <w:spacing w:line="240" w:lineRule="auto"/>
              <w:jc w:val="center"/>
              <w:rPr>
                <w:rFonts w:ascii="宋体" w:hAnsi="宋体" w:cs="宋体"/>
                <w:b/>
                <w:bCs/>
                <w:color w:val="000000"/>
                <w:kern w:val="0"/>
                <w:szCs w:val="28"/>
              </w:rPr>
            </w:pPr>
            <w:r>
              <w:rPr>
                <w:rFonts w:hint="eastAsia" w:ascii="宋体" w:hAnsi="宋体" w:cs="宋体"/>
                <w:b/>
                <w:bCs/>
                <w:color w:val="000000"/>
                <w:kern w:val="0"/>
                <w:szCs w:val="28"/>
              </w:rPr>
              <w:t>长汀县“十五五”水利项目投资汇总表</w:t>
            </w:r>
          </w:p>
        </w:tc>
      </w:tr>
      <w:tr w14:paraId="104E1677">
        <w:tblPrEx>
          <w:tblCellMar>
            <w:top w:w="0" w:type="dxa"/>
            <w:left w:w="108" w:type="dxa"/>
            <w:bottom w:w="0" w:type="dxa"/>
            <w:right w:w="108" w:type="dxa"/>
          </w:tblCellMar>
        </w:tblPrEx>
        <w:trPr>
          <w:trHeight w:val="615" w:hRule="atLeast"/>
        </w:trPr>
        <w:tc>
          <w:tcPr>
            <w:tcW w:w="2000" w:type="dxa"/>
            <w:tcBorders>
              <w:top w:val="nil"/>
              <w:left w:val="single" w:color="auto" w:sz="4" w:space="0"/>
              <w:bottom w:val="single" w:color="auto" w:sz="4" w:space="0"/>
              <w:right w:val="single" w:color="auto" w:sz="4" w:space="0"/>
            </w:tcBorders>
            <w:vAlign w:val="center"/>
          </w:tcPr>
          <w:p w14:paraId="758FFFB1">
            <w:pPr>
              <w:widowControl/>
              <w:spacing w:line="240" w:lineRule="auto"/>
              <w:jc w:val="center"/>
              <w:rPr>
                <w:rFonts w:ascii="Times New Roman" w:hAnsi="Times New Roman" w:cs="Times New Roman"/>
                <w:color w:val="000000"/>
                <w:kern w:val="0"/>
                <w:sz w:val="24"/>
                <w:szCs w:val="24"/>
              </w:rPr>
            </w:pPr>
            <w:r>
              <w:rPr>
                <w:rFonts w:hint="eastAsia" w:ascii="宋体" w:hAnsi="宋体" w:cs="Times New Roman"/>
                <w:color w:val="000000"/>
                <w:kern w:val="0"/>
                <w:sz w:val="24"/>
                <w:szCs w:val="24"/>
              </w:rPr>
              <w:t>类型</w:t>
            </w:r>
          </w:p>
        </w:tc>
        <w:tc>
          <w:tcPr>
            <w:tcW w:w="1400" w:type="dxa"/>
            <w:tcBorders>
              <w:top w:val="nil"/>
              <w:left w:val="nil"/>
              <w:bottom w:val="single" w:color="auto" w:sz="4" w:space="0"/>
              <w:right w:val="single" w:color="auto" w:sz="4" w:space="0"/>
            </w:tcBorders>
            <w:vAlign w:val="center"/>
          </w:tcPr>
          <w:p w14:paraId="30512037">
            <w:pPr>
              <w:widowControl/>
              <w:spacing w:line="240" w:lineRule="auto"/>
              <w:jc w:val="center"/>
              <w:rPr>
                <w:rFonts w:ascii="Times New Roman" w:hAnsi="Times New Roman" w:cs="Times New Roman"/>
                <w:color w:val="000000"/>
                <w:kern w:val="0"/>
                <w:sz w:val="24"/>
                <w:szCs w:val="24"/>
              </w:rPr>
            </w:pPr>
            <w:r>
              <w:rPr>
                <w:rFonts w:hint="eastAsia" w:ascii="宋体" w:hAnsi="宋体" w:cs="Times New Roman"/>
                <w:color w:val="000000"/>
                <w:kern w:val="0"/>
                <w:sz w:val="24"/>
                <w:szCs w:val="24"/>
              </w:rPr>
              <w:t>项目数量（个）</w:t>
            </w:r>
          </w:p>
        </w:tc>
        <w:tc>
          <w:tcPr>
            <w:tcW w:w="1356" w:type="dxa"/>
            <w:tcBorders>
              <w:top w:val="nil"/>
              <w:left w:val="nil"/>
              <w:bottom w:val="single" w:color="auto" w:sz="4" w:space="0"/>
              <w:right w:val="single" w:color="auto" w:sz="4" w:space="0"/>
            </w:tcBorders>
            <w:vAlign w:val="center"/>
          </w:tcPr>
          <w:p w14:paraId="334D9BA6">
            <w:pPr>
              <w:widowControl/>
              <w:spacing w:line="240" w:lineRule="auto"/>
              <w:jc w:val="center"/>
              <w:rPr>
                <w:rFonts w:ascii="Times New Roman" w:hAnsi="Times New Roman" w:cs="Times New Roman"/>
                <w:color w:val="000000"/>
                <w:kern w:val="0"/>
                <w:sz w:val="24"/>
                <w:szCs w:val="24"/>
              </w:rPr>
            </w:pPr>
            <w:r>
              <w:rPr>
                <w:rFonts w:hint="eastAsia" w:ascii="宋体" w:hAnsi="宋体" w:cs="Times New Roman"/>
                <w:color w:val="000000"/>
                <w:kern w:val="0"/>
                <w:sz w:val="24"/>
                <w:szCs w:val="24"/>
              </w:rPr>
              <w:t>总投资（万元）</w:t>
            </w:r>
          </w:p>
        </w:tc>
        <w:tc>
          <w:tcPr>
            <w:tcW w:w="1900" w:type="dxa"/>
            <w:tcBorders>
              <w:top w:val="nil"/>
              <w:left w:val="nil"/>
              <w:bottom w:val="single" w:color="auto" w:sz="4" w:space="0"/>
              <w:right w:val="single" w:color="auto" w:sz="4" w:space="0"/>
            </w:tcBorders>
            <w:vAlign w:val="center"/>
          </w:tcPr>
          <w:p w14:paraId="4358F596">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w:t>
            </w:r>
            <w:r>
              <w:rPr>
                <w:rFonts w:hint="eastAsia" w:ascii="宋体" w:hAnsi="宋体" w:cs="Times New Roman"/>
                <w:color w:val="000000"/>
                <w:kern w:val="0"/>
                <w:sz w:val="24"/>
                <w:szCs w:val="24"/>
              </w:rPr>
              <w:t>十五五</w:t>
            </w:r>
            <w:r>
              <w:rPr>
                <w:rFonts w:ascii="Times New Roman" w:hAnsi="Times New Roman" w:cs="Times New Roman"/>
                <w:color w:val="000000"/>
                <w:kern w:val="0"/>
                <w:sz w:val="24"/>
                <w:szCs w:val="24"/>
              </w:rPr>
              <w:t>”</w:t>
            </w:r>
            <w:r>
              <w:rPr>
                <w:rFonts w:hint="eastAsia" w:ascii="宋体" w:hAnsi="宋体" w:cs="Times New Roman"/>
                <w:color w:val="000000"/>
                <w:kern w:val="0"/>
                <w:sz w:val="24"/>
                <w:szCs w:val="24"/>
              </w:rPr>
              <w:t>计划投资（万元）</w:t>
            </w:r>
          </w:p>
        </w:tc>
        <w:tc>
          <w:tcPr>
            <w:tcW w:w="1904" w:type="dxa"/>
            <w:tcBorders>
              <w:top w:val="nil"/>
              <w:left w:val="nil"/>
              <w:bottom w:val="single" w:color="auto" w:sz="4" w:space="0"/>
              <w:right w:val="single" w:color="auto" w:sz="4" w:space="0"/>
            </w:tcBorders>
            <w:vAlign w:val="center"/>
          </w:tcPr>
          <w:p w14:paraId="46D263DE">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w:t>
            </w:r>
            <w:r>
              <w:rPr>
                <w:rFonts w:hint="eastAsia" w:ascii="宋体" w:hAnsi="宋体" w:cs="Times New Roman"/>
                <w:color w:val="000000"/>
                <w:kern w:val="0"/>
                <w:sz w:val="24"/>
                <w:szCs w:val="24"/>
              </w:rPr>
              <w:t>十五五</w:t>
            </w:r>
            <w:r>
              <w:rPr>
                <w:rFonts w:ascii="Times New Roman" w:hAnsi="Times New Roman" w:cs="Times New Roman"/>
                <w:color w:val="000000"/>
                <w:kern w:val="0"/>
                <w:sz w:val="24"/>
                <w:szCs w:val="24"/>
              </w:rPr>
              <w:t>”</w:t>
            </w:r>
            <w:r>
              <w:rPr>
                <w:rFonts w:hint="eastAsia" w:ascii="宋体" w:hAnsi="宋体" w:cs="Times New Roman"/>
                <w:color w:val="000000"/>
                <w:kern w:val="0"/>
                <w:sz w:val="24"/>
                <w:szCs w:val="24"/>
              </w:rPr>
              <w:t>投资占比</w:t>
            </w:r>
          </w:p>
        </w:tc>
      </w:tr>
      <w:tr w14:paraId="3AE77376">
        <w:tblPrEx>
          <w:tblCellMar>
            <w:top w:w="0" w:type="dxa"/>
            <w:left w:w="108" w:type="dxa"/>
            <w:bottom w:w="0" w:type="dxa"/>
            <w:right w:w="108" w:type="dxa"/>
          </w:tblCellMar>
        </w:tblPrEx>
        <w:trPr>
          <w:trHeight w:val="540" w:hRule="atLeast"/>
        </w:trPr>
        <w:tc>
          <w:tcPr>
            <w:tcW w:w="2000" w:type="dxa"/>
            <w:tcBorders>
              <w:top w:val="nil"/>
              <w:left w:val="single" w:color="auto" w:sz="4" w:space="0"/>
              <w:bottom w:val="single" w:color="auto" w:sz="4" w:space="0"/>
              <w:right w:val="single" w:color="auto" w:sz="4" w:space="0"/>
            </w:tcBorders>
            <w:vAlign w:val="center"/>
          </w:tcPr>
          <w:p w14:paraId="1EC08C67">
            <w:pPr>
              <w:widowControl/>
              <w:spacing w:line="240" w:lineRule="auto"/>
              <w:jc w:val="center"/>
              <w:rPr>
                <w:rFonts w:ascii="Times New Roman" w:hAnsi="Times New Roman" w:cs="Times New Roman"/>
                <w:color w:val="000000"/>
                <w:kern w:val="0"/>
                <w:sz w:val="24"/>
                <w:szCs w:val="24"/>
              </w:rPr>
            </w:pPr>
            <w:r>
              <w:rPr>
                <w:rFonts w:hint="eastAsia" w:ascii="宋体" w:hAnsi="宋体" w:cs="Times New Roman"/>
                <w:color w:val="000000"/>
                <w:kern w:val="0"/>
                <w:sz w:val="24"/>
                <w:szCs w:val="24"/>
              </w:rPr>
              <w:t>合计</w:t>
            </w:r>
          </w:p>
        </w:tc>
        <w:tc>
          <w:tcPr>
            <w:tcW w:w="1400" w:type="dxa"/>
            <w:tcBorders>
              <w:top w:val="nil"/>
              <w:left w:val="nil"/>
              <w:bottom w:val="single" w:color="auto" w:sz="4" w:space="0"/>
              <w:right w:val="single" w:color="auto" w:sz="4" w:space="0"/>
            </w:tcBorders>
            <w:vAlign w:val="center"/>
          </w:tcPr>
          <w:p w14:paraId="5BD71598">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93</w:t>
            </w:r>
          </w:p>
        </w:tc>
        <w:tc>
          <w:tcPr>
            <w:tcW w:w="1356" w:type="dxa"/>
            <w:tcBorders>
              <w:top w:val="nil"/>
              <w:left w:val="nil"/>
              <w:bottom w:val="single" w:color="auto" w:sz="4" w:space="0"/>
              <w:right w:val="single" w:color="auto" w:sz="4" w:space="0"/>
            </w:tcBorders>
            <w:vAlign w:val="center"/>
          </w:tcPr>
          <w:p w14:paraId="656461AD">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1241734.96</w:t>
            </w:r>
          </w:p>
        </w:tc>
        <w:tc>
          <w:tcPr>
            <w:tcW w:w="1900" w:type="dxa"/>
            <w:tcBorders>
              <w:top w:val="nil"/>
              <w:left w:val="nil"/>
              <w:bottom w:val="single" w:color="auto" w:sz="4" w:space="0"/>
              <w:right w:val="single" w:color="auto" w:sz="4" w:space="0"/>
            </w:tcBorders>
            <w:vAlign w:val="center"/>
          </w:tcPr>
          <w:p w14:paraId="5704148B">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418841.46</w:t>
            </w:r>
          </w:p>
        </w:tc>
        <w:tc>
          <w:tcPr>
            <w:tcW w:w="1904" w:type="dxa"/>
            <w:tcBorders>
              <w:top w:val="nil"/>
              <w:left w:val="nil"/>
              <w:bottom w:val="single" w:color="auto" w:sz="4" w:space="0"/>
              <w:right w:val="single" w:color="auto" w:sz="4" w:space="0"/>
            </w:tcBorders>
            <w:vAlign w:val="center"/>
          </w:tcPr>
          <w:p w14:paraId="52950B83">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100.00%</w:t>
            </w:r>
          </w:p>
        </w:tc>
      </w:tr>
      <w:tr w14:paraId="0C838EA0">
        <w:tblPrEx>
          <w:tblCellMar>
            <w:top w:w="0" w:type="dxa"/>
            <w:left w:w="108" w:type="dxa"/>
            <w:bottom w:w="0" w:type="dxa"/>
            <w:right w:w="108" w:type="dxa"/>
          </w:tblCellMar>
        </w:tblPrEx>
        <w:trPr>
          <w:trHeight w:val="630" w:hRule="atLeast"/>
        </w:trPr>
        <w:tc>
          <w:tcPr>
            <w:tcW w:w="2000" w:type="dxa"/>
            <w:tcBorders>
              <w:top w:val="nil"/>
              <w:left w:val="single" w:color="auto" w:sz="4" w:space="0"/>
              <w:bottom w:val="single" w:color="auto" w:sz="4" w:space="0"/>
              <w:right w:val="single" w:color="auto" w:sz="4" w:space="0"/>
            </w:tcBorders>
            <w:vAlign w:val="center"/>
          </w:tcPr>
          <w:p w14:paraId="5C454BA9">
            <w:pPr>
              <w:widowControl/>
              <w:spacing w:line="240" w:lineRule="auto"/>
              <w:jc w:val="center"/>
              <w:rPr>
                <w:rFonts w:ascii="宋体" w:hAnsi="宋体" w:cs="Times New Roman"/>
                <w:color w:val="000000"/>
                <w:kern w:val="0"/>
                <w:sz w:val="24"/>
                <w:szCs w:val="24"/>
              </w:rPr>
            </w:pPr>
            <w:r>
              <w:rPr>
                <w:rFonts w:ascii="宋体" w:hAnsi="宋体" w:cs="Times New Roman"/>
                <w:color w:val="000000"/>
                <w:kern w:val="0"/>
                <w:sz w:val="24"/>
                <w:szCs w:val="24"/>
              </w:rPr>
              <w:t>防洪减灾提升工程</w:t>
            </w:r>
          </w:p>
        </w:tc>
        <w:tc>
          <w:tcPr>
            <w:tcW w:w="1400" w:type="dxa"/>
            <w:tcBorders>
              <w:top w:val="nil"/>
              <w:left w:val="nil"/>
              <w:bottom w:val="single" w:color="auto" w:sz="4" w:space="0"/>
              <w:right w:val="single" w:color="auto" w:sz="4" w:space="0"/>
            </w:tcBorders>
            <w:vAlign w:val="center"/>
          </w:tcPr>
          <w:p w14:paraId="69746B68">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55</w:t>
            </w:r>
          </w:p>
        </w:tc>
        <w:tc>
          <w:tcPr>
            <w:tcW w:w="1356" w:type="dxa"/>
            <w:tcBorders>
              <w:top w:val="nil"/>
              <w:left w:val="nil"/>
              <w:bottom w:val="single" w:color="auto" w:sz="4" w:space="0"/>
              <w:right w:val="single" w:color="auto" w:sz="4" w:space="0"/>
            </w:tcBorders>
            <w:vAlign w:val="center"/>
          </w:tcPr>
          <w:p w14:paraId="32496CE4">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359652</w:t>
            </w:r>
          </w:p>
        </w:tc>
        <w:tc>
          <w:tcPr>
            <w:tcW w:w="1900" w:type="dxa"/>
            <w:tcBorders>
              <w:top w:val="nil"/>
              <w:left w:val="nil"/>
              <w:bottom w:val="single" w:color="auto" w:sz="4" w:space="0"/>
              <w:right w:val="single" w:color="auto" w:sz="4" w:space="0"/>
            </w:tcBorders>
            <w:vAlign w:val="center"/>
          </w:tcPr>
          <w:p w14:paraId="45E34730">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184978</w:t>
            </w:r>
          </w:p>
        </w:tc>
        <w:tc>
          <w:tcPr>
            <w:tcW w:w="1904" w:type="dxa"/>
            <w:tcBorders>
              <w:top w:val="nil"/>
              <w:left w:val="nil"/>
              <w:bottom w:val="single" w:color="auto" w:sz="4" w:space="0"/>
              <w:right w:val="single" w:color="auto" w:sz="4" w:space="0"/>
            </w:tcBorders>
            <w:vAlign w:val="center"/>
          </w:tcPr>
          <w:p w14:paraId="3B2EC68B">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44.16%</w:t>
            </w:r>
          </w:p>
        </w:tc>
      </w:tr>
      <w:tr w14:paraId="188BD062">
        <w:tblPrEx>
          <w:tblCellMar>
            <w:top w:w="0" w:type="dxa"/>
            <w:left w:w="108" w:type="dxa"/>
            <w:bottom w:w="0" w:type="dxa"/>
            <w:right w:w="108" w:type="dxa"/>
          </w:tblCellMar>
        </w:tblPrEx>
        <w:trPr>
          <w:trHeight w:val="630" w:hRule="atLeast"/>
        </w:trPr>
        <w:tc>
          <w:tcPr>
            <w:tcW w:w="2000" w:type="dxa"/>
            <w:tcBorders>
              <w:top w:val="nil"/>
              <w:left w:val="single" w:color="auto" w:sz="4" w:space="0"/>
              <w:bottom w:val="single" w:color="auto" w:sz="4" w:space="0"/>
              <w:right w:val="single" w:color="auto" w:sz="4" w:space="0"/>
            </w:tcBorders>
            <w:vAlign w:val="center"/>
          </w:tcPr>
          <w:p w14:paraId="2E035895">
            <w:pPr>
              <w:widowControl/>
              <w:spacing w:line="240" w:lineRule="auto"/>
              <w:jc w:val="center"/>
              <w:rPr>
                <w:rFonts w:ascii="宋体" w:hAnsi="宋体" w:cs="Times New Roman"/>
                <w:color w:val="000000"/>
                <w:kern w:val="0"/>
                <w:sz w:val="24"/>
                <w:szCs w:val="24"/>
              </w:rPr>
            </w:pPr>
            <w:r>
              <w:rPr>
                <w:rFonts w:ascii="宋体" w:hAnsi="宋体" w:cs="Times New Roman"/>
                <w:color w:val="000000"/>
                <w:kern w:val="0"/>
                <w:sz w:val="24"/>
                <w:szCs w:val="24"/>
              </w:rPr>
              <w:t>水资源配置工程</w:t>
            </w:r>
          </w:p>
        </w:tc>
        <w:tc>
          <w:tcPr>
            <w:tcW w:w="1400" w:type="dxa"/>
            <w:tcBorders>
              <w:top w:val="nil"/>
              <w:left w:val="nil"/>
              <w:bottom w:val="single" w:color="auto" w:sz="4" w:space="0"/>
              <w:right w:val="single" w:color="auto" w:sz="4" w:space="0"/>
            </w:tcBorders>
            <w:vAlign w:val="center"/>
          </w:tcPr>
          <w:p w14:paraId="516A1868">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20</w:t>
            </w:r>
          </w:p>
        </w:tc>
        <w:tc>
          <w:tcPr>
            <w:tcW w:w="1356" w:type="dxa"/>
            <w:tcBorders>
              <w:top w:val="nil"/>
              <w:left w:val="nil"/>
              <w:bottom w:val="single" w:color="auto" w:sz="4" w:space="0"/>
              <w:right w:val="single" w:color="auto" w:sz="4" w:space="0"/>
            </w:tcBorders>
            <w:vAlign w:val="center"/>
          </w:tcPr>
          <w:p w14:paraId="6E37242C">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698437</w:t>
            </w:r>
          </w:p>
        </w:tc>
        <w:tc>
          <w:tcPr>
            <w:tcW w:w="1900" w:type="dxa"/>
            <w:tcBorders>
              <w:top w:val="nil"/>
              <w:left w:val="nil"/>
              <w:bottom w:val="single" w:color="auto" w:sz="4" w:space="0"/>
              <w:right w:val="single" w:color="auto" w:sz="4" w:space="0"/>
            </w:tcBorders>
            <w:vAlign w:val="center"/>
          </w:tcPr>
          <w:p w14:paraId="54739662">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176239</w:t>
            </w:r>
          </w:p>
        </w:tc>
        <w:tc>
          <w:tcPr>
            <w:tcW w:w="1904" w:type="dxa"/>
            <w:tcBorders>
              <w:top w:val="nil"/>
              <w:left w:val="nil"/>
              <w:bottom w:val="single" w:color="auto" w:sz="4" w:space="0"/>
              <w:right w:val="single" w:color="auto" w:sz="4" w:space="0"/>
            </w:tcBorders>
            <w:vAlign w:val="center"/>
          </w:tcPr>
          <w:p w14:paraId="715D04BE">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42.08%</w:t>
            </w:r>
          </w:p>
        </w:tc>
      </w:tr>
      <w:tr w14:paraId="2FF5DD42">
        <w:tblPrEx>
          <w:tblCellMar>
            <w:top w:w="0" w:type="dxa"/>
            <w:left w:w="108" w:type="dxa"/>
            <w:bottom w:w="0" w:type="dxa"/>
            <w:right w:w="108" w:type="dxa"/>
          </w:tblCellMar>
        </w:tblPrEx>
        <w:trPr>
          <w:trHeight w:val="630" w:hRule="atLeast"/>
        </w:trPr>
        <w:tc>
          <w:tcPr>
            <w:tcW w:w="2000" w:type="dxa"/>
            <w:tcBorders>
              <w:top w:val="nil"/>
              <w:left w:val="single" w:color="auto" w:sz="4" w:space="0"/>
              <w:bottom w:val="single" w:color="auto" w:sz="4" w:space="0"/>
              <w:right w:val="single" w:color="auto" w:sz="4" w:space="0"/>
            </w:tcBorders>
            <w:vAlign w:val="center"/>
          </w:tcPr>
          <w:p w14:paraId="46C5EDAF">
            <w:pPr>
              <w:widowControl/>
              <w:spacing w:line="240" w:lineRule="auto"/>
              <w:jc w:val="center"/>
              <w:rPr>
                <w:rFonts w:ascii="宋体" w:hAnsi="宋体" w:cs="Times New Roman"/>
                <w:color w:val="000000"/>
                <w:kern w:val="0"/>
                <w:sz w:val="24"/>
                <w:szCs w:val="24"/>
              </w:rPr>
            </w:pPr>
            <w:r>
              <w:rPr>
                <w:rFonts w:ascii="宋体" w:hAnsi="宋体" w:cs="Times New Roman"/>
                <w:color w:val="000000"/>
                <w:kern w:val="0"/>
                <w:sz w:val="24"/>
                <w:szCs w:val="24"/>
              </w:rPr>
              <w:t>水生态保护修复工程</w:t>
            </w:r>
          </w:p>
        </w:tc>
        <w:tc>
          <w:tcPr>
            <w:tcW w:w="1400" w:type="dxa"/>
            <w:tcBorders>
              <w:top w:val="nil"/>
              <w:left w:val="nil"/>
              <w:bottom w:val="single" w:color="auto" w:sz="4" w:space="0"/>
              <w:right w:val="single" w:color="auto" w:sz="4" w:space="0"/>
            </w:tcBorders>
            <w:vAlign w:val="center"/>
          </w:tcPr>
          <w:p w14:paraId="323C2140">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p>
        </w:tc>
        <w:tc>
          <w:tcPr>
            <w:tcW w:w="1356" w:type="dxa"/>
            <w:tcBorders>
              <w:top w:val="nil"/>
              <w:left w:val="nil"/>
              <w:bottom w:val="single" w:color="auto" w:sz="4" w:space="0"/>
              <w:right w:val="single" w:color="auto" w:sz="4" w:space="0"/>
            </w:tcBorders>
            <w:vAlign w:val="center"/>
          </w:tcPr>
          <w:p w14:paraId="47D46373">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63640</w:t>
            </w:r>
          </w:p>
        </w:tc>
        <w:tc>
          <w:tcPr>
            <w:tcW w:w="1900" w:type="dxa"/>
            <w:tcBorders>
              <w:top w:val="nil"/>
              <w:left w:val="nil"/>
              <w:bottom w:val="single" w:color="auto" w:sz="4" w:space="0"/>
              <w:right w:val="single" w:color="auto" w:sz="4" w:space="0"/>
            </w:tcBorders>
            <w:vAlign w:val="center"/>
          </w:tcPr>
          <w:p w14:paraId="39F80C64">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29440</w:t>
            </w:r>
          </w:p>
        </w:tc>
        <w:tc>
          <w:tcPr>
            <w:tcW w:w="1904" w:type="dxa"/>
            <w:tcBorders>
              <w:top w:val="nil"/>
              <w:left w:val="nil"/>
              <w:bottom w:val="single" w:color="auto" w:sz="4" w:space="0"/>
              <w:right w:val="single" w:color="auto" w:sz="4" w:space="0"/>
            </w:tcBorders>
            <w:vAlign w:val="center"/>
          </w:tcPr>
          <w:p w14:paraId="7C003B74">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7.03%</w:t>
            </w:r>
          </w:p>
        </w:tc>
      </w:tr>
      <w:tr w14:paraId="7A53D835">
        <w:tblPrEx>
          <w:tblCellMar>
            <w:top w:w="0" w:type="dxa"/>
            <w:left w:w="108" w:type="dxa"/>
            <w:bottom w:w="0" w:type="dxa"/>
            <w:right w:w="108" w:type="dxa"/>
          </w:tblCellMar>
        </w:tblPrEx>
        <w:trPr>
          <w:trHeight w:val="630" w:hRule="atLeast"/>
        </w:trPr>
        <w:tc>
          <w:tcPr>
            <w:tcW w:w="2000" w:type="dxa"/>
            <w:tcBorders>
              <w:top w:val="nil"/>
              <w:left w:val="single" w:color="auto" w:sz="4" w:space="0"/>
              <w:bottom w:val="single" w:color="auto" w:sz="4" w:space="0"/>
              <w:right w:val="single" w:color="auto" w:sz="4" w:space="0"/>
            </w:tcBorders>
            <w:vAlign w:val="center"/>
          </w:tcPr>
          <w:p w14:paraId="0635FA3B">
            <w:pPr>
              <w:widowControl/>
              <w:spacing w:line="240" w:lineRule="auto"/>
              <w:jc w:val="center"/>
              <w:rPr>
                <w:rFonts w:ascii="宋体" w:hAnsi="宋体" w:cs="Times New Roman"/>
                <w:color w:val="000000"/>
                <w:kern w:val="0"/>
                <w:sz w:val="24"/>
                <w:szCs w:val="24"/>
              </w:rPr>
            </w:pPr>
            <w:r>
              <w:rPr>
                <w:rFonts w:ascii="宋体" w:hAnsi="宋体" w:cs="Times New Roman"/>
                <w:color w:val="000000"/>
                <w:kern w:val="0"/>
                <w:sz w:val="24"/>
                <w:szCs w:val="24"/>
              </w:rPr>
              <w:t>幸福河湖建设工程</w:t>
            </w:r>
          </w:p>
        </w:tc>
        <w:tc>
          <w:tcPr>
            <w:tcW w:w="1400" w:type="dxa"/>
            <w:tcBorders>
              <w:top w:val="nil"/>
              <w:left w:val="nil"/>
              <w:bottom w:val="single" w:color="auto" w:sz="4" w:space="0"/>
              <w:right w:val="single" w:color="auto" w:sz="4" w:space="0"/>
            </w:tcBorders>
            <w:vAlign w:val="center"/>
          </w:tcPr>
          <w:p w14:paraId="5FCD6753">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p>
        </w:tc>
        <w:tc>
          <w:tcPr>
            <w:tcW w:w="1356" w:type="dxa"/>
            <w:tcBorders>
              <w:top w:val="nil"/>
              <w:left w:val="nil"/>
              <w:bottom w:val="single" w:color="auto" w:sz="4" w:space="0"/>
              <w:right w:val="single" w:color="auto" w:sz="4" w:space="0"/>
            </w:tcBorders>
            <w:vAlign w:val="center"/>
          </w:tcPr>
          <w:p w14:paraId="6601B657">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103588</w:t>
            </w:r>
          </w:p>
        </w:tc>
        <w:tc>
          <w:tcPr>
            <w:tcW w:w="1900" w:type="dxa"/>
            <w:tcBorders>
              <w:top w:val="nil"/>
              <w:left w:val="nil"/>
              <w:bottom w:val="single" w:color="auto" w:sz="4" w:space="0"/>
              <w:right w:val="single" w:color="auto" w:sz="4" w:space="0"/>
            </w:tcBorders>
            <w:vAlign w:val="center"/>
          </w:tcPr>
          <w:p w14:paraId="6ABD039D">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22438</w:t>
            </w:r>
          </w:p>
        </w:tc>
        <w:tc>
          <w:tcPr>
            <w:tcW w:w="1904" w:type="dxa"/>
            <w:tcBorders>
              <w:top w:val="nil"/>
              <w:left w:val="nil"/>
              <w:bottom w:val="single" w:color="auto" w:sz="4" w:space="0"/>
              <w:right w:val="single" w:color="auto" w:sz="4" w:space="0"/>
            </w:tcBorders>
            <w:vAlign w:val="center"/>
          </w:tcPr>
          <w:p w14:paraId="7040A055">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5.36%</w:t>
            </w:r>
          </w:p>
        </w:tc>
      </w:tr>
      <w:tr w14:paraId="34085262">
        <w:tblPrEx>
          <w:tblCellMar>
            <w:top w:w="0" w:type="dxa"/>
            <w:left w:w="108" w:type="dxa"/>
            <w:bottom w:w="0" w:type="dxa"/>
            <w:right w:w="108" w:type="dxa"/>
          </w:tblCellMar>
        </w:tblPrEx>
        <w:trPr>
          <w:trHeight w:val="684" w:hRule="atLeast"/>
        </w:trPr>
        <w:tc>
          <w:tcPr>
            <w:tcW w:w="2000" w:type="dxa"/>
            <w:tcBorders>
              <w:top w:val="nil"/>
              <w:left w:val="single" w:color="auto" w:sz="4" w:space="0"/>
              <w:bottom w:val="single" w:color="auto" w:sz="4" w:space="0"/>
              <w:right w:val="single" w:color="auto" w:sz="4" w:space="0"/>
            </w:tcBorders>
            <w:noWrap/>
            <w:vAlign w:val="center"/>
          </w:tcPr>
          <w:p w14:paraId="7D9A68DA">
            <w:pPr>
              <w:widowControl/>
              <w:spacing w:line="240" w:lineRule="auto"/>
              <w:jc w:val="center"/>
              <w:rPr>
                <w:rFonts w:ascii="宋体" w:hAnsi="宋体" w:cs="Times New Roman"/>
                <w:color w:val="000000"/>
                <w:kern w:val="0"/>
                <w:sz w:val="24"/>
                <w:szCs w:val="24"/>
              </w:rPr>
            </w:pPr>
            <w:r>
              <w:rPr>
                <w:rFonts w:ascii="宋体" w:hAnsi="宋体" w:cs="Times New Roman"/>
                <w:color w:val="000000"/>
                <w:kern w:val="0"/>
                <w:sz w:val="24"/>
                <w:szCs w:val="24"/>
              </w:rPr>
              <w:t>数字孪生水利工程</w:t>
            </w:r>
          </w:p>
        </w:tc>
        <w:tc>
          <w:tcPr>
            <w:tcW w:w="1400" w:type="dxa"/>
            <w:tcBorders>
              <w:top w:val="nil"/>
              <w:left w:val="nil"/>
              <w:bottom w:val="single" w:color="auto" w:sz="4" w:space="0"/>
              <w:right w:val="single" w:color="auto" w:sz="4" w:space="0"/>
            </w:tcBorders>
            <w:noWrap/>
            <w:vAlign w:val="center"/>
          </w:tcPr>
          <w:p w14:paraId="27B58049">
            <w:pPr>
              <w:widowControl/>
              <w:spacing w:line="240" w:lineRule="auto"/>
              <w:jc w:val="center"/>
              <w:rPr>
                <w:rFonts w:ascii="Times New Roman" w:hAnsi="Times New Roman" w:cs="Times New Roman"/>
                <w:color w:val="000000"/>
                <w:kern w:val="0"/>
                <w:sz w:val="22"/>
              </w:rPr>
            </w:pPr>
            <w:r>
              <w:rPr>
                <w:rFonts w:ascii="Times New Roman" w:hAnsi="Times New Roman" w:cs="Times New Roman"/>
                <w:color w:val="000000"/>
                <w:kern w:val="0"/>
                <w:sz w:val="22"/>
              </w:rPr>
              <w:t>1</w:t>
            </w:r>
          </w:p>
        </w:tc>
        <w:tc>
          <w:tcPr>
            <w:tcW w:w="1356" w:type="dxa"/>
            <w:tcBorders>
              <w:top w:val="nil"/>
              <w:left w:val="nil"/>
              <w:bottom w:val="single" w:color="auto" w:sz="4" w:space="0"/>
              <w:right w:val="single" w:color="auto" w:sz="4" w:space="0"/>
            </w:tcBorders>
            <w:noWrap/>
            <w:vAlign w:val="center"/>
          </w:tcPr>
          <w:p w14:paraId="79074B8E">
            <w:pPr>
              <w:widowControl/>
              <w:spacing w:line="240" w:lineRule="auto"/>
              <w:jc w:val="center"/>
              <w:rPr>
                <w:rFonts w:ascii="Times New Roman" w:hAnsi="Times New Roman" w:cs="Times New Roman"/>
                <w:color w:val="000000"/>
                <w:kern w:val="0"/>
                <w:sz w:val="22"/>
              </w:rPr>
            </w:pPr>
            <w:r>
              <w:rPr>
                <w:rFonts w:ascii="Times New Roman" w:hAnsi="Times New Roman" w:cs="Times New Roman"/>
                <w:color w:val="000000"/>
                <w:kern w:val="0"/>
                <w:sz w:val="22"/>
              </w:rPr>
              <w:t>16418</w:t>
            </w:r>
          </w:p>
        </w:tc>
        <w:tc>
          <w:tcPr>
            <w:tcW w:w="1900" w:type="dxa"/>
            <w:tcBorders>
              <w:top w:val="nil"/>
              <w:left w:val="nil"/>
              <w:bottom w:val="single" w:color="auto" w:sz="4" w:space="0"/>
              <w:right w:val="single" w:color="auto" w:sz="4" w:space="0"/>
            </w:tcBorders>
            <w:noWrap/>
            <w:vAlign w:val="center"/>
          </w:tcPr>
          <w:p w14:paraId="27EA7B07">
            <w:pPr>
              <w:widowControl/>
              <w:spacing w:line="240" w:lineRule="auto"/>
              <w:jc w:val="center"/>
              <w:rPr>
                <w:rFonts w:ascii="Times New Roman" w:hAnsi="Times New Roman" w:cs="Times New Roman"/>
                <w:color w:val="000000"/>
                <w:kern w:val="0"/>
                <w:sz w:val="22"/>
              </w:rPr>
            </w:pPr>
            <w:r>
              <w:rPr>
                <w:rFonts w:ascii="Times New Roman" w:hAnsi="Times New Roman" w:cs="Times New Roman"/>
                <w:color w:val="000000"/>
                <w:kern w:val="0"/>
                <w:sz w:val="22"/>
              </w:rPr>
              <w:t>5746.3</w:t>
            </w:r>
          </w:p>
        </w:tc>
        <w:tc>
          <w:tcPr>
            <w:tcW w:w="1904" w:type="dxa"/>
            <w:tcBorders>
              <w:top w:val="nil"/>
              <w:left w:val="nil"/>
              <w:bottom w:val="single" w:color="auto" w:sz="4" w:space="0"/>
              <w:right w:val="single" w:color="auto" w:sz="4" w:space="0"/>
            </w:tcBorders>
            <w:vAlign w:val="center"/>
          </w:tcPr>
          <w:p w14:paraId="697E7982">
            <w:pPr>
              <w:widowControl/>
              <w:spacing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1.37%</w:t>
            </w:r>
          </w:p>
        </w:tc>
      </w:tr>
    </w:tbl>
    <w:p w14:paraId="5366E909">
      <w:pPr>
        <w:ind w:firstLine="565" w:firstLineChars="202"/>
        <w:rPr>
          <w:rFonts w:ascii="宋体" w:hAnsi="宋体"/>
        </w:rPr>
      </w:pPr>
    </w:p>
    <w:p w14:paraId="7EC26BDA">
      <w:pPr>
        <w:pStyle w:val="3"/>
        <w:numPr>
          <w:ilvl w:val="1"/>
          <w:numId w:val="2"/>
        </w:numPr>
        <w:rPr>
          <w:rFonts w:ascii="宋体" w:hAnsi="宋体"/>
          <w:color w:val="auto"/>
        </w:rPr>
      </w:pPr>
      <w:bookmarkStart w:id="69" w:name="_Toc216791721"/>
      <w:r>
        <w:rPr>
          <w:rFonts w:hint="eastAsia" w:ascii="宋体" w:hAnsi="宋体"/>
          <w:color w:val="auto"/>
        </w:rPr>
        <w:t>资金筹措</w:t>
      </w:r>
      <w:bookmarkEnd w:id="69"/>
    </w:p>
    <w:p w14:paraId="5A4B0A7C">
      <w:pPr>
        <w:ind w:firstLine="565" w:firstLineChars="202"/>
        <w:rPr>
          <w:rFonts w:ascii="宋体" w:hAnsi="宋体"/>
        </w:rPr>
      </w:pPr>
      <w:r>
        <w:rPr>
          <w:rFonts w:hint="eastAsia" w:ascii="宋体" w:hAnsi="宋体"/>
        </w:rPr>
        <w:t>为确保本规划目标顺利实现，并着力构建具有长汀特色、</w:t>
      </w:r>
      <w:r>
        <w:rPr>
          <w:rFonts w:ascii="宋体" w:hAnsi="宋体"/>
        </w:rPr>
        <w:t>可复制推广的水利长效管理机制，为全国水利领域深化改革提供“</w:t>
      </w:r>
      <w:r>
        <w:rPr>
          <w:rFonts w:hint="eastAsia" w:ascii="宋体" w:hAnsi="宋体"/>
        </w:rPr>
        <w:t>长汀</w:t>
      </w:r>
      <w:r>
        <w:rPr>
          <w:rFonts w:ascii="宋体" w:hAnsi="宋体"/>
        </w:rPr>
        <w:t>经验”，从政策支撑、空间保障、资金筹措、人才引育、技术攻关等维度，提出具有指导性和可操作性的落地举措。</w:t>
      </w:r>
    </w:p>
    <w:p w14:paraId="0BDE1BE7">
      <w:pPr>
        <w:ind w:firstLine="565" w:firstLineChars="202"/>
        <w:rPr>
          <w:rFonts w:ascii="宋体" w:hAnsi="宋体"/>
        </w:rPr>
      </w:pPr>
      <w:r>
        <w:rPr>
          <w:rFonts w:hint="eastAsia" w:ascii="宋体" w:hAnsi="宋体"/>
        </w:rPr>
        <w:t>探索“政策性资金</w:t>
      </w:r>
      <w:r>
        <w:rPr>
          <w:rFonts w:ascii="宋体" w:hAnsi="宋体"/>
        </w:rPr>
        <w:t>+地方财政+社会资本”多元资金筹措渠道，针对政策支持的重大项目和民生项目可申请国债、中央预算内资金、中央水利发展资金、国开行新型金融工具、农发行基础设施基金等资金支持，其他公益类项目可与有收益的项目打包申请专项债、政策性银行贷款的资金支持。</w:t>
      </w:r>
    </w:p>
    <w:p w14:paraId="4918F7C5">
      <w:pPr>
        <w:ind w:firstLine="565" w:firstLineChars="202"/>
        <w:rPr>
          <w:rFonts w:ascii="宋体" w:hAnsi="宋体"/>
        </w:rPr>
      </w:pPr>
      <w:r>
        <w:rPr>
          <w:rFonts w:hint="eastAsia" w:ascii="宋体" w:hAnsi="宋体"/>
        </w:rPr>
        <w:t>建设期可通过投资人</w:t>
      </w:r>
      <w:r>
        <w:rPr>
          <w:rFonts w:ascii="宋体" w:hAnsi="宋体"/>
        </w:rPr>
        <w:t>+EPC+O、特许经营、ABO等模式吸引社会资本参与投资建设。运营期可通过Reits、ABS等金融工具回笼下一期开发建设资金，形成“建设—运营—盘活</w:t>
      </w:r>
      <w:r>
        <w:rPr>
          <w:rFonts w:hint="eastAsia" w:ascii="宋体" w:hAnsi="宋体"/>
        </w:rPr>
        <w:t>—再投资”的良性循环。</w:t>
      </w:r>
      <w:r>
        <w:rPr>
          <w:rFonts w:ascii="宋体" w:hAnsi="宋体"/>
        </w:rPr>
        <w:t>同时，进一步推进水生态价值交易转换机制，通过市场</w:t>
      </w:r>
      <w:r>
        <w:rPr>
          <w:rFonts w:hint="eastAsia" w:ascii="宋体" w:hAnsi="宋体"/>
        </w:rPr>
        <w:t>化路径激活水生态资源的经济属性，形成稳定的资金补充渠</w:t>
      </w:r>
      <w:r>
        <w:rPr>
          <w:rFonts w:ascii="宋体" w:hAnsi="宋体"/>
        </w:rPr>
        <w:t>道。可依托区域水生态优势，开展如排污权交易、水权交易、生态产品市场化经营（如基于流域生态保护的碳汇交易、生态旅游特许经营等），将水生态系统的调节、供给、文化等价值转化为可量化的经济收益，构建“生态保护—价值变现</w:t>
      </w:r>
      <w:r>
        <w:rPr>
          <w:rFonts w:hint="eastAsia" w:ascii="宋体" w:hAnsi="宋体"/>
        </w:rPr>
        <w:t>—资金反哺”的良性循环。将通过水生态价值交易获得的资</w:t>
      </w:r>
      <w:r>
        <w:rPr>
          <w:rFonts w:ascii="宋体" w:hAnsi="宋体"/>
        </w:rPr>
        <w:t>金，定向用于水利工程治理领域，重点支持入库河流污染治理、库周生态修复、水利设施运维升级等工作，既为水生态保护提供了可持续的资金保障，也进一步夯实了水利工程治理的物质基础，实现水生态保护与水利工程建设的协同推进。</w:t>
      </w:r>
    </w:p>
    <w:p w14:paraId="16D73113">
      <w:pPr>
        <w:ind w:firstLine="565" w:firstLineChars="202"/>
        <w:rPr>
          <w:rFonts w:ascii="宋体" w:hAnsi="宋体"/>
        </w:rPr>
      </w:pPr>
    </w:p>
    <w:p w14:paraId="1FD8FFCE">
      <w:pPr>
        <w:ind w:firstLine="565" w:firstLineChars="202"/>
        <w:rPr>
          <w:rFonts w:ascii="宋体" w:hAnsi="宋体"/>
        </w:rPr>
      </w:pPr>
    </w:p>
    <w:p w14:paraId="68644DEC">
      <w:pPr>
        <w:ind w:firstLine="565" w:firstLineChars="202"/>
        <w:rPr>
          <w:rFonts w:ascii="宋体" w:hAnsi="宋体"/>
        </w:rPr>
      </w:pPr>
    </w:p>
    <w:p w14:paraId="115361E7">
      <w:pPr>
        <w:ind w:firstLine="565" w:firstLineChars="202"/>
        <w:rPr>
          <w:rFonts w:ascii="宋体" w:hAnsi="宋体"/>
        </w:rPr>
        <w:sectPr>
          <w:pgSz w:w="11906" w:h="16838"/>
          <w:pgMar w:top="1440" w:right="1800" w:bottom="1440" w:left="1800" w:header="851" w:footer="992" w:gutter="0"/>
          <w:cols w:space="425" w:num="1"/>
          <w:docGrid w:type="lines" w:linePitch="312" w:charSpace="0"/>
        </w:sectPr>
      </w:pPr>
    </w:p>
    <w:p w14:paraId="6252F9A3">
      <w:pPr>
        <w:pStyle w:val="2"/>
        <w:numPr>
          <w:ilvl w:val="0"/>
          <w:numId w:val="2"/>
        </w:numPr>
        <w:jc w:val="center"/>
        <w:rPr>
          <w:rFonts w:ascii="宋体" w:hAnsi="宋体"/>
          <w:b/>
          <w:bCs/>
          <w:color w:val="auto"/>
        </w:rPr>
      </w:pPr>
      <w:bookmarkStart w:id="70" w:name="_Toc216791722"/>
      <w:r>
        <w:rPr>
          <w:rFonts w:hint="eastAsia" w:ascii="宋体" w:hAnsi="宋体"/>
          <w:b/>
          <w:bCs/>
          <w:color w:val="auto"/>
        </w:rPr>
        <w:t>实施保障</w:t>
      </w:r>
      <w:bookmarkEnd w:id="70"/>
    </w:p>
    <w:p w14:paraId="3F5A1183">
      <w:pPr>
        <w:pStyle w:val="3"/>
        <w:numPr>
          <w:ilvl w:val="1"/>
          <w:numId w:val="2"/>
        </w:numPr>
        <w:rPr>
          <w:rFonts w:ascii="宋体" w:hAnsi="宋体"/>
          <w:color w:val="auto"/>
        </w:rPr>
      </w:pPr>
      <w:bookmarkStart w:id="71" w:name="_Toc216791723"/>
      <w:r>
        <w:rPr>
          <w:rFonts w:hint="eastAsia" w:ascii="宋体" w:hAnsi="宋体"/>
          <w:color w:val="auto"/>
        </w:rPr>
        <w:t>加强组织实施</w:t>
      </w:r>
      <w:bookmarkEnd w:id="71"/>
    </w:p>
    <w:p w14:paraId="0D069B06">
      <w:pPr>
        <w:ind w:firstLine="565" w:firstLineChars="202"/>
        <w:rPr>
          <w:rFonts w:ascii="宋体" w:hAnsi="宋体"/>
        </w:rPr>
      </w:pPr>
      <w:r>
        <w:rPr>
          <w:rFonts w:hint="eastAsia" w:ascii="宋体" w:hAnsi="宋体"/>
        </w:rPr>
        <w:t>坚持党的全面领导，充分发挥党在规划实施过程中总揽</w:t>
      </w:r>
      <w:r>
        <w:rPr>
          <w:rFonts w:ascii="宋体" w:hAnsi="宋体"/>
        </w:rPr>
        <w:t>全局、协调各方的作用，凝聚水利改革发展的强大合力。明确各部门责任主体，积极探索/创新</w:t>
      </w:r>
      <w:r>
        <w:rPr>
          <w:rFonts w:hint="eastAsia" w:ascii="宋体" w:hAnsi="宋体"/>
        </w:rPr>
        <w:t>长汀</w:t>
      </w:r>
      <w:r>
        <w:rPr>
          <w:rFonts w:ascii="宋体" w:hAnsi="宋体"/>
        </w:rPr>
        <w:t>水利管理方案，横向体系、纵向体系部门之间的协同管理等。</w:t>
      </w:r>
    </w:p>
    <w:p w14:paraId="34D57669">
      <w:pPr>
        <w:pStyle w:val="3"/>
        <w:numPr>
          <w:ilvl w:val="1"/>
          <w:numId w:val="2"/>
        </w:numPr>
        <w:rPr>
          <w:rFonts w:ascii="宋体" w:hAnsi="宋体"/>
          <w:color w:val="auto"/>
        </w:rPr>
      </w:pPr>
      <w:bookmarkStart w:id="72" w:name="_Toc216791724"/>
      <w:r>
        <w:rPr>
          <w:rFonts w:hint="eastAsia" w:ascii="宋体" w:hAnsi="宋体"/>
          <w:color w:val="auto"/>
        </w:rPr>
        <w:t>加强监督评估</w:t>
      </w:r>
      <w:bookmarkEnd w:id="72"/>
    </w:p>
    <w:p w14:paraId="4D45806E">
      <w:pPr>
        <w:ind w:firstLine="565" w:firstLineChars="202"/>
        <w:rPr>
          <w:rFonts w:ascii="宋体" w:hAnsi="宋体"/>
        </w:rPr>
      </w:pPr>
      <w:r>
        <w:rPr>
          <w:rFonts w:hint="eastAsia" w:ascii="宋体" w:hAnsi="宋体"/>
        </w:rPr>
        <w:t>加强对规划实施成效的评价，项目动态监管等，项目的</w:t>
      </w:r>
      <w:r>
        <w:rPr>
          <w:rFonts w:ascii="宋体" w:hAnsi="宋体"/>
        </w:rPr>
        <w:t>立项、审批、核准、建设等各个阶段流程都要加强监管和评估，建立基于人工智能的环境、社会和治理（ESG）动态评价管理体系等。</w:t>
      </w:r>
    </w:p>
    <w:p w14:paraId="4AEA667D">
      <w:pPr>
        <w:pStyle w:val="3"/>
        <w:numPr>
          <w:ilvl w:val="1"/>
          <w:numId w:val="2"/>
        </w:numPr>
        <w:rPr>
          <w:rFonts w:ascii="宋体" w:hAnsi="宋体"/>
          <w:color w:val="auto"/>
        </w:rPr>
      </w:pPr>
      <w:bookmarkStart w:id="73" w:name="_Toc216791725"/>
      <w:r>
        <w:rPr>
          <w:rFonts w:hint="eastAsia" w:ascii="宋体" w:hAnsi="宋体"/>
          <w:color w:val="auto"/>
        </w:rPr>
        <w:t>加强要素保障</w:t>
      </w:r>
      <w:bookmarkEnd w:id="73"/>
    </w:p>
    <w:p w14:paraId="3C482D90">
      <w:pPr>
        <w:ind w:firstLine="565" w:firstLineChars="202"/>
        <w:rPr>
          <w:rFonts w:ascii="宋体" w:hAnsi="宋体"/>
        </w:rPr>
      </w:pPr>
      <w:r>
        <w:rPr>
          <w:rFonts w:hint="eastAsia" w:ascii="宋体" w:hAnsi="宋体"/>
        </w:rPr>
        <w:t>创新拓宽投融资渠道，建立健全水利发展投融资保障机</w:t>
      </w:r>
      <w:r>
        <w:rPr>
          <w:rFonts w:ascii="宋体" w:hAnsi="宋体"/>
        </w:rPr>
        <w:t>制。积极争取国家、中央及省市级专项资金、专项债对</w:t>
      </w:r>
      <w:r>
        <w:rPr>
          <w:rFonts w:hint="eastAsia" w:ascii="宋体" w:hAnsi="宋体"/>
        </w:rPr>
        <w:t>长汀</w:t>
      </w:r>
      <w:r>
        <w:rPr>
          <w:rFonts w:ascii="宋体" w:hAnsi="宋体"/>
        </w:rPr>
        <w:t>重点水利项目的优先支持。并将“十五五”规划资金纳入财政预算专项安排，积极吸引社会资本深度参与水利工程的投资、建设、管理和运维。加大对重点水安全保障工程、水资源配置工程、水生态水环境、智慧水、水文化和水经济等所需的建设用地、资金等指标支持，建立审批绿色通道，确保项目高效落地。</w:t>
      </w:r>
    </w:p>
    <w:p w14:paraId="5450C53F">
      <w:pPr>
        <w:ind w:firstLine="565" w:firstLineChars="202"/>
        <w:rPr>
          <w:rFonts w:ascii="宋体" w:hAnsi="宋体"/>
        </w:rPr>
      </w:pPr>
    </w:p>
    <w:p w14:paraId="14551B00">
      <w:pPr>
        <w:ind w:firstLine="565" w:firstLineChars="202"/>
        <w:rPr>
          <w:rFonts w:ascii="宋体" w:hAnsi="宋体"/>
        </w:rPr>
      </w:pPr>
    </w:p>
    <w:p w14:paraId="425A10A1">
      <w:pPr>
        <w:ind w:firstLine="565" w:firstLineChars="202"/>
        <w:rPr>
          <w:rFonts w:ascii="宋体" w:hAnsi="宋体"/>
        </w:rPr>
      </w:pPr>
    </w:p>
    <w:p w14:paraId="7AB6AC91">
      <w:pPr>
        <w:ind w:firstLine="565" w:firstLineChars="202"/>
        <w:rPr>
          <w:rFonts w:ascii="宋体" w:hAnsi="宋体"/>
        </w:rPr>
        <w:sectPr>
          <w:pgSz w:w="11906" w:h="16838"/>
          <w:pgMar w:top="1440" w:right="1800" w:bottom="1440" w:left="1800" w:header="851" w:footer="992" w:gutter="0"/>
          <w:cols w:space="425" w:num="1"/>
          <w:docGrid w:type="lines" w:linePitch="312" w:charSpace="0"/>
        </w:sectPr>
      </w:pPr>
    </w:p>
    <w:p w14:paraId="0F975005">
      <w:pPr>
        <w:pStyle w:val="2"/>
      </w:pPr>
      <w:bookmarkStart w:id="74" w:name="_Toc216791726"/>
      <w:r>
        <w:rPr>
          <w:rFonts w:hint="eastAsia"/>
        </w:rPr>
        <w:t>附表</w:t>
      </w:r>
      <w:bookmarkEnd w:id="74"/>
    </w:p>
    <w:p w14:paraId="126F93CC">
      <w:pPr>
        <w:pStyle w:val="3"/>
      </w:pPr>
      <w:bookmarkStart w:id="75" w:name="_Toc216791727"/>
      <w:r>
        <w:rPr>
          <w:rFonts w:hint="eastAsia"/>
        </w:rPr>
        <w:t>长汀县“十五五”水安全保障及远景规划项目库</w:t>
      </w:r>
      <w:bookmarkEnd w:id="75"/>
    </w:p>
    <w:tbl>
      <w:tblPr>
        <w:tblStyle w:val="30"/>
        <w:tblW w:w="0" w:type="auto"/>
        <w:tblInd w:w="-5" w:type="dxa"/>
        <w:tblLayout w:type="autofit"/>
        <w:tblCellMar>
          <w:top w:w="0" w:type="dxa"/>
          <w:left w:w="108" w:type="dxa"/>
          <w:bottom w:w="0" w:type="dxa"/>
          <w:right w:w="108" w:type="dxa"/>
        </w:tblCellMar>
      </w:tblPr>
      <w:tblGrid>
        <w:gridCol w:w="879"/>
        <w:gridCol w:w="2523"/>
        <w:gridCol w:w="709"/>
        <w:gridCol w:w="709"/>
        <w:gridCol w:w="850"/>
        <w:gridCol w:w="4951"/>
        <w:gridCol w:w="1097"/>
        <w:gridCol w:w="1103"/>
        <w:gridCol w:w="1358"/>
      </w:tblGrid>
      <w:tr w14:paraId="47D38691">
        <w:tblPrEx>
          <w:tblCellMar>
            <w:top w:w="0" w:type="dxa"/>
            <w:left w:w="108" w:type="dxa"/>
            <w:bottom w:w="0" w:type="dxa"/>
            <w:right w:w="108" w:type="dxa"/>
          </w:tblCellMar>
        </w:tblPrEx>
        <w:trPr>
          <w:trHeight w:val="600" w:hRule="atLeast"/>
          <w:tblHead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28CEF5">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序号</w:t>
            </w:r>
          </w:p>
        </w:tc>
        <w:tc>
          <w:tcPr>
            <w:tcW w:w="2523" w:type="dxa"/>
            <w:tcBorders>
              <w:top w:val="single" w:color="000000" w:sz="4" w:space="0"/>
              <w:left w:val="single" w:color="000000" w:sz="4" w:space="0"/>
              <w:bottom w:val="single" w:color="000000" w:sz="4" w:space="0"/>
              <w:right w:val="single" w:color="000000" w:sz="4" w:space="0"/>
            </w:tcBorders>
            <w:vAlign w:val="center"/>
          </w:tcPr>
          <w:p w14:paraId="329862A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项目名称</w:t>
            </w:r>
          </w:p>
        </w:tc>
        <w:tc>
          <w:tcPr>
            <w:tcW w:w="709" w:type="dxa"/>
            <w:tcBorders>
              <w:top w:val="single" w:color="000000" w:sz="4" w:space="0"/>
              <w:left w:val="single" w:color="000000" w:sz="4" w:space="0"/>
              <w:bottom w:val="single" w:color="000000" w:sz="4" w:space="0"/>
              <w:right w:val="single" w:color="000000" w:sz="4" w:space="0"/>
            </w:tcBorders>
            <w:vAlign w:val="center"/>
          </w:tcPr>
          <w:p w14:paraId="1B0D50D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项目数</w:t>
            </w:r>
          </w:p>
        </w:tc>
        <w:tc>
          <w:tcPr>
            <w:tcW w:w="709" w:type="dxa"/>
            <w:tcBorders>
              <w:top w:val="single" w:color="000000" w:sz="4" w:space="0"/>
              <w:left w:val="single" w:color="000000" w:sz="4" w:space="0"/>
              <w:bottom w:val="single" w:color="000000" w:sz="4" w:space="0"/>
              <w:right w:val="single" w:color="000000" w:sz="4" w:space="0"/>
            </w:tcBorders>
            <w:vAlign w:val="center"/>
          </w:tcPr>
          <w:p w14:paraId="68E366C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建设性质</w:t>
            </w:r>
          </w:p>
        </w:tc>
        <w:tc>
          <w:tcPr>
            <w:tcW w:w="850" w:type="dxa"/>
            <w:tcBorders>
              <w:top w:val="single" w:color="000000" w:sz="4" w:space="0"/>
              <w:left w:val="single" w:color="000000" w:sz="4" w:space="0"/>
              <w:bottom w:val="single" w:color="000000" w:sz="4" w:space="0"/>
              <w:right w:val="single" w:color="000000" w:sz="4" w:space="0"/>
            </w:tcBorders>
            <w:vAlign w:val="center"/>
          </w:tcPr>
          <w:p w14:paraId="76EBBBBB">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工程等级</w:t>
            </w:r>
          </w:p>
        </w:tc>
        <w:tc>
          <w:tcPr>
            <w:tcW w:w="4951" w:type="dxa"/>
            <w:tcBorders>
              <w:top w:val="single" w:color="000000" w:sz="4" w:space="0"/>
              <w:left w:val="single" w:color="000000" w:sz="4" w:space="0"/>
              <w:bottom w:val="single" w:color="000000" w:sz="4" w:space="0"/>
              <w:right w:val="single" w:color="000000" w:sz="4" w:space="0"/>
            </w:tcBorders>
            <w:vAlign w:val="center"/>
          </w:tcPr>
          <w:p w14:paraId="4C8DFF67">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建设内容与规模</w:t>
            </w:r>
          </w:p>
        </w:tc>
        <w:tc>
          <w:tcPr>
            <w:tcW w:w="0" w:type="auto"/>
            <w:tcBorders>
              <w:top w:val="single" w:color="000000" w:sz="4" w:space="0"/>
              <w:left w:val="single" w:color="000000" w:sz="4" w:space="0"/>
              <w:bottom w:val="single" w:color="000000" w:sz="4" w:space="0"/>
              <w:right w:val="single" w:color="000000" w:sz="4" w:space="0"/>
            </w:tcBorders>
            <w:vAlign w:val="center"/>
          </w:tcPr>
          <w:p w14:paraId="7E8BDFA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前期进展</w:t>
            </w:r>
          </w:p>
        </w:tc>
        <w:tc>
          <w:tcPr>
            <w:tcW w:w="0" w:type="auto"/>
            <w:tcBorders>
              <w:top w:val="single" w:color="000000" w:sz="4" w:space="0"/>
              <w:left w:val="single" w:color="000000" w:sz="4" w:space="0"/>
              <w:bottom w:val="single" w:color="000000" w:sz="4" w:space="0"/>
              <w:right w:val="single" w:color="000000" w:sz="4" w:space="0"/>
            </w:tcBorders>
            <w:vAlign w:val="center"/>
          </w:tcPr>
          <w:p w14:paraId="57108760">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总投资</w:t>
            </w:r>
          </w:p>
        </w:tc>
        <w:tc>
          <w:tcPr>
            <w:tcW w:w="0" w:type="auto"/>
            <w:tcBorders>
              <w:top w:val="single" w:color="000000" w:sz="4" w:space="0"/>
              <w:left w:val="single" w:color="000000" w:sz="4" w:space="0"/>
              <w:bottom w:val="single" w:color="000000" w:sz="4" w:space="0"/>
              <w:right w:val="single" w:color="000000" w:sz="4" w:space="0"/>
            </w:tcBorders>
            <w:vAlign w:val="center"/>
          </w:tcPr>
          <w:p w14:paraId="30264937">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十五五”期间总投资</w:t>
            </w:r>
          </w:p>
        </w:tc>
      </w:tr>
      <w:tr w14:paraId="770892FA">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DE3C60">
            <w:pPr>
              <w:widowControl/>
              <w:spacing w:line="240" w:lineRule="auto"/>
              <w:jc w:val="center"/>
              <w:rPr>
                <w:rFonts w:ascii="宋体" w:hAnsi="宋体" w:cs="宋体"/>
                <w:b/>
                <w:bCs/>
                <w:color w:val="000000"/>
                <w:kern w:val="0"/>
                <w:sz w:val="22"/>
              </w:rPr>
            </w:pPr>
          </w:p>
        </w:tc>
        <w:tc>
          <w:tcPr>
            <w:tcW w:w="2523" w:type="dxa"/>
            <w:tcBorders>
              <w:top w:val="single" w:color="000000" w:sz="4" w:space="0"/>
              <w:left w:val="single" w:color="000000" w:sz="4" w:space="0"/>
              <w:bottom w:val="single" w:color="000000" w:sz="4" w:space="0"/>
              <w:right w:val="single" w:color="000000" w:sz="4" w:space="0"/>
            </w:tcBorders>
            <w:vAlign w:val="center"/>
          </w:tcPr>
          <w:p w14:paraId="20BEDE3B">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合计</w:t>
            </w:r>
          </w:p>
        </w:tc>
        <w:tc>
          <w:tcPr>
            <w:tcW w:w="709" w:type="dxa"/>
            <w:tcBorders>
              <w:top w:val="single" w:color="000000" w:sz="4" w:space="0"/>
              <w:left w:val="single" w:color="000000" w:sz="4" w:space="0"/>
              <w:bottom w:val="single" w:color="000000" w:sz="4" w:space="0"/>
              <w:right w:val="single" w:color="000000" w:sz="4" w:space="0"/>
            </w:tcBorders>
            <w:vAlign w:val="center"/>
          </w:tcPr>
          <w:p w14:paraId="55604F7B">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93</w:t>
            </w:r>
          </w:p>
        </w:tc>
        <w:tc>
          <w:tcPr>
            <w:tcW w:w="709" w:type="dxa"/>
            <w:tcBorders>
              <w:top w:val="single" w:color="000000" w:sz="4" w:space="0"/>
              <w:left w:val="single" w:color="000000" w:sz="4" w:space="0"/>
              <w:bottom w:val="single" w:color="000000" w:sz="4" w:space="0"/>
              <w:right w:val="single" w:color="000000" w:sz="4" w:space="0"/>
            </w:tcBorders>
            <w:vAlign w:val="center"/>
          </w:tcPr>
          <w:p w14:paraId="6AD5F78D">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D86BC35">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24EF0AF5">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1841A58">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3F3646E">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1241735 </w:t>
            </w:r>
          </w:p>
        </w:tc>
        <w:tc>
          <w:tcPr>
            <w:tcW w:w="0" w:type="auto"/>
            <w:tcBorders>
              <w:top w:val="single" w:color="000000" w:sz="4" w:space="0"/>
              <w:left w:val="single" w:color="000000" w:sz="4" w:space="0"/>
              <w:bottom w:val="single" w:color="000000" w:sz="4" w:space="0"/>
              <w:right w:val="single" w:color="000000" w:sz="4" w:space="0"/>
            </w:tcBorders>
            <w:vAlign w:val="center"/>
          </w:tcPr>
          <w:p w14:paraId="6B60AE38">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418841 </w:t>
            </w:r>
          </w:p>
        </w:tc>
      </w:tr>
      <w:tr w14:paraId="1D1C4398">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FB6BB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一</w:t>
            </w:r>
          </w:p>
        </w:tc>
        <w:tc>
          <w:tcPr>
            <w:tcW w:w="2523" w:type="dxa"/>
            <w:tcBorders>
              <w:top w:val="single" w:color="000000" w:sz="4" w:space="0"/>
              <w:left w:val="single" w:color="000000" w:sz="4" w:space="0"/>
              <w:bottom w:val="single" w:color="000000" w:sz="4" w:space="0"/>
              <w:right w:val="single" w:color="000000" w:sz="4" w:space="0"/>
            </w:tcBorders>
            <w:vAlign w:val="center"/>
          </w:tcPr>
          <w:p w14:paraId="2E6139A8">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防洪减灾提升工程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2EDAF8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55 </w:t>
            </w:r>
          </w:p>
        </w:tc>
        <w:tc>
          <w:tcPr>
            <w:tcW w:w="709" w:type="dxa"/>
            <w:tcBorders>
              <w:top w:val="single" w:color="000000" w:sz="4" w:space="0"/>
              <w:left w:val="single" w:color="000000" w:sz="4" w:space="0"/>
              <w:bottom w:val="single" w:color="000000" w:sz="4" w:space="0"/>
              <w:right w:val="single" w:color="000000" w:sz="4" w:space="0"/>
            </w:tcBorders>
            <w:vAlign w:val="center"/>
          </w:tcPr>
          <w:p w14:paraId="5372E105">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792F7200">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2C356D80">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8B698F3">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01666C3">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359652 </w:t>
            </w:r>
          </w:p>
        </w:tc>
        <w:tc>
          <w:tcPr>
            <w:tcW w:w="0" w:type="auto"/>
            <w:tcBorders>
              <w:top w:val="single" w:color="000000" w:sz="4" w:space="0"/>
              <w:left w:val="single" w:color="000000" w:sz="4" w:space="0"/>
              <w:bottom w:val="single" w:color="000000" w:sz="4" w:space="0"/>
              <w:right w:val="single" w:color="000000" w:sz="4" w:space="0"/>
            </w:tcBorders>
            <w:vAlign w:val="center"/>
          </w:tcPr>
          <w:p w14:paraId="6671216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184978 </w:t>
            </w:r>
          </w:p>
        </w:tc>
      </w:tr>
      <w:tr w14:paraId="49673906">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59CE65">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（一）</w:t>
            </w:r>
          </w:p>
        </w:tc>
        <w:tc>
          <w:tcPr>
            <w:tcW w:w="2523" w:type="dxa"/>
            <w:tcBorders>
              <w:top w:val="single" w:color="000000" w:sz="4" w:space="0"/>
              <w:left w:val="single" w:color="000000" w:sz="4" w:space="0"/>
              <w:bottom w:val="single" w:color="000000" w:sz="4" w:space="0"/>
              <w:right w:val="single" w:color="000000" w:sz="4" w:space="0"/>
            </w:tcBorders>
            <w:vAlign w:val="center"/>
          </w:tcPr>
          <w:p w14:paraId="704FF106">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“五江一溪”防洪工程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5DE687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3</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0599B3C">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8A4FAA8">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3C30B8CE">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42E7A6A">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61AF8E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155255 </w:t>
            </w:r>
          </w:p>
        </w:tc>
        <w:tc>
          <w:tcPr>
            <w:tcW w:w="0" w:type="auto"/>
            <w:tcBorders>
              <w:top w:val="single" w:color="000000" w:sz="4" w:space="0"/>
              <w:left w:val="single" w:color="000000" w:sz="4" w:space="0"/>
              <w:bottom w:val="single" w:color="000000" w:sz="4" w:space="0"/>
              <w:right w:val="single" w:color="000000" w:sz="4" w:space="0"/>
            </w:tcBorders>
            <w:vAlign w:val="center"/>
          </w:tcPr>
          <w:p w14:paraId="03CC22FF">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70055 </w:t>
            </w:r>
          </w:p>
        </w:tc>
      </w:tr>
      <w:tr w14:paraId="037A9D07">
        <w:tblPrEx>
          <w:tblCellMar>
            <w:top w:w="0" w:type="dxa"/>
            <w:left w:w="108" w:type="dxa"/>
            <w:bottom w:w="0" w:type="dxa"/>
            <w:right w:w="108" w:type="dxa"/>
          </w:tblCellMar>
        </w:tblPrEx>
        <w:trPr>
          <w:trHeight w:val="12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03715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572038D3">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汀江(永定、长汀段）防洪提升工程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A30DA2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F2E12C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7592A1B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5522839">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长汀段布置1条堤段，位于濯田镇，堤线总长5.839km，其中新建防洪堤4.553km，加高加固防洪堤1.286km，建设水闸3座，排水涵管21根</w:t>
            </w:r>
          </w:p>
        </w:tc>
        <w:tc>
          <w:tcPr>
            <w:tcW w:w="0" w:type="auto"/>
            <w:tcBorders>
              <w:top w:val="single" w:color="000000" w:sz="4" w:space="0"/>
              <w:left w:val="single" w:color="000000" w:sz="4" w:space="0"/>
              <w:bottom w:val="single" w:color="000000" w:sz="4" w:space="0"/>
              <w:right w:val="single" w:color="000000" w:sz="4" w:space="0"/>
            </w:tcBorders>
            <w:vAlign w:val="center"/>
          </w:tcPr>
          <w:p w14:paraId="0BDDBE3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54D8187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14055 </w:t>
            </w:r>
          </w:p>
        </w:tc>
        <w:tc>
          <w:tcPr>
            <w:tcW w:w="0" w:type="auto"/>
            <w:tcBorders>
              <w:top w:val="single" w:color="000000" w:sz="4" w:space="0"/>
              <w:left w:val="single" w:color="000000" w:sz="4" w:space="0"/>
              <w:bottom w:val="single" w:color="000000" w:sz="4" w:space="0"/>
              <w:right w:val="single" w:color="000000" w:sz="4" w:space="0"/>
            </w:tcBorders>
            <w:vAlign w:val="center"/>
          </w:tcPr>
          <w:p w14:paraId="012F025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14055 </w:t>
            </w:r>
          </w:p>
        </w:tc>
      </w:tr>
      <w:tr w14:paraId="72DD6DE6">
        <w:tblPrEx>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E6D6F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5FD149E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福建省汀江（龙岩长汀段）防洪治理工程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B0E109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5A09C0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D8E5A2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926AC45">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建设21条堤段，建设堤防长度为49.53km，其中新建防洪堤23.77km，新建护岸25.76km</w:t>
            </w:r>
          </w:p>
        </w:tc>
        <w:tc>
          <w:tcPr>
            <w:tcW w:w="0" w:type="auto"/>
            <w:tcBorders>
              <w:top w:val="single" w:color="000000" w:sz="4" w:space="0"/>
              <w:left w:val="single" w:color="000000" w:sz="4" w:space="0"/>
              <w:bottom w:val="single" w:color="000000" w:sz="4" w:space="0"/>
              <w:right w:val="single" w:color="000000" w:sz="4" w:space="0"/>
            </w:tcBorders>
            <w:vAlign w:val="center"/>
          </w:tcPr>
          <w:p w14:paraId="1BAB9BD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2185AF7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81200 </w:t>
            </w:r>
          </w:p>
        </w:tc>
        <w:tc>
          <w:tcPr>
            <w:tcW w:w="0" w:type="auto"/>
            <w:tcBorders>
              <w:top w:val="single" w:color="000000" w:sz="4" w:space="0"/>
              <w:left w:val="single" w:color="000000" w:sz="4" w:space="0"/>
              <w:bottom w:val="single" w:color="000000" w:sz="4" w:space="0"/>
              <w:right w:val="single" w:color="000000" w:sz="4" w:space="0"/>
            </w:tcBorders>
            <w:vAlign w:val="center"/>
          </w:tcPr>
          <w:p w14:paraId="20A847F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50000 </w:t>
            </w:r>
          </w:p>
        </w:tc>
      </w:tr>
      <w:tr w14:paraId="4BC09B19">
        <w:tblPrEx>
          <w:tblCellMar>
            <w:top w:w="0" w:type="dxa"/>
            <w:left w:w="108" w:type="dxa"/>
            <w:bottom w:w="0" w:type="dxa"/>
            <w:right w:w="108" w:type="dxa"/>
          </w:tblCellMar>
        </w:tblPrEx>
        <w:trPr>
          <w:trHeight w:val="88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3CDFFF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00E1D132">
            <w:pPr>
              <w:widowControl/>
              <w:spacing w:line="240" w:lineRule="auto"/>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685888" behindDoc="0" locked="0" layoutInCell="1" allowOverlap="1">
                  <wp:simplePos x="0" y="0"/>
                  <wp:positionH relativeFrom="column">
                    <wp:posOffset>419100</wp:posOffset>
                  </wp:positionH>
                  <wp:positionV relativeFrom="paragraph">
                    <wp:posOffset>0</wp:posOffset>
                  </wp:positionV>
                  <wp:extent cx="19050" cy="161925"/>
                  <wp:effectExtent l="0" t="0" r="0" b="0"/>
                  <wp:wrapNone/>
                  <wp:docPr id="527" name="图片 60"/>
                  <wp:cNvGraphicFramePr/>
                  <a:graphic xmlns:a="http://schemas.openxmlformats.org/drawingml/2006/main">
                    <a:graphicData uri="http://schemas.openxmlformats.org/drawingml/2006/picture">
                      <pic:pic xmlns:pic="http://schemas.openxmlformats.org/drawingml/2006/picture">
                        <pic:nvPicPr>
                          <pic:cNvPr id="527" name="图片 60"/>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9050" cy="16192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686912" behindDoc="0" locked="0" layoutInCell="1" allowOverlap="1">
                  <wp:simplePos x="0" y="0"/>
                  <wp:positionH relativeFrom="column">
                    <wp:posOffset>438150</wp:posOffset>
                  </wp:positionH>
                  <wp:positionV relativeFrom="paragraph">
                    <wp:posOffset>0</wp:posOffset>
                  </wp:positionV>
                  <wp:extent cx="9525" cy="302260"/>
                  <wp:effectExtent l="0" t="0" r="0" b="0"/>
                  <wp:wrapNone/>
                  <wp:docPr id="539" name="图片 57"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57"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30226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687936" behindDoc="0" locked="0" layoutInCell="1" allowOverlap="1">
                  <wp:simplePos x="0" y="0"/>
                  <wp:positionH relativeFrom="column">
                    <wp:posOffset>438150</wp:posOffset>
                  </wp:positionH>
                  <wp:positionV relativeFrom="paragraph">
                    <wp:posOffset>0</wp:posOffset>
                  </wp:positionV>
                  <wp:extent cx="9525" cy="340360"/>
                  <wp:effectExtent l="0" t="0" r="0" b="0"/>
                  <wp:wrapNone/>
                  <wp:docPr id="526" name="图片 56"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图片 56"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34036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688960" behindDoc="0" locked="0" layoutInCell="1" allowOverlap="1">
                  <wp:simplePos x="0" y="0"/>
                  <wp:positionH relativeFrom="column">
                    <wp:posOffset>485775</wp:posOffset>
                  </wp:positionH>
                  <wp:positionV relativeFrom="paragraph">
                    <wp:posOffset>0</wp:posOffset>
                  </wp:positionV>
                  <wp:extent cx="9525" cy="340360"/>
                  <wp:effectExtent l="0" t="0" r="0" b="0"/>
                  <wp:wrapNone/>
                  <wp:docPr id="761" name="图片 55"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图片 55"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340360"/>
                          </a:xfrm>
                          <a:prstGeom prst="rect">
                            <a:avLst/>
                          </a:prstGeom>
                          <a:noFill/>
                          <a:ln>
                            <a:noFill/>
                          </a:ln>
                        </pic:spPr>
                      </pic:pic>
                    </a:graphicData>
                  </a:graphic>
                </wp:anchor>
              </w:drawing>
            </w:r>
            <w:r>
              <w:rPr>
                <w:rFonts w:hint="eastAsia" w:ascii="宋体" w:hAnsi="宋体" w:cs="宋体"/>
                <w:color w:val="000000"/>
                <w:kern w:val="0"/>
                <w:sz w:val="22"/>
              </w:rPr>
              <w:t>福建省长汀县城区分洪隧洞工程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223278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9B15B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41DF43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C2FC8E2">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新建引洪设施一座，新建隧洞段长9km，配套防洪堤5km,工程实施后城区防洪标准从20年提高至30年。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A888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70956C3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60000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F64DEB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6000 </w:t>
            </w:r>
          </w:p>
        </w:tc>
      </w:tr>
      <w:tr w14:paraId="00592BD1">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0AE3A7">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（二）</w:t>
            </w:r>
          </w:p>
        </w:tc>
        <w:tc>
          <w:tcPr>
            <w:tcW w:w="2523" w:type="dxa"/>
            <w:tcBorders>
              <w:top w:val="single" w:color="000000" w:sz="4" w:space="0"/>
              <w:left w:val="single" w:color="000000" w:sz="4" w:space="0"/>
              <w:bottom w:val="single" w:color="000000" w:sz="4" w:space="0"/>
              <w:right w:val="single" w:color="000000" w:sz="4" w:space="0"/>
            </w:tcBorders>
            <w:vAlign w:val="center"/>
          </w:tcPr>
          <w:p w14:paraId="37CC41C7">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中小河流治理工程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2044D67">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4</w:t>
            </w:r>
          </w:p>
        </w:tc>
        <w:tc>
          <w:tcPr>
            <w:tcW w:w="709" w:type="dxa"/>
            <w:tcBorders>
              <w:top w:val="single" w:color="000000" w:sz="4" w:space="0"/>
              <w:left w:val="single" w:color="000000" w:sz="4" w:space="0"/>
              <w:bottom w:val="single" w:color="000000" w:sz="4" w:space="0"/>
              <w:right w:val="single" w:color="000000" w:sz="4" w:space="0"/>
            </w:tcBorders>
            <w:vAlign w:val="center"/>
          </w:tcPr>
          <w:p w14:paraId="6A1A47A6">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0D3BA657">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446914D2">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E50A57E">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6E9872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40983.31 </w:t>
            </w:r>
          </w:p>
        </w:tc>
        <w:tc>
          <w:tcPr>
            <w:tcW w:w="0" w:type="auto"/>
            <w:tcBorders>
              <w:top w:val="single" w:color="000000" w:sz="4" w:space="0"/>
              <w:left w:val="single" w:color="000000" w:sz="4" w:space="0"/>
              <w:bottom w:val="single" w:color="000000" w:sz="4" w:space="0"/>
              <w:right w:val="single" w:color="000000" w:sz="4" w:space="0"/>
            </w:tcBorders>
            <w:vAlign w:val="center"/>
          </w:tcPr>
          <w:p w14:paraId="07F29560">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40983.31 </w:t>
            </w:r>
          </w:p>
        </w:tc>
      </w:tr>
      <w:tr w14:paraId="66234009">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F29D4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3188C161">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濯田河长汀县治理项目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666F6F9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C18ED6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357E0A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D516F62">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综合治理河长28.48。</w:t>
            </w:r>
          </w:p>
        </w:tc>
        <w:tc>
          <w:tcPr>
            <w:tcW w:w="0" w:type="auto"/>
            <w:tcBorders>
              <w:top w:val="single" w:color="000000" w:sz="4" w:space="0"/>
              <w:left w:val="single" w:color="000000" w:sz="4" w:space="0"/>
              <w:bottom w:val="single" w:color="000000" w:sz="4" w:space="0"/>
              <w:right w:val="single" w:color="000000" w:sz="4" w:space="0"/>
            </w:tcBorders>
            <w:vAlign w:val="center"/>
          </w:tcPr>
          <w:p w14:paraId="582AD5D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7E5AB81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11268.91 </w:t>
            </w:r>
          </w:p>
        </w:tc>
        <w:tc>
          <w:tcPr>
            <w:tcW w:w="0" w:type="auto"/>
            <w:tcBorders>
              <w:top w:val="single" w:color="000000" w:sz="4" w:space="0"/>
              <w:left w:val="single" w:color="000000" w:sz="4" w:space="0"/>
              <w:bottom w:val="single" w:color="000000" w:sz="4" w:space="0"/>
              <w:right w:val="single" w:color="000000" w:sz="4" w:space="0"/>
            </w:tcBorders>
            <w:vAlign w:val="center"/>
          </w:tcPr>
          <w:p w14:paraId="7955A83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11268.91 </w:t>
            </w:r>
          </w:p>
        </w:tc>
      </w:tr>
      <w:tr w14:paraId="170AFB17">
        <w:tblPrEx>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15C956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07DD4F9E">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长汀县南山河治理工程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0440BC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D84D80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C5FDB8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476C91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综合治理河长 31.46km</w:t>
            </w:r>
          </w:p>
        </w:tc>
        <w:tc>
          <w:tcPr>
            <w:tcW w:w="0" w:type="auto"/>
            <w:tcBorders>
              <w:top w:val="single" w:color="000000" w:sz="4" w:space="0"/>
              <w:left w:val="single" w:color="000000" w:sz="4" w:space="0"/>
              <w:bottom w:val="single" w:color="000000" w:sz="4" w:space="0"/>
              <w:right w:val="single" w:color="000000" w:sz="4" w:space="0"/>
            </w:tcBorders>
            <w:vAlign w:val="center"/>
          </w:tcPr>
          <w:p w14:paraId="2C0CCCB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0216A17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11325.6 </w:t>
            </w:r>
          </w:p>
        </w:tc>
        <w:tc>
          <w:tcPr>
            <w:tcW w:w="0" w:type="auto"/>
            <w:tcBorders>
              <w:top w:val="single" w:color="000000" w:sz="4" w:space="0"/>
              <w:left w:val="single" w:color="000000" w:sz="4" w:space="0"/>
              <w:bottom w:val="single" w:color="000000" w:sz="4" w:space="0"/>
              <w:right w:val="single" w:color="000000" w:sz="4" w:space="0"/>
            </w:tcBorders>
            <w:vAlign w:val="center"/>
          </w:tcPr>
          <w:p w14:paraId="393DE87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11325.6 </w:t>
            </w:r>
          </w:p>
        </w:tc>
      </w:tr>
      <w:tr w14:paraId="45CDAD8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4F692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50813E01">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长汀县罗口溪童坊段治理工程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934817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E5832B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89E409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A20BDD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综合治理河长32.45公里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651FCAE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0FB7EC0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11682 </w:t>
            </w:r>
          </w:p>
        </w:tc>
        <w:tc>
          <w:tcPr>
            <w:tcW w:w="0" w:type="auto"/>
            <w:tcBorders>
              <w:top w:val="single" w:color="000000" w:sz="4" w:space="0"/>
              <w:left w:val="single" w:color="000000" w:sz="4" w:space="0"/>
              <w:bottom w:val="single" w:color="000000" w:sz="4" w:space="0"/>
              <w:right w:val="single" w:color="000000" w:sz="4" w:space="0"/>
            </w:tcBorders>
            <w:vAlign w:val="center"/>
          </w:tcPr>
          <w:p w14:paraId="1DE7199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11682 </w:t>
            </w:r>
          </w:p>
        </w:tc>
      </w:tr>
      <w:tr w14:paraId="69ED3E49">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867D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vAlign w:val="center"/>
          </w:tcPr>
          <w:p w14:paraId="08976A1F">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长汀县古城河治理工程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3CECAD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F48F1C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C6F237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EAFBE4E">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综合治理河长18.63公里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72493C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7145D9C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6706.8 </w:t>
            </w:r>
          </w:p>
        </w:tc>
        <w:tc>
          <w:tcPr>
            <w:tcW w:w="0" w:type="auto"/>
            <w:tcBorders>
              <w:top w:val="single" w:color="000000" w:sz="4" w:space="0"/>
              <w:left w:val="single" w:color="000000" w:sz="4" w:space="0"/>
              <w:bottom w:val="single" w:color="000000" w:sz="4" w:space="0"/>
              <w:right w:val="single" w:color="000000" w:sz="4" w:space="0"/>
            </w:tcBorders>
            <w:vAlign w:val="center"/>
          </w:tcPr>
          <w:p w14:paraId="1FC1D3F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6706.8 </w:t>
            </w:r>
          </w:p>
        </w:tc>
      </w:tr>
      <w:tr w14:paraId="05783B3D">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7B600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（三）</w:t>
            </w:r>
          </w:p>
        </w:tc>
        <w:tc>
          <w:tcPr>
            <w:tcW w:w="2523" w:type="dxa"/>
            <w:tcBorders>
              <w:top w:val="single" w:color="000000" w:sz="4" w:space="0"/>
              <w:left w:val="single" w:color="000000" w:sz="4" w:space="0"/>
              <w:bottom w:val="single" w:color="000000" w:sz="4" w:space="0"/>
              <w:right w:val="single" w:color="000000" w:sz="4" w:space="0"/>
            </w:tcBorders>
            <w:vAlign w:val="center"/>
          </w:tcPr>
          <w:p w14:paraId="111F7011">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山洪灾害防治工程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E1B044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43</w:t>
            </w:r>
          </w:p>
        </w:tc>
        <w:tc>
          <w:tcPr>
            <w:tcW w:w="709" w:type="dxa"/>
            <w:tcBorders>
              <w:top w:val="single" w:color="000000" w:sz="4" w:space="0"/>
              <w:left w:val="single" w:color="000000" w:sz="4" w:space="0"/>
              <w:bottom w:val="single" w:color="000000" w:sz="4" w:space="0"/>
              <w:right w:val="single" w:color="000000" w:sz="4" w:space="0"/>
            </w:tcBorders>
            <w:vAlign w:val="center"/>
          </w:tcPr>
          <w:p w14:paraId="6D7F27C6">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4225C201">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3D906992">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82ECB45">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6390FF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43000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626B19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19250 </w:t>
            </w:r>
          </w:p>
        </w:tc>
      </w:tr>
      <w:tr w14:paraId="0913C19B">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8541E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433E950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长汀县兰田溪山洪沟治理工程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2E84AD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48B17E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71FF86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089E702">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456FEBC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71B5FA8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D58F74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5C20B153">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5F7043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00689E1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长汀县李田河山洪沟治理工程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885035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1DCE7A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2B101B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B9B747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75D0C34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64E0E39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28825D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0FBDC46B">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D3F9F8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3CD8113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长汀县朱坊河山洪沟治理工程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818C7D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79B755A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95EAE2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04B1191">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AED988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78015D5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767AF5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3BFF3FDC">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24F85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vAlign w:val="center"/>
          </w:tcPr>
          <w:p w14:paraId="6B58EA2A">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长汀县杨梅溪山洪沟治理工程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D1C3A2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EEEDAF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C53A49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FDE847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468D490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3537BCE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656D39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51D60A34">
        <w:tblPrEx>
          <w:tblCellMar>
            <w:top w:w="0" w:type="dxa"/>
            <w:left w:w="108" w:type="dxa"/>
            <w:bottom w:w="0" w:type="dxa"/>
            <w:right w:w="108" w:type="dxa"/>
          </w:tblCellMar>
        </w:tblPrEx>
        <w:trPr>
          <w:trHeight w:val="58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41C12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5</w:t>
            </w:r>
          </w:p>
        </w:tc>
        <w:tc>
          <w:tcPr>
            <w:tcW w:w="2523" w:type="dxa"/>
            <w:tcBorders>
              <w:top w:val="single" w:color="000000" w:sz="4" w:space="0"/>
              <w:left w:val="single" w:color="000000" w:sz="4" w:space="0"/>
              <w:bottom w:val="single" w:color="000000" w:sz="4" w:space="0"/>
              <w:right w:val="single" w:color="000000" w:sz="4" w:space="0"/>
            </w:tcBorders>
            <w:vAlign w:val="center"/>
          </w:tcPr>
          <w:p w14:paraId="579AB92C">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长汀县红山河山洪沟治理工程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5BEB0F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F96CCD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73E26C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662A118">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70CAF8C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35B6A2B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A8D17C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679ABF1B">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524FB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6</w:t>
            </w:r>
          </w:p>
        </w:tc>
        <w:tc>
          <w:tcPr>
            <w:tcW w:w="2523" w:type="dxa"/>
            <w:tcBorders>
              <w:top w:val="single" w:color="000000" w:sz="4" w:space="0"/>
              <w:left w:val="single" w:color="000000" w:sz="4" w:space="0"/>
              <w:bottom w:val="single" w:color="000000" w:sz="4" w:space="0"/>
              <w:right w:val="single" w:color="000000" w:sz="4" w:space="0"/>
            </w:tcBorders>
            <w:vAlign w:val="center"/>
          </w:tcPr>
          <w:p w14:paraId="3FC93616">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长汀县涂坊河山洪沟治理工程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52CC79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1F14D9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13A3EA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28220E7">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534F30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7B5CBE8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005BFC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4A927339">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A2672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7</w:t>
            </w:r>
          </w:p>
        </w:tc>
        <w:tc>
          <w:tcPr>
            <w:tcW w:w="2523" w:type="dxa"/>
            <w:tcBorders>
              <w:top w:val="single" w:color="000000" w:sz="4" w:space="0"/>
              <w:left w:val="single" w:color="000000" w:sz="4" w:space="0"/>
              <w:bottom w:val="single" w:color="000000" w:sz="4" w:space="0"/>
              <w:right w:val="single" w:color="000000" w:sz="4" w:space="0"/>
            </w:tcBorders>
            <w:vAlign w:val="center"/>
          </w:tcPr>
          <w:p w14:paraId="0F5BC558">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长汀县廖东河山洪沟治理工程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EAE7EB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73FD95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782CF6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05B7D9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0EE7F5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289748B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ECDDC8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1B514133">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5B2A6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8</w:t>
            </w:r>
          </w:p>
        </w:tc>
        <w:tc>
          <w:tcPr>
            <w:tcW w:w="2523" w:type="dxa"/>
            <w:tcBorders>
              <w:top w:val="single" w:color="000000" w:sz="4" w:space="0"/>
              <w:left w:val="single" w:color="000000" w:sz="4" w:space="0"/>
              <w:bottom w:val="single" w:color="000000" w:sz="4" w:space="0"/>
              <w:right w:val="single" w:color="000000" w:sz="4" w:space="0"/>
            </w:tcBorders>
            <w:vAlign w:val="center"/>
          </w:tcPr>
          <w:p w14:paraId="17774D7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长汀县左坝河山洪沟治理工程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6E3E58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7FE8A22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AA1FB5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3347A4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F447DD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219C7ED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BBAE0D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1F466C16">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73EFCE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9</w:t>
            </w:r>
          </w:p>
        </w:tc>
        <w:tc>
          <w:tcPr>
            <w:tcW w:w="2523" w:type="dxa"/>
            <w:tcBorders>
              <w:top w:val="single" w:color="000000" w:sz="4" w:space="0"/>
              <w:left w:val="single" w:color="000000" w:sz="4" w:space="0"/>
              <w:bottom w:val="single" w:color="000000" w:sz="4" w:space="0"/>
              <w:right w:val="single" w:color="000000" w:sz="4" w:space="0"/>
            </w:tcBorders>
            <w:vAlign w:val="center"/>
          </w:tcPr>
          <w:p w14:paraId="6677CB7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长汀县官坊河山洪沟治理工程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CC5162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FF0B1E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FE6114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830F41C">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911959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22A3826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5CEF2D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5B8BB1C7">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AD3CF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10</w:t>
            </w:r>
          </w:p>
        </w:tc>
        <w:tc>
          <w:tcPr>
            <w:tcW w:w="2523" w:type="dxa"/>
            <w:tcBorders>
              <w:top w:val="single" w:color="000000" w:sz="4" w:space="0"/>
              <w:left w:val="single" w:color="000000" w:sz="4" w:space="0"/>
              <w:bottom w:val="single" w:color="000000" w:sz="4" w:space="0"/>
              <w:right w:val="single" w:color="000000" w:sz="4" w:space="0"/>
            </w:tcBorders>
            <w:vAlign w:val="center"/>
          </w:tcPr>
          <w:p w14:paraId="7008B9A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长汀县铁长河山洪沟治理工程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9C81C0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2CE928D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7CFAAB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4D46786">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39458F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0D26F5E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AB4221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567FA92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3003B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11</w:t>
            </w:r>
          </w:p>
        </w:tc>
        <w:tc>
          <w:tcPr>
            <w:tcW w:w="2523" w:type="dxa"/>
            <w:tcBorders>
              <w:top w:val="single" w:color="000000" w:sz="4" w:space="0"/>
              <w:left w:val="single" w:color="000000" w:sz="4" w:space="0"/>
              <w:bottom w:val="single" w:color="000000" w:sz="4" w:space="0"/>
              <w:right w:val="single" w:color="000000" w:sz="4" w:space="0"/>
            </w:tcBorders>
            <w:vAlign w:val="center"/>
          </w:tcPr>
          <w:p w14:paraId="620AACC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长汀县刘坊河山洪沟治理工程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E93952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ECDD5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992007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1296B4A">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6D05D25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1363595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567B46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0C41F85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8A2F8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12</w:t>
            </w:r>
          </w:p>
        </w:tc>
        <w:tc>
          <w:tcPr>
            <w:tcW w:w="2523" w:type="dxa"/>
            <w:tcBorders>
              <w:top w:val="single" w:color="000000" w:sz="4" w:space="0"/>
              <w:left w:val="single" w:color="000000" w:sz="4" w:space="0"/>
              <w:bottom w:val="single" w:color="000000" w:sz="4" w:space="0"/>
              <w:right w:val="single" w:color="000000" w:sz="4" w:space="0"/>
            </w:tcBorders>
            <w:vAlign w:val="center"/>
          </w:tcPr>
          <w:p w14:paraId="224E953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长汀县馆前河山洪沟治理工程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BBEBE3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F94F58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09C7EA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EB2DBF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EADD87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5E56348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C2B17E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78BA5B73">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E0737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13</w:t>
            </w:r>
          </w:p>
        </w:tc>
        <w:tc>
          <w:tcPr>
            <w:tcW w:w="2523" w:type="dxa"/>
            <w:tcBorders>
              <w:top w:val="single" w:color="000000" w:sz="4" w:space="0"/>
              <w:left w:val="single" w:color="000000" w:sz="4" w:space="0"/>
              <w:bottom w:val="single" w:color="000000" w:sz="4" w:space="0"/>
              <w:right w:val="single" w:color="000000" w:sz="4" w:space="0"/>
            </w:tcBorders>
            <w:vAlign w:val="center"/>
          </w:tcPr>
          <w:p w14:paraId="12B9E0D1">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长汀县禾生溪山洪沟治理工程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FF263D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0EC94C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F15861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7C6FA3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077A47E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79264C8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D52B36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2A45AFCF">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53387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14</w:t>
            </w:r>
          </w:p>
        </w:tc>
        <w:tc>
          <w:tcPr>
            <w:tcW w:w="2523" w:type="dxa"/>
            <w:tcBorders>
              <w:top w:val="single" w:color="000000" w:sz="4" w:space="0"/>
              <w:left w:val="single" w:color="000000" w:sz="4" w:space="0"/>
              <w:bottom w:val="single" w:color="000000" w:sz="4" w:space="0"/>
              <w:right w:val="single" w:color="000000" w:sz="4" w:space="0"/>
            </w:tcBorders>
            <w:vAlign w:val="center"/>
          </w:tcPr>
          <w:p w14:paraId="33AA50C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长汀县大丰河山洪沟治理工程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7EA8FF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CA1686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72FB67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C78257C">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3842E49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7948F0F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E51FC3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54573F6D">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766C5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15</w:t>
            </w:r>
          </w:p>
        </w:tc>
        <w:tc>
          <w:tcPr>
            <w:tcW w:w="2523" w:type="dxa"/>
            <w:tcBorders>
              <w:top w:val="single" w:color="000000" w:sz="4" w:space="0"/>
              <w:left w:val="single" w:color="000000" w:sz="4" w:space="0"/>
              <w:bottom w:val="single" w:color="000000" w:sz="4" w:space="0"/>
              <w:right w:val="single" w:color="000000" w:sz="4" w:space="0"/>
            </w:tcBorders>
            <w:vAlign w:val="center"/>
          </w:tcPr>
          <w:p w14:paraId="30274522">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长汀县郑坊河山洪沟治理工程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D94090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32B766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5697ED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B330360">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3F153F7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2D31481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56A6B41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12C08342">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29227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16</w:t>
            </w:r>
          </w:p>
        </w:tc>
        <w:tc>
          <w:tcPr>
            <w:tcW w:w="2523" w:type="dxa"/>
            <w:tcBorders>
              <w:top w:val="single" w:color="000000" w:sz="4" w:space="0"/>
              <w:left w:val="single" w:color="000000" w:sz="4" w:space="0"/>
              <w:bottom w:val="single" w:color="000000" w:sz="4" w:space="0"/>
              <w:right w:val="single" w:color="000000" w:sz="4" w:space="0"/>
            </w:tcBorders>
            <w:vAlign w:val="center"/>
          </w:tcPr>
          <w:p w14:paraId="6F1C48AE">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长汀县老口河山洪沟治理工程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B1D3B6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B7D234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ABE54F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2CE9E8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BA5C67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11BAA58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06C388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44F99B1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783F0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17</w:t>
            </w:r>
          </w:p>
        </w:tc>
        <w:tc>
          <w:tcPr>
            <w:tcW w:w="2523" w:type="dxa"/>
            <w:tcBorders>
              <w:top w:val="single" w:color="000000" w:sz="4" w:space="0"/>
              <w:left w:val="single" w:color="000000" w:sz="4" w:space="0"/>
              <w:bottom w:val="single" w:color="000000" w:sz="4" w:space="0"/>
              <w:right w:val="single" w:color="000000" w:sz="4" w:space="0"/>
            </w:tcBorders>
            <w:vAlign w:val="center"/>
          </w:tcPr>
          <w:p w14:paraId="66162D3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长汀县七里河山洪沟治理工程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BD213D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550E08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AC33DF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F2DF8AA">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61A95ED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39A8F43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1AEAB9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0D336BC7">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C0B0E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18</w:t>
            </w:r>
          </w:p>
        </w:tc>
        <w:tc>
          <w:tcPr>
            <w:tcW w:w="2523" w:type="dxa"/>
            <w:tcBorders>
              <w:top w:val="single" w:color="000000" w:sz="4" w:space="0"/>
              <w:left w:val="single" w:color="000000" w:sz="4" w:space="0"/>
              <w:bottom w:val="single" w:color="000000" w:sz="4" w:space="0"/>
              <w:right w:val="single" w:color="000000" w:sz="4" w:space="0"/>
            </w:tcBorders>
            <w:vAlign w:val="center"/>
          </w:tcPr>
          <w:p w14:paraId="194E7F8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长汀县大坑河山洪沟治理工程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3803FE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A21630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DE0EE2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91DAD4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528E605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3B124BE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7F7EC5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r>
      <w:tr w14:paraId="0C7DC680">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BA696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19</w:t>
            </w:r>
          </w:p>
        </w:tc>
        <w:tc>
          <w:tcPr>
            <w:tcW w:w="2523" w:type="dxa"/>
            <w:tcBorders>
              <w:top w:val="single" w:color="000000" w:sz="4" w:space="0"/>
              <w:left w:val="single" w:color="000000" w:sz="4" w:space="0"/>
              <w:bottom w:val="single" w:color="000000" w:sz="4" w:space="0"/>
              <w:right w:val="single" w:color="000000" w:sz="4" w:space="0"/>
            </w:tcBorders>
            <w:vAlign w:val="center"/>
          </w:tcPr>
          <w:p w14:paraId="726AE338">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长汀县义家河山洪沟治理工程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99BC1C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765881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D22DF4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DDC897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092C94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3A3FF52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2AD46B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69D38CF9">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34D9F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20</w:t>
            </w:r>
          </w:p>
        </w:tc>
        <w:tc>
          <w:tcPr>
            <w:tcW w:w="2523" w:type="dxa"/>
            <w:tcBorders>
              <w:top w:val="single" w:color="000000" w:sz="4" w:space="0"/>
              <w:left w:val="single" w:color="000000" w:sz="4" w:space="0"/>
              <w:bottom w:val="single" w:color="000000" w:sz="4" w:space="0"/>
              <w:right w:val="single" w:color="000000" w:sz="4" w:space="0"/>
            </w:tcBorders>
            <w:vAlign w:val="center"/>
          </w:tcPr>
          <w:p w14:paraId="1699CA4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长汀县陈莲河山洪沟治理工程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4F26DA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364467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8EF93E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A08DA01">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0A04C3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409839B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AE9E3C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3949E666">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D4243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21</w:t>
            </w:r>
          </w:p>
        </w:tc>
        <w:tc>
          <w:tcPr>
            <w:tcW w:w="2523" w:type="dxa"/>
            <w:tcBorders>
              <w:top w:val="single" w:color="000000" w:sz="4" w:space="0"/>
              <w:left w:val="single" w:color="000000" w:sz="4" w:space="0"/>
              <w:bottom w:val="single" w:color="000000" w:sz="4" w:space="0"/>
              <w:right w:val="single" w:color="000000" w:sz="4" w:space="0"/>
            </w:tcBorders>
            <w:vAlign w:val="center"/>
          </w:tcPr>
          <w:p w14:paraId="2C7D4FA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长汀县当坑河山洪沟治理工程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E66A4F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22D49B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16C1CD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B9C313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7219BAA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01AECD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3FDC3B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0F54D3C9">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318A34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22</w:t>
            </w:r>
          </w:p>
        </w:tc>
        <w:tc>
          <w:tcPr>
            <w:tcW w:w="2523" w:type="dxa"/>
            <w:tcBorders>
              <w:top w:val="single" w:color="000000" w:sz="4" w:space="0"/>
              <w:left w:val="single" w:color="000000" w:sz="4" w:space="0"/>
              <w:bottom w:val="single" w:color="000000" w:sz="4" w:space="0"/>
              <w:right w:val="single" w:color="000000" w:sz="4" w:space="0"/>
            </w:tcBorders>
            <w:vAlign w:val="center"/>
          </w:tcPr>
          <w:p w14:paraId="433BEA67">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长汀县罗地河山洪沟治理工程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C9C399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059932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76FBFA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251813C8">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7BB964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2810B9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BA68BF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2EEA017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44D70F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23</w:t>
            </w:r>
          </w:p>
        </w:tc>
        <w:tc>
          <w:tcPr>
            <w:tcW w:w="2523" w:type="dxa"/>
            <w:tcBorders>
              <w:top w:val="single" w:color="000000" w:sz="4" w:space="0"/>
              <w:left w:val="single" w:color="000000" w:sz="4" w:space="0"/>
              <w:bottom w:val="single" w:color="000000" w:sz="4" w:space="0"/>
              <w:right w:val="single" w:color="000000" w:sz="4" w:space="0"/>
            </w:tcBorders>
            <w:vAlign w:val="center"/>
          </w:tcPr>
          <w:p w14:paraId="69F31D8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长汀县横田溪山洪沟治理工程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EC18D0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24D1BF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7336B05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416E83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4DD8840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064E549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610005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3B5083E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480A3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24</w:t>
            </w:r>
          </w:p>
        </w:tc>
        <w:tc>
          <w:tcPr>
            <w:tcW w:w="2523" w:type="dxa"/>
            <w:tcBorders>
              <w:top w:val="single" w:color="000000" w:sz="4" w:space="0"/>
              <w:left w:val="single" w:color="000000" w:sz="4" w:space="0"/>
              <w:bottom w:val="single" w:color="000000" w:sz="4" w:space="0"/>
              <w:right w:val="single" w:color="000000" w:sz="4" w:space="0"/>
            </w:tcBorders>
            <w:vAlign w:val="center"/>
          </w:tcPr>
          <w:p w14:paraId="00BD298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长汀县杨坊河山洪沟治理工程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3EF5E2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0FB37B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096169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8EC8867">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4539951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4D193EC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5C8A28E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57C7A52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AE2230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25</w:t>
            </w:r>
          </w:p>
        </w:tc>
        <w:tc>
          <w:tcPr>
            <w:tcW w:w="2523" w:type="dxa"/>
            <w:tcBorders>
              <w:top w:val="single" w:color="000000" w:sz="4" w:space="0"/>
              <w:left w:val="single" w:color="000000" w:sz="4" w:space="0"/>
              <w:bottom w:val="single" w:color="000000" w:sz="4" w:space="0"/>
              <w:right w:val="single" w:color="000000" w:sz="4" w:space="0"/>
            </w:tcBorders>
            <w:vAlign w:val="center"/>
          </w:tcPr>
          <w:p w14:paraId="70663D52">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长汀县金溪河山洪沟治理工程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D4B701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721730F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7EBF3A9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936B2C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276527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047747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04B675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16208E7C">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18C13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26</w:t>
            </w:r>
          </w:p>
        </w:tc>
        <w:tc>
          <w:tcPr>
            <w:tcW w:w="2523" w:type="dxa"/>
            <w:tcBorders>
              <w:top w:val="single" w:color="000000" w:sz="4" w:space="0"/>
              <w:left w:val="single" w:color="000000" w:sz="4" w:space="0"/>
              <w:bottom w:val="single" w:color="000000" w:sz="4" w:space="0"/>
              <w:right w:val="single" w:color="000000" w:sz="4" w:space="0"/>
            </w:tcBorders>
            <w:vAlign w:val="center"/>
          </w:tcPr>
          <w:p w14:paraId="4DB9E760">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长汀县肖岭溪山洪沟治理工程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FEE19C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C5FC13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083E6E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F3DB475">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7D40E17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3D1680E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35BDC5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0CFF4046">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06EA3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27</w:t>
            </w:r>
          </w:p>
        </w:tc>
        <w:tc>
          <w:tcPr>
            <w:tcW w:w="2523" w:type="dxa"/>
            <w:tcBorders>
              <w:top w:val="single" w:color="000000" w:sz="4" w:space="0"/>
              <w:left w:val="single" w:color="000000" w:sz="4" w:space="0"/>
              <w:bottom w:val="single" w:color="000000" w:sz="4" w:space="0"/>
              <w:right w:val="single" w:color="000000" w:sz="4" w:space="0"/>
            </w:tcBorders>
            <w:vAlign w:val="center"/>
          </w:tcPr>
          <w:p w14:paraId="7653F82C">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长汀县下坑溪山洪沟治理工程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E64B92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920E3A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DCAD55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9662EC3">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01CBA5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0926859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5DF926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23DF1A5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51774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28</w:t>
            </w:r>
          </w:p>
        </w:tc>
        <w:tc>
          <w:tcPr>
            <w:tcW w:w="2523" w:type="dxa"/>
            <w:tcBorders>
              <w:top w:val="single" w:color="000000" w:sz="4" w:space="0"/>
              <w:left w:val="single" w:color="000000" w:sz="4" w:space="0"/>
              <w:bottom w:val="single" w:color="000000" w:sz="4" w:space="0"/>
              <w:right w:val="single" w:color="000000" w:sz="4" w:space="0"/>
            </w:tcBorders>
            <w:vAlign w:val="center"/>
          </w:tcPr>
          <w:p w14:paraId="4B599AF6">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长汀县翠峰河山洪沟治理工程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79AA3B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288515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2A6567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25012D6">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4EF5C0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0DAA72E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5F06D32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6581983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035F8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29</w:t>
            </w:r>
          </w:p>
        </w:tc>
        <w:tc>
          <w:tcPr>
            <w:tcW w:w="2523" w:type="dxa"/>
            <w:tcBorders>
              <w:top w:val="single" w:color="000000" w:sz="4" w:space="0"/>
              <w:left w:val="single" w:color="000000" w:sz="4" w:space="0"/>
              <w:bottom w:val="single" w:color="000000" w:sz="4" w:space="0"/>
              <w:right w:val="single" w:color="000000" w:sz="4" w:space="0"/>
            </w:tcBorders>
            <w:vAlign w:val="center"/>
          </w:tcPr>
          <w:p w14:paraId="39741CDA">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长汀县寨下河山洪沟治理工程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6839F2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727C76D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BE8561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B3AD878">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6B8F249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D7BD37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26CDDB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206A4337">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B8F8F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30</w:t>
            </w:r>
          </w:p>
        </w:tc>
        <w:tc>
          <w:tcPr>
            <w:tcW w:w="2523" w:type="dxa"/>
            <w:tcBorders>
              <w:top w:val="single" w:color="000000" w:sz="4" w:space="0"/>
              <w:left w:val="single" w:color="000000" w:sz="4" w:space="0"/>
              <w:bottom w:val="single" w:color="000000" w:sz="4" w:space="0"/>
              <w:right w:val="single" w:color="000000" w:sz="4" w:space="0"/>
            </w:tcBorders>
            <w:vAlign w:val="center"/>
          </w:tcPr>
          <w:p w14:paraId="4E3472D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长汀县谢坊溪山洪沟治理工程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D26DB7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6BEBFB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ECCEA7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64C29DA">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42EE80B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52CDA5C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65CC7D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6EFD9318">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A167D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31</w:t>
            </w:r>
          </w:p>
        </w:tc>
        <w:tc>
          <w:tcPr>
            <w:tcW w:w="2523" w:type="dxa"/>
            <w:tcBorders>
              <w:top w:val="single" w:color="000000" w:sz="4" w:space="0"/>
              <w:left w:val="single" w:color="000000" w:sz="4" w:space="0"/>
              <w:bottom w:val="single" w:color="000000" w:sz="4" w:space="0"/>
              <w:right w:val="single" w:color="000000" w:sz="4" w:space="0"/>
            </w:tcBorders>
            <w:vAlign w:val="center"/>
          </w:tcPr>
          <w:p w14:paraId="7619EBFC">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长汀县湖洋丘溪山洪沟治理工程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B7F21E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74552D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798808D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2C7771E">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6931AC7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31B220B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199E750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1B843C32">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00E6F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32</w:t>
            </w:r>
          </w:p>
        </w:tc>
        <w:tc>
          <w:tcPr>
            <w:tcW w:w="2523" w:type="dxa"/>
            <w:tcBorders>
              <w:top w:val="single" w:color="000000" w:sz="4" w:space="0"/>
              <w:left w:val="single" w:color="000000" w:sz="4" w:space="0"/>
              <w:bottom w:val="single" w:color="000000" w:sz="4" w:space="0"/>
              <w:right w:val="single" w:color="000000" w:sz="4" w:space="0"/>
            </w:tcBorders>
            <w:vAlign w:val="center"/>
          </w:tcPr>
          <w:p w14:paraId="6AA99D9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长汀县蔡坑河山洪沟治理工程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810BB5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4EF1B7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3FDACE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15DED963">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214658A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22C490A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9EF470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6E7F068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06188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33</w:t>
            </w:r>
          </w:p>
        </w:tc>
        <w:tc>
          <w:tcPr>
            <w:tcW w:w="2523" w:type="dxa"/>
            <w:tcBorders>
              <w:top w:val="single" w:color="000000" w:sz="4" w:space="0"/>
              <w:left w:val="single" w:color="000000" w:sz="4" w:space="0"/>
              <w:bottom w:val="single" w:color="000000" w:sz="4" w:space="0"/>
              <w:right w:val="single" w:color="000000" w:sz="4" w:space="0"/>
            </w:tcBorders>
            <w:vAlign w:val="center"/>
          </w:tcPr>
          <w:p w14:paraId="73E83FD2">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长汀县黄竹在溪山洪沟治理工程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FE5456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9A3C89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B53630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90C093E">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5DCB84C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3B1F73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D6533B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3E814485">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A29F7E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34</w:t>
            </w:r>
          </w:p>
        </w:tc>
        <w:tc>
          <w:tcPr>
            <w:tcW w:w="2523" w:type="dxa"/>
            <w:tcBorders>
              <w:top w:val="single" w:color="000000" w:sz="4" w:space="0"/>
              <w:left w:val="single" w:color="000000" w:sz="4" w:space="0"/>
              <w:bottom w:val="single" w:color="000000" w:sz="4" w:space="0"/>
              <w:right w:val="single" w:color="000000" w:sz="4" w:space="0"/>
            </w:tcBorders>
            <w:vAlign w:val="center"/>
          </w:tcPr>
          <w:p w14:paraId="57174B61">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长汀县山阳溪山洪沟治理工程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3B39D8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CAE52D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6AC574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C9BE99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345E5B8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22E9C06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C86128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68ABD8D0">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02E71D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35</w:t>
            </w:r>
          </w:p>
        </w:tc>
        <w:tc>
          <w:tcPr>
            <w:tcW w:w="2523" w:type="dxa"/>
            <w:tcBorders>
              <w:top w:val="single" w:color="000000" w:sz="4" w:space="0"/>
              <w:left w:val="single" w:color="000000" w:sz="4" w:space="0"/>
              <w:bottom w:val="single" w:color="000000" w:sz="4" w:space="0"/>
              <w:right w:val="single" w:color="000000" w:sz="4" w:space="0"/>
            </w:tcBorders>
            <w:vAlign w:val="center"/>
          </w:tcPr>
          <w:p w14:paraId="10D12E0E">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长汀县青山河山洪沟治理工程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3E07B5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5E9BAC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2AED9A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8E0BD73">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70D0C03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1369E25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01D8CB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76BD218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A9945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36</w:t>
            </w:r>
          </w:p>
        </w:tc>
        <w:tc>
          <w:tcPr>
            <w:tcW w:w="2523" w:type="dxa"/>
            <w:tcBorders>
              <w:top w:val="single" w:color="000000" w:sz="4" w:space="0"/>
              <w:left w:val="single" w:color="000000" w:sz="4" w:space="0"/>
              <w:bottom w:val="single" w:color="000000" w:sz="4" w:space="0"/>
              <w:right w:val="single" w:color="000000" w:sz="4" w:space="0"/>
            </w:tcBorders>
            <w:vAlign w:val="center"/>
          </w:tcPr>
          <w:p w14:paraId="3BAC428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长汀县苦竹溪山洪沟治理工程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A80A04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39204A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3C98FB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69AAABB">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3694A69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7FC6F25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E4B385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7DF79677">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BBC2D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37</w:t>
            </w:r>
          </w:p>
        </w:tc>
        <w:tc>
          <w:tcPr>
            <w:tcW w:w="2523" w:type="dxa"/>
            <w:tcBorders>
              <w:top w:val="single" w:color="000000" w:sz="4" w:space="0"/>
              <w:left w:val="single" w:color="000000" w:sz="4" w:space="0"/>
              <w:bottom w:val="single" w:color="000000" w:sz="4" w:space="0"/>
              <w:right w:val="single" w:color="000000" w:sz="4" w:space="0"/>
            </w:tcBorders>
            <w:vAlign w:val="center"/>
          </w:tcPr>
          <w:p w14:paraId="4E2E4536">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长汀县腊溪河山洪沟治理工程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0220EA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5999F1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17947E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4C8C0E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049E845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5048C11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1223AED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20F8AD21">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54590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38</w:t>
            </w:r>
          </w:p>
        </w:tc>
        <w:tc>
          <w:tcPr>
            <w:tcW w:w="2523" w:type="dxa"/>
            <w:tcBorders>
              <w:top w:val="single" w:color="000000" w:sz="4" w:space="0"/>
              <w:left w:val="single" w:color="000000" w:sz="4" w:space="0"/>
              <w:bottom w:val="single" w:color="000000" w:sz="4" w:space="0"/>
              <w:right w:val="single" w:color="000000" w:sz="4" w:space="0"/>
            </w:tcBorders>
            <w:vAlign w:val="center"/>
          </w:tcPr>
          <w:p w14:paraId="24E93173">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长汀县南山下河山洪沟治理工程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11AC79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B66E7C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5D5CE6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65BFF7E">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2652F7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4EDB700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536691E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52B041C7">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F168CC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39</w:t>
            </w:r>
          </w:p>
        </w:tc>
        <w:tc>
          <w:tcPr>
            <w:tcW w:w="2523" w:type="dxa"/>
            <w:tcBorders>
              <w:top w:val="single" w:color="000000" w:sz="4" w:space="0"/>
              <w:left w:val="single" w:color="000000" w:sz="4" w:space="0"/>
              <w:bottom w:val="single" w:color="000000" w:sz="4" w:space="0"/>
              <w:right w:val="single" w:color="000000" w:sz="4" w:space="0"/>
            </w:tcBorders>
            <w:vAlign w:val="center"/>
          </w:tcPr>
          <w:p w14:paraId="1F23743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长汀县鸳鸯溪山洪沟治理工程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E2DB48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2A72628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13A883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D88A882">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3EB546B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4B6798D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05FB50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423163A6">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D85BA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40</w:t>
            </w:r>
          </w:p>
        </w:tc>
        <w:tc>
          <w:tcPr>
            <w:tcW w:w="2523" w:type="dxa"/>
            <w:tcBorders>
              <w:top w:val="single" w:color="000000" w:sz="4" w:space="0"/>
              <w:left w:val="single" w:color="000000" w:sz="4" w:space="0"/>
              <w:bottom w:val="single" w:color="000000" w:sz="4" w:space="0"/>
              <w:right w:val="single" w:color="000000" w:sz="4" w:space="0"/>
            </w:tcBorders>
            <w:vAlign w:val="center"/>
          </w:tcPr>
          <w:p w14:paraId="5D406F1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长汀县河甫溪山洪沟治理工程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BF23D9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7309B5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EC47D9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3132F5F">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720D32B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7F5F833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E392AF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73DD853D">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C8BA0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41</w:t>
            </w:r>
          </w:p>
        </w:tc>
        <w:tc>
          <w:tcPr>
            <w:tcW w:w="2523" w:type="dxa"/>
            <w:tcBorders>
              <w:top w:val="single" w:color="000000" w:sz="4" w:space="0"/>
              <w:left w:val="single" w:color="000000" w:sz="4" w:space="0"/>
              <w:bottom w:val="single" w:color="000000" w:sz="4" w:space="0"/>
              <w:right w:val="single" w:color="000000" w:sz="4" w:space="0"/>
            </w:tcBorders>
            <w:vAlign w:val="center"/>
          </w:tcPr>
          <w:p w14:paraId="5E96BAB9">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长汀县慈坑溪山洪沟治理工程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7862CFD">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178C15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09D57B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F3A8A54">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3D98E9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1C40C53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BD9F6C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71E4F51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4D57B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42</w:t>
            </w:r>
          </w:p>
        </w:tc>
        <w:tc>
          <w:tcPr>
            <w:tcW w:w="2523" w:type="dxa"/>
            <w:tcBorders>
              <w:top w:val="single" w:color="000000" w:sz="4" w:space="0"/>
              <w:left w:val="single" w:color="000000" w:sz="4" w:space="0"/>
              <w:bottom w:val="single" w:color="000000" w:sz="4" w:space="0"/>
              <w:right w:val="single" w:color="000000" w:sz="4" w:space="0"/>
            </w:tcBorders>
            <w:vAlign w:val="center"/>
          </w:tcPr>
          <w:p w14:paraId="7629F5BE">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长汀县井头河山洪沟治理工程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2C56F1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2B42882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26E747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276144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16F5B47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B19726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A45C6B5">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117F9DE2">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9AEC9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43</w:t>
            </w:r>
          </w:p>
        </w:tc>
        <w:tc>
          <w:tcPr>
            <w:tcW w:w="2523" w:type="dxa"/>
            <w:tcBorders>
              <w:top w:val="single" w:color="000000" w:sz="4" w:space="0"/>
              <w:left w:val="single" w:color="000000" w:sz="4" w:space="0"/>
              <w:bottom w:val="single" w:color="000000" w:sz="4" w:space="0"/>
              <w:right w:val="single" w:color="000000" w:sz="4" w:space="0"/>
            </w:tcBorders>
            <w:vAlign w:val="center"/>
          </w:tcPr>
          <w:p w14:paraId="0D740FB1">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长汀县朱溪河山洪沟治理工程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88AA5E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A0AABD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670122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47640D5">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治理河长约5公里</w:t>
            </w:r>
          </w:p>
        </w:tc>
        <w:tc>
          <w:tcPr>
            <w:tcW w:w="0" w:type="auto"/>
            <w:tcBorders>
              <w:top w:val="single" w:color="000000" w:sz="4" w:space="0"/>
              <w:left w:val="single" w:color="000000" w:sz="4" w:space="0"/>
              <w:bottom w:val="single" w:color="000000" w:sz="4" w:space="0"/>
              <w:right w:val="single" w:color="000000" w:sz="4" w:space="0"/>
            </w:tcBorders>
            <w:vAlign w:val="center"/>
          </w:tcPr>
          <w:p w14:paraId="57A2083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7E2201D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9AD897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50 </w:t>
            </w:r>
          </w:p>
        </w:tc>
      </w:tr>
      <w:tr w14:paraId="61EFDA8D">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D8A01F">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（四）</w:t>
            </w:r>
          </w:p>
        </w:tc>
        <w:tc>
          <w:tcPr>
            <w:tcW w:w="2523" w:type="dxa"/>
            <w:tcBorders>
              <w:top w:val="single" w:color="000000" w:sz="4" w:space="0"/>
              <w:left w:val="single" w:color="000000" w:sz="4" w:space="0"/>
              <w:bottom w:val="single" w:color="000000" w:sz="4" w:space="0"/>
              <w:right w:val="single" w:color="000000" w:sz="4" w:space="0"/>
            </w:tcBorders>
            <w:vAlign w:val="center"/>
          </w:tcPr>
          <w:p w14:paraId="7C83A7DD">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重点涝区综合治理</w:t>
            </w:r>
          </w:p>
        </w:tc>
        <w:tc>
          <w:tcPr>
            <w:tcW w:w="709" w:type="dxa"/>
            <w:tcBorders>
              <w:top w:val="single" w:color="000000" w:sz="4" w:space="0"/>
              <w:left w:val="single" w:color="000000" w:sz="4" w:space="0"/>
              <w:bottom w:val="single" w:color="000000" w:sz="4" w:space="0"/>
              <w:right w:val="single" w:color="000000" w:sz="4" w:space="0"/>
            </w:tcBorders>
            <w:vAlign w:val="center"/>
          </w:tcPr>
          <w:p w14:paraId="61CBCAFC">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2</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2370F92">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55D2EB3">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12D580FE">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C23C69">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943B18">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108214 </w:t>
            </w:r>
          </w:p>
        </w:tc>
        <w:tc>
          <w:tcPr>
            <w:tcW w:w="0" w:type="auto"/>
            <w:tcBorders>
              <w:top w:val="single" w:color="000000" w:sz="4" w:space="0"/>
              <w:left w:val="single" w:color="000000" w:sz="4" w:space="0"/>
              <w:bottom w:val="single" w:color="000000" w:sz="4" w:space="0"/>
              <w:right w:val="single" w:color="000000" w:sz="4" w:space="0"/>
            </w:tcBorders>
            <w:vAlign w:val="center"/>
          </w:tcPr>
          <w:p w14:paraId="6AABF55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50000 </w:t>
            </w:r>
          </w:p>
        </w:tc>
      </w:tr>
      <w:tr w14:paraId="29164EC9">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A04C2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25967AD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福建省韩江上游福建片（长汀县河田、大同、新桥、策武、三洲、四都、濯田、涂坊）排涝工程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8F2671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2668A11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6F7AAE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3663E2FE">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新建泵站3座、整治撇洪沟、沟渠94.60km、整治涵闸12座。</w:t>
            </w:r>
          </w:p>
        </w:tc>
        <w:tc>
          <w:tcPr>
            <w:tcW w:w="0" w:type="auto"/>
            <w:tcBorders>
              <w:top w:val="single" w:color="000000" w:sz="4" w:space="0"/>
              <w:left w:val="single" w:color="000000" w:sz="4" w:space="0"/>
              <w:bottom w:val="single" w:color="000000" w:sz="4" w:space="0"/>
              <w:right w:val="single" w:color="000000" w:sz="4" w:space="0"/>
            </w:tcBorders>
            <w:vAlign w:val="center"/>
          </w:tcPr>
          <w:p w14:paraId="3107EEE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186522C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108214 </w:t>
            </w:r>
          </w:p>
        </w:tc>
        <w:tc>
          <w:tcPr>
            <w:tcW w:w="0" w:type="auto"/>
            <w:tcBorders>
              <w:top w:val="single" w:color="000000" w:sz="4" w:space="0"/>
              <w:left w:val="single" w:color="000000" w:sz="4" w:space="0"/>
              <w:bottom w:val="single" w:color="000000" w:sz="4" w:space="0"/>
              <w:right w:val="single" w:color="000000" w:sz="4" w:space="0"/>
            </w:tcBorders>
            <w:vAlign w:val="center"/>
          </w:tcPr>
          <w:p w14:paraId="7AF5219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50000 </w:t>
            </w:r>
          </w:p>
        </w:tc>
      </w:tr>
      <w:tr w14:paraId="62804FF7">
        <w:tblPrEx>
          <w:tblCellMar>
            <w:top w:w="0" w:type="dxa"/>
            <w:left w:w="108" w:type="dxa"/>
            <w:bottom w:w="0" w:type="dxa"/>
            <w:right w:w="108" w:type="dxa"/>
          </w:tblCellMar>
        </w:tblPrEx>
        <w:trPr>
          <w:trHeight w:val="103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7D9400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4479F93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福建省闽江上游沙溪片（长汀县馆前、童坊）排涝工程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659FD4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5559DC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091A14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3DE3C73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整治沟渠19.892km、改造桥涵1座等。</w:t>
            </w:r>
          </w:p>
        </w:tc>
        <w:tc>
          <w:tcPr>
            <w:tcW w:w="0" w:type="auto"/>
            <w:tcBorders>
              <w:top w:val="single" w:color="000000" w:sz="4" w:space="0"/>
              <w:left w:val="single" w:color="000000" w:sz="4" w:space="0"/>
              <w:bottom w:val="single" w:color="000000" w:sz="4" w:space="0"/>
              <w:right w:val="single" w:color="000000" w:sz="4" w:space="0"/>
            </w:tcBorders>
            <w:vAlign w:val="center"/>
          </w:tcPr>
          <w:p w14:paraId="665DDD2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39F9CAA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12590 </w:t>
            </w:r>
          </w:p>
        </w:tc>
        <w:tc>
          <w:tcPr>
            <w:tcW w:w="0" w:type="auto"/>
            <w:tcBorders>
              <w:top w:val="single" w:color="000000" w:sz="4" w:space="0"/>
              <w:left w:val="single" w:color="000000" w:sz="4" w:space="0"/>
              <w:bottom w:val="single" w:color="000000" w:sz="4" w:space="0"/>
              <w:right w:val="single" w:color="000000" w:sz="4" w:space="0"/>
            </w:tcBorders>
            <w:vAlign w:val="center"/>
          </w:tcPr>
          <w:p w14:paraId="3EE140D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12590 </w:t>
            </w:r>
          </w:p>
        </w:tc>
      </w:tr>
      <w:tr w14:paraId="76F650AF">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889FD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（五）</w:t>
            </w:r>
          </w:p>
        </w:tc>
        <w:tc>
          <w:tcPr>
            <w:tcW w:w="2523" w:type="dxa"/>
            <w:tcBorders>
              <w:top w:val="single" w:color="000000" w:sz="4" w:space="0"/>
              <w:left w:val="single" w:color="000000" w:sz="4" w:space="0"/>
              <w:bottom w:val="single" w:color="000000" w:sz="4" w:space="0"/>
              <w:right w:val="single" w:color="000000" w:sz="4" w:space="0"/>
            </w:tcBorders>
            <w:vAlign w:val="center"/>
          </w:tcPr>
          <w:p w14:paraId="67696854">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病险水库除险加固</w:t>
            </w:r>
          </w:p>
        </w:tc>
        <w:tc>
          <w:tcPr>
            <w:tcW w:w="709" w:type="dxa"/>
            <w:tcBorders>
              <w:top w:val="single" w:color="000000" w:sz="4" w:space="0"/>
              <w:left w:val="single" w:color="000000" w:sz="4" w:space="0"/>
              <w:bottom w:val="single" w:color="000000" w:sz="4" w:space="0"/>
              <w:right w:val="single" w:color="000000" w:sz="4" w:space="0"/>
            </w:tcBorders>
            <w:vAlign w:val="center"/>
          </w:tcPr>
          <w:p w14:paraId="51D43B5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3</w:t>
            </w:r>
          </w:p>
        </w:tc>
        <w:tc>
          <w:tcPr>
            <w:tcW w:w="709" w:type="dxa"/>
            <w:tcBorders>
              <w:top w:val="single" w:color="000000" w:sz="4" w:space="0"/>
              <w:left w:val="single" w:color="000000" w:sz="4" w:space="0"/>
              <w:bottom w:val="single" w:color="000000" w:sz="4" w:space="0"/>
              <w:right w:val="single" w:color="000000" w:sz="4" w:space="0"/>
            </w:tcBorders>
            <w:vAlign w:val="center"/>
          </w:tcPr>
          <w:p w14:paraId="55F5C78E">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50F586F3">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7646F57C">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B4494C1">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0B699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12200 </w:t>
            </w:r>
          </w:p>
        </w:tc>
        <w:tc>
          <w:tcPr>
            <w:tcW w:w="0" w:type="auto"/>
            <w:tcBorders>
              <w:top w:val="single" w:color="000000" w:sz="4" w:space="0"/>
              <w:left w:val="single" w:color="000000" w:sz="4" w:space="0"/>
              <w:bottom w:val="single" w:color="000000" w:sz="4" w:space="0"/>
              <w:right w:val="single" w:color="000000" w:sz="4" w:space="0"/>
            </w:tcBorders>
            <w:vAlign w:val="center"/>
          </w:tcPr>
          <w:p w14:paraId="1DDE5F2F">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4690 </w:t>
            </w:r>
          </w:p>
        </w:tc>
      </w:tr>
      <w:tr w14:paraId="0D193FEA">
        <w:tblPrEx>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8235C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3855AB7F">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中型水库除险加固</w:t>
            </w:r>
          </w:p>
        </w:tc>
        <w:tc>
          <w:tcPr>
            <w:tcW w:w="709" w:type="dxa"/>
            <w:tcBorders>
              <w:top w:val="single" w:color="000000" w:sz="4" w:space="0"/>
              <w:left w:val="single" w:color="000000" w:sz="4" w:space="0"/>
              <w:bottom w:val="single" w:color="000000" w:sz="4" w:space="0"/>
              <w:right w:val="single" w:color="000000" w:sz="4" w:space="0"/>
            </w:tcBorders>
            <w:vAlign w:val="center"/>
          </w:tcPr>
          <w:p w14:paraId="49A0F45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EC97E5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300FBA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7C29E3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溪源水库总库容1162.6万m3，需对大坝进行灌浆防渗处理、大坝启闭房拆除重建、启闭机及闸门更换、雨水情及大坝安全监测设施建设、大坝左右进水涵洞直拉闸门更换、坝顶栏杆拆除重建、水库管理房拆除</w:t>
            </w:r>
          </w:p>
        </w:tc>
        <w:tc>
          <w:tcPr>
            <w:tcW w:w="0" w:type="auto"/>
            <w:tcBorders>
              <w:top w:val="single" w:color="000000" w:sz="4" w:space="0"/>
              <w:left w:val="single" w:color="000000" w:sz="4" w:space="0"/>
              <w:bottom w:val="single" w:color="000000" w:sz="4" w:space="0"/>
              <w:right w:val="single" w:color="000000" w:sz="4" w:space="0"/>
            </w:tcBorders>
            <w:vAlign w:val="center"/>
          </w:tcPr>
          <w:p w14:paraId="303C837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1C8B494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3000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686668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3000 </w:t>
            </w:r>
          </w:p>
        </w:tc>
      </w:tr>
      <w:tr w14:paraId="5C58E125">
        <w:tblPrEx>
          <w:tblCellMar>
            <w:top w:w="0" w:type="dxa"/>
            <w:left w:w="108" w:type="dxa"/>
            <w:bottom w:w="0" w:type="dxa"/>
            <w:right w:w="108" w:type="dxa"/>
          </w:tblCellMar>
        </w:tblPrEx>
        <w:trPr>
          <w:trHeight w:val="243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B59DD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7E744266">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小型水库除险加固</w:t>
            </w:r>
          </w:p>
        </w:tc>
        <w:tc>
          <w:tcPr>
            <w:tcW w:w="709" w:type="dxa"/>
            <w:tcBorders>
              <w:top w:val="single" w:color="000000" w:sz="4" w:space="0"/>
              <w:left w:val="single" w:color="000000" w:sz="4" w:space="0"/>
              <w:bottom w:val="single" w:color="000000" w:sz="4" w:space="0"/>
              <w:right w:val="single" w:color="000000" w:sz="4" w:space="0"/>
            </w:tcBorders>
            <w:vAlign w:val="center"/>
          </w:tcPr>
          <w:p w14:paraId="4D243D5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251F6D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D78685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2F475BE0">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小型水库除险加固：</w:t>
            </w:r>
            <w:r>
              <w:rPr>
                <w:rFonts w:hint="eastAsia" w:ascii="宋体" w:hAnsi="宋体" w:cs="宋体"/>
                <w:color w:val="000000"/>
                <w:kern w:val="0"/>
                <w:sz w:val="22"/>
              </w:rPr>
              <w:br w:type="textWrapping"/>
            </w:r>
            <w:r>
              <w:rPr>
                <w:rFonts w:hint="eastAsia" w:ascii="宋体" w:hAnsi="宋体" w:cs="宋体"/>
                <w:color w:val="000000"/>
                <w:kern w:val="0"/>
                <w:sz w:val="22"/>
              </w:rPr>
              <w:t>对鉴定为二类坝的42座公益性小型水库，按鉴定意见需对61台大坝启闭机及斜拉闸门进行更新，对水库三大建筑物进行加固改造，对库容库貌进行整治；</w:t>
            </w:r>
            <w:r>
              <w:rPr>
                <w:rFonts w:hint="eastAsia" w:ascii="宋体" w:hAnsi="宋体" w:cs="宋体"/>
                <w:color w:val="000000"/>
                <w:kern w:val="0"/>
                <w:sz w:val="22"/>
              </w:rPr>
              <w:br w:type="textWrapping"/>
            </w:r>
            <w:r>
              <w:rPr>
                <w:rFonts w:hint="eastAsia" w:ascii="宋体" w:hAnsi="宋体" w:cs="宋体"/>
                <w:color w:val="000000"/>
                <w:kern w:val="0"/>
                <w:sz w:val="22"/>
              </w:rPr>
              <w:t>对全县23座土石坝公益性水库老涵管进行输水建筑物改造，用水平定向钻重新在山体开挖输水隧洞，新建启闭机房及输水箱涵，对老放水涵管进行封堵，彻底去除涵管漏水对坝体造成的安全隐患。</w:t>
            </w:r>
          </w:p>
        </w:tc>
        <w:tc>
          <w:tcPr>
            <w:tcW w:w="0" w:type="auto"/>
            <w:tcBorders>
              <w:top w:val="single" w:color="000000" w:sz="4" w:space="0"/>
              <w:left w:val="single" w:color="000000" w:sz="4" w:space="0"/>
              <w:bottom w:val="single" w:color="000000" w:sz="4" w:space="0"/>
              <w:right w:val="single" w:color="000000" w:sz="4" w:space="0"/>
            </w:tcBorders>
            <w:vAlign w:val="center"/>
          </w:tcPr>
          <w:p w14:paraId="5F9C666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0E1283C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7700 </w:t>
            </w:r>
          </w:p>
        </w:tc>
        <w:tc>
          <w:tcPr>
            <w:tcW w:w="0" w:type="auto"/>
            <w:tcBorders>
              <w:top w:val="single" w:color="000000" w:sz="4" w:space="0"/>
              <w:left w:val="single" w:color="000000" w:sz="4" w:space="0"/>
              <w:bottom w:val="single" w:color="000000" w:sz="4" w:space="0"/>
              <w:right w:val="single" w:color="000000" w:sz="4" w:space="0"/>
            </w:tcBorders>
            <w:vAlign w:val="center"/>
          </w:tcPr>
          <w:p w14:paraId="7756E9E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1540 </w:t>
            </w:r>
          </w:p>
        </w:tc>
      </w:tr>
      <w:tr w14:paraId="5D272CA7">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C21D2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29E67EA0">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山塘除险加固</w:t>
            </w:r>
          </w:p>
        </w:tc>
        <w:tc>
          <w:tcPr>
            <w:tcW w:w="709" w:type="dxa"/>
            <w:tcBorders>
              <w:top w:val="single" w:color="000000" w:sz="4" w:space="0"/>
              <w:left w:val="single" w:color="000000" w:sz="4" w:space="0"/>
              <w:bottom w:val="single" w:color="000000" w:sz="4" w:space="0"/>
              <w:right w:val="single" w:color="000000" w:sz="4" w:space="0"/>
            </w:tcBorders>
            <w:vAlign w:val="center"/>
          </w:tcPr>
          <w:p w14:paraId="0A947ED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DD2D93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CE40E6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408CC1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全县150座山塘年久失修，大坝、溢洪道及输水建筑物不符合规范要求，存在较大的安全隐患，计划对山塘的三大建筑物进行除险加固并对库容库貌进行整治</w:t>
            </w:r>
          </w:p>
        </w:tc>
        <w:tc>
          <w:tcPr>
            <w:tcW w:w="0" w:type="auto"/>
            <w:tcBorders>
              <w:top w:val="single" w:color="000000" w:sz="4" w:space="0"/>
              <w:left w:val="single" w:color="000000" w:sz="4" w:space="0"/>
              <w:bottom w:val="single" w:color="000000" w:sz="4" w:space="0"/>
              <w:right w:val="single" w:color="000000" w:sz="4" w:space="0"/>
            </w:tcBorders>
            <w:vAlign w:val="center"/>
          </w:tcPr>
          <w:p w14:paraId="108AB6A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348DB09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1500 </w:t>
            </w:r>
          </w:p>
        </w:tc>
        <w:tc>
          <w:tcPr>
            <w:tcW w:w="0" w:type="auto"/>
            <w:tcBorders>
              <w:top w:val="single" w:color="000000" w:sz="4" w:space="0"/>
              <w:left w:val="single" w:color="000000" w:sz="4" w:space="0"/>
              <w:bottom w:val="single" w:color="000000" w:sz="4" w:space="0"/>
              <w:right w:val="single" w:color="000000" w:sz="4" w:space="0"/>
            </w:tcBorders>
            <w:vAlign w:val="center"/>
          </w:tcPr>
          <w:p w14:paraId="3ABC196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150 </w:t>
            </w:r>
          </w:p>
        </w:tc>
      </w:tr>
      <w:tr w14:paraId="3A149EE3">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E8F143">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二</w:t>
            </w:r>
          </w:p>
        </w:tc>
        <w:tc>
          <w:tcPr>
            <w:tcW w:w="2523" w:type="dxa"/>
            <w:tcBorders>
              <w:top w:val="single" w:color="000000" w:sz="4" w:space="0"/>
              <w:left w:val="single" w:color="000000" w:sz="4" w:space="0"/>
              <w:bottom w:val="single" w:color="000000" w:sz="4" w:space="0"/>
              <w:right w:val="single" w:color="000000" w:sz="4" w:space="0"/>
            </w:tcBorders>
            <w:vAlign w:val="center"/>
          </w:tcPr>
          <w:p w14:paraId="7D7C751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水资源配置工程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AA43CA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20 </w:t>
            </w:r>
          </w:p>
        </w:tc>
        <w:tc>
          <w:tcPr>
            <w:tcW w:w="709" w:type="dxa"/>
            <w:tcBorders>
              <w:top w:val="single" w:color="000000" w:sz="4" w:space="0"/>
              <w:left w:val="single" w:color="000000" w:sz="4" w:space="0"/>
              <w:bottom w:val="single" w:color="000000" w:sz="4" w:space="0"/>
              <w:right w:val="single" w:color="000000" w:sz="4" w:space="0"/>
            </w:tcBorders>
            <w:vAlign w:val="center"/>
          </w:tcPr>
          <w:p w14:paraId="79B7E274">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1E776BC9">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666ECA5F">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3567BDF">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DB004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698437 </w:t>
            </w:r>
          </w:p>
        </w:tc>
        <w:tc>
          <w:tcPr>
            <w:tcW w:w="0" w:type="auto"/>
            <w:tcBorders>
              <w:top w:val="single" w:color="000000" w:sz="4" w:space="0"/>
              <w:left w:val="single" w:color="000000" w:sz="4" w:space="0"/>
              <w:bottom w:val="single" w:color="000000" w:sz="4" w:space="0"/>
              <w:right w:val="single" w:color="000000" w:sz="4" w:space="0"/>
            </w:tcBorders>
            <w:vAlign w:val="center"/>
          </w:tcPr>
          <w:p w14:paraId="57A6EE6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176239 </w:t>
            </w:r>
          </w:p>
        </w:tc>
      </w:tr>
      <w:tr w14:paraId="760F9915">
        <w:tblPrEx>
          <w:tblCellMar>
            <w:top w:w="0" w:type="dxa"/>
            <w:left w:w="108" w:type="dxa"/>
            <w:bottom w:w="0" w:type="dxa"/>
            <w:right w:w="108" w:type="dxa"/>
          </w:tblCellMar>
        </w:tblPrEx>
        <w:trPr>
          <w:trHeight w:val="14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420508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26BDC0EE">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汀江大型灌区工程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89F304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6E0C922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7350958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大型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585131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汀江上游大型灌区通过整合原有6大灌区，扩建福盛水库、大丰水库，实施双溪口水库干渠、福盛水库干渠，致力于打造设计灌溉面积达50万亩（其中：长汀30万亩，上杭20万亩）的大型现代化灌区。</w:t>
            </w:r>
          </w:p>
        </w:tc>
        <w:tc>
          <w:tcPr>
            <w:tcW w:w="0" w:type="auto"/>
            <w:tcBorders>
              <w:top w:val="single" w:color="000000" w:sz="4" w:space="0"/>
              <w:left w:val="single" w:color="000000" w:sz="4" w:space="0"/>
              <w:bottom w:val="single" w:color="000000" w:sz="4" w:space="0"/>
              <w:right w:val="single" w:color="000000" w:sz="4" w:space="0"/>
            </w:tcBorders>
            <w:vAlign w:val="center"/>
          </w:tcPr>
          <w:p w14:paraId="0D3B2C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3234A80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300000 </w:t>
            </w:r>
          </w:p>
        </w:tc>
        <w:tc>
          <w:tcPr>
            <w:tcW w:w="0" w:type="auto"/>
            <w:tcBorders>
              <w:top w:val="single" w:color="000000" w:sz="4" w:space="0"/>
              <w:left w:val="single" w:color="000000" w:sz="4" w:space="0"/>
              <w:bottom w:val="single" w:color="000000" w:sz="4" w:space="0"/>
              <w:right w:val="single" w:color="000000" w:sz="4" w:space="0"/>
            </w:tcBorders>
            <w:vAlign w:val="center"/>
          </w:tcPr>
          <w:p w14:paraId="291DC4B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3000 </w:t>
            </w:r>
          </w:p>
        </w:tc>
      </w:tr>
      <w:tr w14:paraId="2E4C2628">
        <w:tblPrEx>
          <w:tblCellMar>
            <w:top w:w="0" w:type="dxa"/>
            <w:left w:w="108" w:type="dxa"/>
            <w:bottom w:w="0" w:type="dxa"/>
            <w:right w:w="108" w:type="dxa"/>
          </w:tblCellMar>
        </w:tblPrEx>
        <w:trPr>
          <w:trHeight w:val="148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70B23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3171BDED">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长汀县陂下水库引水工程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38FEDA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739E427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967CA3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DC629E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建设输水线路总长61.2km引水至河田、策武片区，引用流量为每秒3.0立方，年调水9460万方。</w:t>
            </w:r>
          </w:p>
        </w:tc>
        <w:tc>
          <w:tcPr>
            <w:tcW w:w="0" w:type="auto"/>
            <w:tcBorders>
              <w:top w:val="single" w:color="000000" w:sz="4" w:space="0"/>
              <w:left w:val="single" w:color="000000" w:sz="4" w:space="0"/>
              <w:bottom w:val="single" w:color="000000" w:sz="4" w:space="0"/>
              <w:right w:val="single" w:color="000000" w:sz="4" w:space="0"/>
            </w:tcBorders>
            <w:vAlign w:val="center"/>
          </w:tcPr>
          <w:p w14:paraId="76424F0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68DF47D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82000 </w:t>
            </w:r>
          </w:p>
        </w:tc>
        <w:tc>
          <w:tcPr>
            <w:tcW w:w="0" w:type="auto"/>
            <w:tcBorders>
              <w:top w:val="single" w:color="000000" w:sz="4" w:space="0"/>
              <w:left w:val="single" w:color="000000" w:sz="4" w:space="0"/>
              <w:bottom w:val="single" w:color="000000" w:sz="4" w:space="0"/>
              <w:right w:val="single" w:color="000000" w:sz="4" w:space="0"/>
            </w:tcBorders>
            <w:vAlign w:val="center"/>
          </w:tcPr>
          <w:p w14:paraId="58D2E94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8200 </w:t>
            </w:r>
          </w:p>
        </w:tc>
      </w:tr>
      <w:tr w14:paraId="40272275">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608C7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（一）</w:t>
            </w:r>
          </w:p>
        </w:tc>
        <w:tc>
          <w:tcPr>
            <w:tcW w:w="2523" w:type="dxa"/>
            <w:tcBorders>
              <w:top w:val="single" w:color="000000" w:sz="4" w:space="0"/>
              <w:left w:val="single" w:color="000000" w:sz="4" w:space="0"/>
              <w:bottom w:val="single" w:color="000000" w:sz="4" w:space="0"/>
              <w:right w:val="single" w:color="000000" w:sz="4" w:space="0"/>
            </w:tcBorders>
            <w:vAlign w:val="center"/>
          </w:tcPr>
          <w:p w14:paraId="24F8C8EF">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水源工程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741324B">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6</w:t>
            </w:r>
          </w:p>
        </w:tc>
        <w:tc>
          <w:tcPr>
            <w:tcW w:w="709" w:type="dxa"/>
            <w:tcBorders>
              <w:top w:val="single" w:color="000000" w:sz="4" w:space="0"/>
              <w:left w:val="single" w:color="000000" w:sz="4" w:space="0"/>
              <w:bottom w:val="single" w:color="000000" w:sz="4" w:space="0"/>
              <w:right w:val="single" w:color="000000" w:sz="4" w:space="0"/>
            </w:tcBorders>
            <w:vAlign w:val="center"/>
          </w:tcPr>
          <w:p w14:paraId="1B334D4D">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1A2945BD">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3C651111">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4C95DE">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11E0D35">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169737 </w:t>
            </w:r>
          </w:p>
        </w:tc>
        <w:tc>
          <w:tcPr>
            <w:tcW w:w="0" w:type="auto"/>
            <w:tcBorders>
              <w:top w:val="single" w:color="000000" w:sz="4" w:space="0"/>
              <w:left w:val="single" w:color="000000" w:sz="4" w:space="0"/>
              <w:bottom w:val="single" w:color="000000" w:sz="4" w:space="0"/>
              <w:right w:val="single" w:color="000000" w:sz="4" w:space="0"/>
            </w:tcBorders>
            <w:vAlign w:val="center"/>
          </w:tcPr>
          <w:p w14:paraId="28EDA6D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68808.9 </w:t>
            </w:r>
          </w:p>
        </w:tc>
      </w:tr>
      <w:tr w14:paraId="4A829BD6">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61C8D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1A63580C">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龙门水库工程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03579B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4E8AFB2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4D2F93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CB077B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龙门水库拦河坝采用C15混凝土砌石双曲拱坝结构，最大坝高73.0米，总库容2909万立方米，为中型水库。本工程等级为Ⅲ等工程，灌区范围内水源工程、骨干输配水工程、骨干渠系建筑物及配套设施工程、用水量测工程和信息化工程建设。</w:t>
            </w:r>
          </w:p>
        </w:tc>
        <w:tc>
          <w:tcPr>
            <w:tcW w:w="0" w:type="auto"/>
            <w:tcBorders>
              <w:top w:val="single" w:color="000000" w:sz="4" w:space="0"/>
              <w:left w:val="single" w:color="000000" w:sz="4" w:space="0"/>
              <w:bottom w:val="single" w:color="000000" w:sz="4" w:space="0"/>
              <w:right w:val="single" w:color="000000" w:sz="4" w:space="0"/>
            </w:tcBorders>
            <w:vAlign w:val="center"/>
          </w:tcPr>
          <w:p w14:paraId="48EDB08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6199E70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89663 </w:t>
            </w:r>
          </w:p>
        </w:tc>
        <w:tc>
          <w:tcPr>
            <w:tcW w:w="0" w:type="auto"/>
            <w:tcBorders>
              <w:top w:val="single" w:color="000000" w:sz="4" w:space="0"/>
              <w:left w:val="single" w:color="000000" w:sz="4" w:space="0"/>
              <w:bottom w:val="single" w:color="000000" w:sz="4" w:space="0"/>
              <w:right w:val="single" w:color="000000" w:sz="4" w:space="0"/>
            </w:tcBorders>
            <w:vAlign w:val="center"/>
          </w:tcPr>
          <w:p w14:paraId="6842173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35865.2 </w:t>
            </w:r>
          </w:p>
        </w:tc>
      </w:tr>
      <w:tr w14:paraId="4C2B9A1D">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A1335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363A6459">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桐睦水库建设工程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9286D7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EFC64D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续建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3B57AA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42E22E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主要建设内容为堆石混凝土重力坝，坝高50m，水库总库容543.55万m3，主要建筑物包括：拦河坝、溢洪道、引水系统等，工程建设以供水为主，兼顾灌溉，供水保证率95%，设计保灌耕地面积5900亩，灌溉保证率90%。</w:t>
            </w:r>
          </w:p>
        </w:tc>
        <w:tc>
          <w:tcPr>
            <w:tcW w:w="0" w:type="auto"/>
            <w:tcBorders>
              <w:top w:val="single" w:color="000000" w:sz="4" w:space="0"/>
              <w:left w:val="single" w:color="000000" w:sz="4" w:space="0"/>
              <w:bottom w:val="single" w:color="000000" w:sz="4" w:space="0"/>
              <w:right w:val="single" w:color="000000" w:sz="4" w:space="0"/>
            </w:tcBorders>
            <w:vAlign w:val="center"/>
          </w:tcPr>
          <w:p w14:paraId="28FD6BB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已开工</w:t>
            </w:r>
          </w:p>
        </w:tc>
        <w:tc>
          <w:tcPr>
            <w:tcW w:w="0" w:type="auto"/>
            <w:tcBorders>
              <w:top w:val="single" w:color="000000" w:sz="4" w:space="0"/>
              <w:left w:val="single" w:color="000000" w:sz="4" w:space="0"/>
              <w:bottom w:val="single" w:color="000000" w:sz="4" w:space="0"/>
              <w:right w:val="single" w:color="000000" w:sz="4" w:space="0"/>
            </w:tcBorders>
            <w:vAlign w:val="center"/>
          </w:tcPr>
          <w:p w14:paraId="1D19C15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20901 </w:t>
            </w:r>
          </w:p>
        </w:tc>
        <w:tc>
          <w:tcPr>
            <w:tcW w:w="0" w:type="auto"/>
            <w:tcBorders>
              <w:top w:val="single" w:color="000000" w:sz="4" w:space="0"/>
              <w:left w:val="single" w:color="000000" w:sz="4" w:space="0"/>
              <w:bottom w:val="single" w:color="000000" w:sz="4" w:space="0"/>
              <w:right w:val="single" w:color="000000" w:sz="4" w:space="0"/>
            </w:tcBorders>
            <w:vAlign w:val="center"/>
          </w:tcPr>
          <w:p w14:paraId="001BF8F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1800 </w:t>
            </w:r>
          </w:p>
        </w:tc>
      </w:tr>
      <w:tr w14:paraId="672E57C6">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C417B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60CE8CCA">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伯公前水库</w:t>
            </w:r>
          </w:p>
        </w:tc>
        <w:tc>
          <w:tcPr>
            <w:tcW w:w="709" w:type="dxa"/>
            <w:tcBorders>
              <w:top w:val="single" w:color="000000" w:sz="4" w:space="0"/>
              <w:left w:val="single" w:color="000000" w:sz="4" w:space="0"/>
              <w:bottom w:val="single" w:color="000000" w:sz="4" w:space="0"/>
              <w:right w:val="single" w:color="000000" w:sz="4" w:space="0"/>
            </w:tcBorders>
            <w:vAlign w:val="center"/>
          </w:tcPr>
          <w:p w14:paraId="6EFBFBE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3FB6A3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F269AB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70A5D69">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位于河田镇，刘源溪支流，集水面积 8.3km²，总库容 441 万 m³，兴利库容 343 万 m³，工程任务为供水、灌溉。</w:t>
            </w:r>
          </w:p>
        </w:tc>
        <w:tc>
          <w:tcPr>
            <w:tcW w:w="0" w:type="auto"/>
            <w:tcBorders>
              <w:top w:val="single" w:color="000000" w:sz="4" w:space="0"/>
              <w:left w:val="single" w:color="000000" w:sz="4" w:space="0"/>
              <w:bottom w:val="single" w:color="000000" w:sz="4" w:space="0"/>
              <w:right w:val="single" w:color="000000" w:sz="4" w:space="0"/>
            </w:tcBorders>
            <w:vAlign w:val="center"/>
          </w:tcPr>
          <w:p w14:paraId="23AE539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初设已批</w:t>
            </w:r>
          </w:p>
        </w:tc>
        <w:tc>
          <w:tcPr>
            <w:tcW w:w="0" w:type="auto"/>
            <w:tcBorders>
              <w:top w:val="single" w:color="000000" w:sz="4" w:space="0"/>
              <w:left w:val="single" w:color="000000" w:sz="4" w:space="0"/>
              <w:bottom w:val="single" w:color="000000" w:sz="4" w:space="0"/>
              <w:right w:val="single" w:color="000000" w:sz="4" w:space="0"/>
            </w:tcBorders>
            <w:vAlign w:val="center"/>
          </w:tcPr>
          <w:p w14:paraId="71C9CEE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23707.65 </w:t>
            </w:r>
          </w:p>
        </w:tc>
        <w:tc>
          <w:tcPr>
            <w:tcW w:w="0" w:type="auto"/>
            <w:tcBorders>
              <w:top w:val="single" w:color="000000" w:sz="4" w:space="0"/>
              <w:left w:val="single" w:color="000000" w:sz="4" w:space="0"/>
              <w:bottom w:val="single" w:color="000000" w:sz="4" w:space="0"/>
              <w:right w:val="single" w:color="000000" w:sz="4" w:space="0"/>
            </w:tcBorders>
            <w:vAlign w:val="center"/>
          </w:tcPr>
          <w:p w14:paraId="66124D5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23707.65 </w:t>
            </w:r>
          </w:p>
        </w:tc>
      </w:tr>
      <w:tr w14:paraId="3313E3C3">
        <w:tblPrEx>
          <w:tblCellMar>
            <w:top w:w="0" w:type="dxa"/>
            <w:left w:w="108" w:type="dxa"/>
            <w:bottom w:w="0" w:type="dxa"/>
            <w:right w:w="108" w:type="dxa"/>
          </w:tblCellMar>
        </w:tblPrEx>
        <w:trPr>
          <w:trHeight w:val="8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EA3E3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vAlign w:val="center"/>
          </w:tcPr>
          <w:p w14:paraId="7061A469">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云霄山水库建设工程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CED47A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5E2C71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7FC3C6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2A54794">
            <w:pPr>
              <w:widowControl/>
              <w:spacing w:line="240" w:lineRule="auto"/>
              <w:jc w:val="left"/>
              <w:rPr>
                <w:rFonts w:ascii="宋体" w:hAnsi="宋体" w:cs="宋体"/>
                <w:color w:val="000000"/>
                <w:kern w:val="0"/>
                <w:sz w:val="22"/>
              </w:rPr>
            </w:pPr>
            <w:r>
              <w:rPr>
                <w:rFonts w:ascii="宋体" w:hAnsi="宋体" w:cs="宋体"/>
                <w:color w:val="000000"/>
                <w:kern w:val="0"/>
                <w:sz w:val="22"/>
              </w:rPr>
              <w:t>工程等别为IV等，规模为小（1）型水库，主要建筑物拦河坝、溢洪道、进水口、输水管道工程等。总库容110万m</w:t>
            </w:r>
            <w:r>
              <w:rPr>
                <w:rFonts w:ascii="宋体" w:hAnsi="宋体" w:cs="宋体"/>
                <w:color w:val="000000"/>
                <w:kern w:val="0"/>
                <w:sz w:val="22"/>
                <w:vertAlign w:val="superscript"/>
              </w:rPr>
              <w:t>3</w:t>
            </w:r>
            <w:r>
              <w:rPr>
                <w:rFonts w:ascii="宋体" w:hAnsi="宋体" w:cs="宋体"/>
                <w:color w:val="000000"/>
                <w:kern w:val="0"/>
                <w:sz w:val="22"/>
              </w:rPr>
              <w:t>。</w:t>
            </w:r>
          </w:p>
        </w:tc>
        <w:tc>
          <w:tcPr>
            <w:tcW w:w="0" w:type="auto"/>
            <w:tcBorders>
              <w:top w:val="single" w:color="000000" w:sz="4" w:space="0"/>
              <w:left w:val="single" w:color="000000" w:sz="4" w:space="0"/>
              <w:bottom w:val="single" w:color="000000" w:sz="4" w:space="0"/>
              <w:right w:val="single" w:color="000000" w:sz="4" w:space="0"/>
            </w:tcBorders>
            <w:vAlign w:val="center"/>
          </w:tcPr>
          <w:p w14:paraId="09B7D9A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6D2589D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12965 </w:t>
            </w:r>
          </w:p>
        </w:tc>
        <w:tc>
          <w:tcPr>
            <w:tcW w:w="0" w:type="auto"/>
            <w:tcBorders>
              <w:top w:val="single" w:color="000000" w:sz="4" w:space="0"/>
              <w:left w:val="single" w:color="000000" w:sz="4" w:space="0"/>
              <w:bottom w:val="single" w:color="000000" w:sz="4" w:space="0"/>
              <w:right w:val="single" w:color="000000" w:sz="4" w:space="0"/>
            </w:tcBorders>
            <w:vAlign w:val="center"/>
          </w:tcPr>
          <w:p w14:paraId="5425394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5186 </w:t>
            </w:r>
          </w:p>
        </w:tc>
      </w:tr>
      <w:tr w14:paraId="64ECBFF3">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D1590C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5</w:t>
            </w:r>
          </w:p>
        </w:tc>
        <w:tc>
          <w:tcPr>
            <w:tcW w:w="2523" w:type="dxa"/>
            <w:tcBorders>
              <w:top w:val="single" w:color="000000" w:sz="4" w:space="0"/>
              <w:left w:val="single" w:color="000000" w:sz="4" w:space="0"/>
              <w:bottom w:val="single" w:color="000000" w:sz="4" w:space="0"/>
              <w:right w:val="single" w:color="000000" w:sz="4" w:space="0"/>
            </w:tcBorders>
            <w:vAlign w:val="center"/>
          </w:tcPr>
          <w:p w14:paraId="5F60BD9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板寮水库工程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D56681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16E49F4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BBEA3C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B9F073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工程等别为IV等，规模为小（1）型水库，主要建筑物拦河坝、分层进水口及引水隧洞、输水管道工程等。总库容570万m³。</w:t>
            </w:r>
          </w:p>
        </w:tc>
        <w:tc>
          <w:tcPr>
            <w:tcW w:w="0" w:type="auto"/>
            <w:tcBorders>
              <w:top w:val="single" w:color="000000" w:sz="4" w:space="0"/>
              <w:left w:val="single" w:color="000000" w:sz="4" w:space="0"/>
              <w:bottom w:val="single" w:color="000000" w:sz="4" w:space="0"/>
              <w:right w:val="single" w:color="000000" w:sz="4" w:space="0"/>
            </w:tcBorders>
            <w:vAlign w:val="center"/>
          </w:tcPr>
          <w:p w14:paraId="5EE428E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7202565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22500 </w:t>
            </w:r>
          </w:p>
        </w:tc>
        <w:tc>
          <w:tcPr>
            <w:tcW w:w="0" w:type="auto"/>
            <w:tcBorders>
              <w:top w:val="single" w:color="000000" w:sz="4" w:space="0"/>
              <w:left w:val="single" w:color="000000" w:sz="4" w:space="0"/>
              <w:bottom w:val="single" w:color="000000" w:sz="4" w:space="0"/>
              <w:right w:val="single" w:color="000000" w:sz="4" w:space="0"/>
            </w:tcBorders>
            <w:vAlign w:val="center"/>
          </w:tcPr>
          <w:p w14:paraId="5EB871A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2250 </w:t>
            </w:r>
          </w:p>
        </w:tc>
      </w:tr>
      <w:tr w14:paraId="48E5FA54">
        <w:tblPrEx>
          <w:tblCellMar>
            <w:top w:w="0" w:type="dxa"/>
            <w:left w:w="108" w:type="dxa"/>
            <w:bottom w:w="0" w:type="dxa"/>
            <w:right w:w="108" w:type="dxa"/>
          </w:tblCellMar>
        </w:tblPrEx>
        <w:trPr>
          <w:trHeight w:val="8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8CB48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6</w:t>
            </w:r>
          </w:p>
        </w:tc>
        <w:tc>
          <w:tcPr>
            <w:tcW w:w="2523" w:type="dxa"/>
            <w:tcBorders>
              <w:top w:val="single" w:color="000000" w:sz="4" w:space="0"/>
              <w:left w:val="single" w:color="000000" w:sz="4" w:space="0"/>
              <w:bottom w:val="single" w:color="000000" w:sz="4" w:space="0"/>
              <w:right w:val="single" w:color="000000" w:sz="4" w:space="0"/>
            </w:tcBorders>
            <w:vAlign w:val="center"/>
          </w:tcPr>
          <w:p w14:paraId="55F6846C">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半坑水库</w:t>
            </w:r>
          </w:p>
        </w:tc>
        <w:tc>
          <w:tcPr>
            <w:tcW w:w="709" w:type="dxa"/>
            <w:tcBorders>
              <w:top w:val="single" w:color="000000" w:sz="4" w:space="0"/>
              <w:left w:val="single" w:color="000000" w:sz="4" w:space="0"/>
              <w:bottom w:val="single" w:color="000000" w:sz="4" w:space="0"/>
              <w:right w:val="single" w:color="000000" w:sz="4" w:space="0"/>
            </w:tcBorders>
            <w:vAlign w:val="center"/>
          </w:tcPr>
          <w:p w14:paraId="6D42F3D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3C92037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489C675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33345BE7">
            <w:pPr>
              <w:widowControl/>
              <w:spacing w:line="240" w:lineRule="auto"/>
              <w:jc w:val="left"/>
              <w:rPr>
                <w:rFonts w:ascii="宋体" w:hAnsi="宋体" w:cs="宋体"/>
                <w:color w:val="000000"/>
                <w:kern w:val="0"/>
                <w:sz w:val="22"/>
              </w:rPr>
            </w:pPr>
            <w:r>
              <w:rPr>
                <w:rFonts w:ascii="宋体" w:hAnsi="宋体" w:cs="宋体"/>
                <w:color w:val="000000"/>
                <w:kern w:val="0"/>
                <w:sz w:val="22"/>
              </w:rPr>
              <w:t>工程等别为IV等，规模为小（1）型水库，主要建筑物拦河坝、溢洪道、进水口、输水管道工程等。总库容230万m</w:t>
            </w:r>
            <w:r>
              <w:rPr>
                <w:rFonts w:ascii="宋体" w:hAnsi="宋体" w:cs="宋体"/>
                <w:color w:val="000000"/>
                <w:kern w:val="0"/>
                <w:sz w:val="22"/>
                <w:vertAlign w:val="superscript"/>
              </w:rPr>
              <w:t>3</w:t>
            </w:r>
            <w:r>
              <w:rPr>
                <w:rFonts w:ascii="宋体" w:hAnsi="宋体" w:cs="宋体"/>
                <w:color w:val="000000"/>
                <w:kern w:val="0"/>
                <w:sz w:val="22"/>
              </w:rPr>
              <w:t>。</w:t>
            </w:r>
          </w:p>
        </w:tc>
        <w:tc>
          <w:tcPr>
            <w:tcW w:w="0" w:type="auto"/>
            <w:tcBorders>
              <w:top w:val="single" w:color="000000" w:sz="4" w:space="0"/>
              <w:left w:val="single" w:color="000000" w:sz="4" w:space="0"/>
              <w:bottom w:val="single" w:color="000000" w:sz="4" w:space="0"/>
              <w:right w:val="single" w:color="000000" w:sz="4" w:space="0"/>
            </w:tcBorders>
            <w:vAlign w:val="center"/>
          </w:tcPr>
          <w:p w14:paraId="7AB67FB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464E5E4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13800 </w:t>
            </w:r>
          </w:p>
        </w:tc>
        <w:tc>
          <w:tcPr>
            <w:tcW w:w="0" w:type="auto"/>
            <w:tcBorders>
              <w:top w:val="single" w:color="000000" w:sz="4" w:space="0"/>
              <w:left w:val="single" w:color="000000" w:sz="4" w:space="0"/>
              <w:bottom w:val="single" w:color="000000" w:sz="4" w:space="0"/>
              <w:right w:val="single" w:color="000000" w:sz="4" w:space="0"/>
            </w:tcBorders>
            <w:vAlign w:val="center"/>
          </w:tcPr>
          <w:p w14:paraId="4784B37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1380 </w:t>
            </w:r>
          </w:p>
        </w:tc>
      </w:tr>
      <w:tr w14:paraId="0588C740">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C14C65">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（二）</w:t>
            </w:r>
          </w:p>
        </w:tc>
        <w:tc>
          <w:tcPr>
            <w:tcW w:w="2523" w:type="dxa"/>
            <w:tcBorders>
              <w:top w:val="single" w:color="000000" w:sz="4" w:space="0"/>
              <w:left w:val="single" w:color="000000" w:sz="4" w:space="0"/>
              <w:bottom w:val="single" w:color="000000" w:sz="4" w:space="0"/>
              <w:right w:val="single" w:color="000000" w:sz="4" w:space="0"/>
            </w:tcBorders>
            <w:vAlign w:val="center"/>
          </w:tcPr>
          <w:p w14:paraId="479C9D67">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drawing>
                <wp:anchor distT="0" distB="0" distL="114300" distR="114300" simplePos="0" relativeHeight="251689984" behindDoc="0" locked="0" layoutInCell="1" allowOverlap="1">
                  <wp:simplePos x="0" y="0"/>
                  <wp:positionH relativeFrom="column">
                    <wp:posOffset>419100</wp:posOffset>
                  </wp:positionH>
                  <wp:positionV relativeFrom="paragraph">
                    <wp:posOffset>0</wp:posOffset>
                  </wp:positionV>
                  <wp:extent cx="76200" cy="152400"/>
                  <wp:effectExtent l="0" t="0" r="0" b="0"/>
                  <wp:wrapNone/>
                  <wp:docPr id="266" name="图片 54"/>
                  <wp:cNvGraphicFramePr/>
                  <a:graphic xmlns:a="http://schemas.openxmlformats.org/drawingml/2006/main">
                    <a:graphicData uri="http://schemas.openxmlformats.org/drawingml/2006/picture">
                      <pic:pic xmlns:pic="http://schemas.openxmlformats.org/drawingml/2006/picture">
                        <pic:nvPicPr>
                          <pic:cNvPr id="266" name="图片 54"/>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76200" cy="15240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1008" behindDoc="0" locked="0" layoutInCell="1" allowOverlap="1">
                  <wp:simplePos x="0" y="0"/>
                  <wp:positionH relativeFrom="column">
                    <wp:posOffset>419100</wp:posOffset>
                  </wp:positionH>
                  <wp:positionV relativeFrom="paragraph">
                    <wp:posOffset>0</wp:posOffset>
                  </wp:positionV>
                  <wp:extent cx="19050" cy="152400"/>
                  <wp:effectExtent l="0" t="0" r="0" b="0"/>
                  <wp:wrapNone/>
                  <wp:docPr id="265" name="图片 53"/>
                  <wp:cNvGraphicFramePr/>
                  <a:graphic xmlns:a="http://schemas.openxmlformats.org/drawingml/2006/main">
                    <a:graphicData uri="http://schemas.openxmlformats.org/drawingml/2006/picture">
                      <pic:pic xmlns:pic="http://schemas.openxmlformats.org/drawingml/2006/picture">
                        <pic:nvPicPr>
                          <pic:cNvPr id="265" name="图片 53"/>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9050" cy="15240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2032" behindDoc="0" locked="0" layoutInCell="1" allowOverlap="1">
                  <wp:simplePos x="0" y="0"/>
                  <wp:positionH relativeFrom="column">
                    <wp:posOffset>419100</wp:posOffset>
                  </wp:positionH>
                  <wp:positionV relativeFrom="paragraph">
                    <wp:posOffset>0</wp:posOffset>
                  </wp:positionV>
                  <wp:extent cx="76200" cy="161925"/>
                  <wp:effectExtent l="0" t="0" r="0" b="0"/>
                  <wp:wrapNone/>
                  <wp:docPr id="267" name="图片 52"/>
                  <wp:cNvGraphicFramePr/>
                  <a:graphic xmlns:a="http://schemas.openxmlformats.org/drawingml/2006/main">
                    <a:graphicData uri="http://schemas.openxmlformats.org/drawingml/2006/picture">
                      <pic:pic xmlns:pic="http://schemas.openxmlformats.org/drawingml/2006/picture">
                        <pic:nvPicPr>
                          <pic:cNvPr id="267" name="图片 52"/>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76200" cy="16192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3056" behindDoc="0" locked="0" layoutInCell="1" allowOverlap="1">
                  <wp:simplePos x="0" y="0"/>
                  <wp:positionH relativeFrom="column">
                    <wp:posOffset>438150</wp:posOffset>
                  </wp:positionH>
                  <wp:positionV relativeFrom="paragraph">
                    <wp:posOffset>0</wp:posOffset>
                  </wp:positionV>
                  <wp:extent cx="9525" cy="504825"/>
                  <wp:effectExtent l="0" t="0" r="0" b="0"/>
                  <wp:wrapNone/>
                  <wp:docPr id="276" name="图片 51"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51"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0482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4080" behindDoc="0" locked="0" layoutInCell="1" allowOverlap="1">
                  <wp:simplePos x="0" y="0"/>
                  <wp:positionH relativeFrom="column">
                    <wp:posOffset>438150</wp:posOffset>
                  </wp:positionH>
                  <wp:positionV relativeFrom="paragraph">
                    <wp:posOffset>0</wp:posOffset>
                  </wp:positionV>
                  <wp:extent cx="9525" cy="485775"/>
                  <wp:effectExtent l="0" t="0" r="0" b="0"/>
                  <wp:wrapNone/>
                  <wp:docPr id="525" name="图片 50"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图片 50"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48577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5104" behindDoc="0" locked="0" layoutInCell="1" allowOverlap="1">
                  <wp:simplePos x="0" y="0"/>
                  <wp:positionH relativeFrom="column">
                    <wp:posOffset>438150</wp:posOffset>
                  </wp:positionH>
                  <wp:positionV relativeFrom="paragraph">
                    <wp:posOffset>0</wp:posOffset>
                  </wp:positionV>
                  <wp:extent cx="9525" cy="342900"/>
                  <wp:effectExtent l="0" t="0" r="0" b="0"/>
                  <wp:wrapNone/>
                  <wp:docPr id="275" name="图片 49"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49"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34290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6128" behindDoc="0" locked="0" layoutInCell="1" allowOverlap="1">
                  <wp:simplePos x="0" y="0"/>
                  <wp:positionH relativeFrom="column">
                    <wp:posOffset>438150</wp:posOffset>
                  </wp:positionH>
                  <wp:positionV relativeFrom="paragraph">
                    <wp:posOffset>0</wp:posOffset>
                  </wp:positionV>
                  <wp:extent cx="9525" cy="664845"/>
                  <wp:effectExtent l="0" t="0" r="0" b="0"/>
                  <wp:wrapNone/>
                  <wp:docPr id="495" name="图片 48"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48"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6484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7152" behindDoc="0" locked="0" layoutInCell="1" allowOverlap="1">
                  <wp:simplePos x="0" y="0"/>
                  <wp:positionH relativeFrom="column">
                    <wp:posOffset>438150</wp:posOffset>
                  </wp:positionH>
                  <wp:positionV relativeFrom="paragraph">
                    <wp:posOffset>0</wp:posOffset>
                  </wp:positionV>
                  <wp:extent cx="9525" cy="352425"/>
                  <wp:effectExtent l="0" t="0" r="0" b="0"/>
                  <wp:wrapNone/>
                  <wp:docPr id="274" name="图片 47"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47"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35242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8176" behindDoc="0" locked="0" layoutInCell="1" allowOverlap="1">
                  <wp:simplePos x="0" y="0"/>
                  <wp:positionH relativeFrom="column">
                    <wp:posOffset>438150</wp:posOffset>
                  </wp:positionH>
                  <wp:positionV relativeFrom="paragraph">
                    <wp:posOffset>0</wp:posOffset>
                  </wp:positionV>
                  <wp:extent cx="9525" cy="495300"/>
                  <wp:effectExtent l="0" t="0" r="0" b="0"/>
                  <wp:wrapNone/>
                  <wp:docPr id="494" name="图片 46"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图片 46"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49530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699200" behindDoc="0" locked="0" layoutInCell="1" allowOverlap="1">
                  <wp:simplePos x="0" y="0"/>
                  <wp:positionH relativeFrom="column">
                    <wp:posOffset>438150</wp:posOffset>
                  </wp:positionH>
                  <wp:positionV relativeFrom="paragraph">
                    <wp:posOffset>0</wp:posOffset>
                  </wp:positionV>
                  <wp:extent cx="9525" cy="457200"/>
                  <wp:effectExtent l="0" t="0" r="0" b="0"/>
                  <wp:wrapNone/>
                  <wp:docPr id="404" name="图片 45"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5"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45720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0224" behindDoc="0" locked="0" layoutInCell="1" allowOverlap="1">
                  <wp:simplePos x="0" y="0"/>
                  <wp:positionH relativeFrom="column">
                    <wp:posOffset>438150</wp:posOffset>
                  </wp:positionH>
                  <wp:positionV relativeFrom="paragraph">
                    <wp:posOffset>0</wp:posOffset>
                  </wp:positionV>
                  <wp:extent cx="9525" cy="323850"/>
                  <wp:effectExtent l="0" t="0" r="0" b="0"/>
                  <wp:wrapNone/>
                  <wp:docPr id="379" name="图片 44"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44"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32385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1248" behindDoc="0" locked="0" layoutInCell="1" allowOverlap="1">
                  <wp:simplePos x="0" y="0"/>
                  <wp:positionH relativeFrom="column">
                    <wp:posOffset>438150</wp:posOffset>
                  </wp:positionH>
                  <wp:positionV relativeFrom="paragraph">
                    <wp:posOffset>0</wp:posOffset>
                  </wp:positionV>
                  <wp:extent cx="9525" cy="209550"/>
                  <wp:effectExtent l="0" t="0" r="0" b="0"/>
                  <wp:wrapNone/>
                  <wp:docPr id="264" name="图片 43"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43"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20955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2272" behindDoc="0" locked="0" layoutInCell="1" allowOverlap="1">
                  <wp:simplePos x="0" y="0"/>
                  <wp:positionH relativeFrom="column">
                    <wp:posOffset>438150</wp:posOffset>
                  </wp:positionH>
                  <wp:positionV relativeFrom="paragraph">
                    <wp:posOffset>0</wp:posOffset>
                  </wp:positionV>
                  <wp:extent cx="9525" cy="171450"/>
                  <wp:effectExtent l="0" t="0" r="0" b="0"/>
                  <wp:wrapNone/>
                  <wp:docPr id="277" name="图片 42"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42"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17145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3296" behindDoc="0" locked="0" layoutInCell="1" allowOverlap="1">
                  <wp:simplePos x="0" y="0"/>
                  <wp:positionH relativeFrom="column">
                    <wp:posOffset>485775</wp:posOffset>
                  </wp:positionH>
                  <wp:positionV relativeFrom="paragraph">
                    <wp:posOffset>0</wp:posOffset>
                  </wp:positionV>
                  <wp:extent cx="9525" cy="209550"/>
                  <wp:effectExtent l="0" t="0" r="0" b="0"/>
                  <wp:wrapNone/>
                  <wp:docPr id="499" name="图片 41"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图片 41"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209550"/>
                          </a:xfrm>
                          <a:prstGeom prst="rect">
                            <a:avLst/>
                          </a:prstGeom>
                          <a:noFill/>
                          <a:ln>
                            <a:noFill/>
                          </a:ln>
                        </pic:spPr>
                      </pic:pic>
                    </a:graphicData>
                  </a:graphic>
                </wp:anchor>
              </w:drawing>
            </w:r>
            <w:r>
              <w:rPr>
                <w:rFonts w:hint="eastAsia" w:ascii="宋体" w:hAnsi="宋体" w:cs="宋体"/>
                <w:b/>
                <w:bCs/>
                <w:color w:val="000000"/>
                <w:kern w:val="0"/>
                <w:sz w:val="22"/>
              </w:rPr>
              <w:t>供水安全</w:t>
            </w:r>
          </w:p>
        </w:tc>
        <w:tc>
          <w:tcPr>
            <w:tcW w:w="709" w:type="dxa"/>
            <w:tcBorders>
              <w:top w:val="single" w:color="000000" w:sz="4" w:space="0"/>
              <w:left w:val="single" w:color="000000" w:sz="4" w:space="0"/>
              <w:bottom w:val="single" w:color="000000" w:sz="4" w:space="0"/>
              <w:right w:val="single" w:color="000000" w:sz="4" w:space="0"/>
            </w:tcBorders>
            <w:vAlign w:val="center"/>
          </w:tcPr>
          <w:p w14:paraId="5E4F42AC">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5</w:t>
            </w:r>
          </w:p>
        </w:tc>
        <w:tc>
          <w:tcPr>
            <w:tcW w:w="709" w:type="dxa"/>
            <w:tcBorders>
              <w:top w:val="single" w:color="000000" w:sz="4" w:space="0"/>
              <w:left w:val="single" w:color="000000" w:sz="4" w:space="0"/>
              <w:bottom w:val="single" w:color="000000" w:sz="4" w:space="0"/>
              <w:right w:val="single" w:color="000000" w:sz="4" w:space="0"/>
            </w:tcBorders>
            <w:vAlign w:val="center"/>
          </w:tcPr>
          <w:p w14:paraId="21BD9A8D">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01DED371">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5C623CB6">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FC007D5">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4F94E9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181600 </w:t>
            </w:r>
          </w:p>
        </w:tc>
        <w:tc>
          <w:tcPr>
            <w:tcW w:w="0" w:type="auto"/>
            <w:tcBorders>
              <w:top w:val="single" w:color="000000" w:sz="4" w:space="0"/>
              <w:left w:val="single" w:color="000000" w:sz="4" w:space="0"/>
              <w:bottom w:val="single" w:color="000000" w:sz="4" w:space="0"/>
              <w:right w:val="single" w:color="000000" w:sz="4" w:space="0"/>
            </w:tcBorders>
            <w:vAlign w:val="center"/>
          </w:tcPr>
          <w:p w14:paraId="2B4808D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70020 </w:t>
            </w:r>
          </w:p>
        </w:tc>
      </w:tr>
      <w:tr w14:paraId="5E13201E">
        <w:tblPrEx>
          <w:tblCellMar>
            <w:top w:w="0" w:type="dxa"/>
            <w:left w:w="108" w:type="dxa"/>
            <w:bottom w:w="0" w:type="dxa"/>
            <w:right w:w="108" w:type="dxa"/>
          </w:tblCellMar>
        </w:tblPrEx>
        <w:trPr>
          <w:trHeight w:val="74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B50A83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1052D24D">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长汀县城乡供水一体化工程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45A98F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2ABBA3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续建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112979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打捆项目</w:t>
            </w:r>
          </w:p>
        </w:tc>
        <w:tc>
          <w:tcPr>
            <w:tcW w:w="4951" w:type="dxa"/>
            <w:tcBorders>
              <w:top w:val="single" w:color="000000" w:sz="4" w:space="0"/>
              <w:left w:val="single" w:color="000000" w:sz="4" w:space="0"/>
              <w:bottom w:val="single" w:color="000000" w:sz="4" w:space="0"/>
              <w:right w:val="single" w:color="000000" w:sz="4" w:space="0"/>
            </w:tcBorders>
            <w:vAlign w:val="center"/>
          </w:tcPr>
          <w:p w14:paraId="414E084B">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主要包含取水、输水、净水、配水、分散、供水、辅助工程等。共分为8个片区进行供水。建设数字水务一体化平台、物联网感知建设、管网物探普查、网络传输及云计算资源数据存储、机房及调度中心建设、系统安全建设、集镇智能水表改造。童坊镇、铁长乡、馆前镇村级供水工程：水源点建设，新建、改扩建村级水厂27座及配套管网工程等。童坊镇长坝供水工程：水源点建设，改扩建规模化水厂一座及配套管网工程等。</w:t>
            </w:r>
          </w:p>
        </w:tc>
        <w:tc>
          <w:tcPr>
            <w:tcW w:w="0" w:type="auto"/>
            <w:tcBorders>
              <w:top w:val="single" w:color="000000" w:sz="4" w:space="0"/>
              <w:left w:val="single" w:color="000000" w:sz="4" w:space="0"/>
              <w:bottom w:val="single" w:color="000000" w:sz="4" w:space="0"/>
              <w:right w:val="single" w:color="000000" w:sz="4" w:space="0"/>
            </w:tcBorders>
            <w:vAlign w:val="center"/>
          </w:tcPr>
          <w:p w14:paraId="69A104E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在建</w:t>
            </w:r>
          </w:p>
        </w:tc>
        <w:tc>
          <w:tcPr>
            <w:tcW w:w="0" w:type="auto"/>
            <w:tcBorders>
              <w:top w:val="single" w:color="000000" w:sz="4" w:space="0"/>
              <w:left w:val="single" w:color="000000" w:sz="4" w:space="0"/>
              <w:bottom w:val="single" w:color="000000" w:sz="4" w:space="0"/>
              <w:right w:val="single" w:color="000000" w:sz="4" w:space="0"/>
            </w:tcBorders>
            <w:vAlign w:val="center"/>
          </w:tcPr>
          <w:p w14:paraId="6147020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116400 </w:t>
            </w:r>
          </w:p>
        </w:tc>
        <w:tc>
          <w:tcPr>
            <w:tcW w:w="0" w:type="auto"/>
            <w:tcBorders>
              <w:top w:val="single" w:color="000000" w:sz="4" w:space="0"/>
              <w:left w:val="single" w:color="000000" w:sz="4" w:space="0"/>
              <w:bottom w:val="single" w:color="000000" w:sz="4" w:space="0"/>
              <w:right w:val="single" w:color="000000" w:sz="4" w:space="0"/>
            </w:tcBorders>
            <w:vAlign w:val="center"/>
          </w:tcPr>
          <w:p w14:paraId="7C2622D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56900 </w:t>
            </w:r>
          </w:p>
        </w:tc>
      </w:tr>
      <w:tr w14:paraId="24A1395B">
        <w:tblPrEx>
          <w:tblCellMar>
            <w:top w:w="0" w:type="dxa"/>
            <w:left w:w="108" w:type="dxa"/>
            <w:bottom w:w="0" w:type="dxa"/>
            <w:right w:w="108" w:type="dxa"/>
          </w:tblCellMar>
        </w:tblPrEx>
        <w:trPr>
          <w:trHeight w:val="243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C3F78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5EFC3E66">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长汀县城区供水管网改造工程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0DF2C40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556BC0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B78F61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4A85D979">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对城区自来水厂（原太行水厂）供水片区实施老旧管网全面更新、一户一表改造，同步建成数字水务一体化平台，布设物联网感知体系（压力、流量、水质实时监测），完成管网物探普查并建立GIS“一张图”；配套建设网络传输、云计算资源池和数据存储中心，新建调度指挥机房与中控大屏，完善系统网络安全防护；推进集镇智能水表全覆盖，实现“抄表不入户、缴费不出门、调度一平台、运维一张网”的数字化、智慧化供水新形态。</w:t>
            </w:r>
          </w:p>
        </w:tc>
        <w:tc>
          <w:tcPr>
            <w:tcW w:w="0" w:type="auto"/>
            <w:tcBorders>
              <w:top w:val="single" w:color="000000" w:sz="4" w:space="0"/>
              <w:left w:val="single" w:color="000000" w:sz="4" w:space="0"/>
              <w:bottom w:val="single" w:color="000000" w:sz="4" w:space="0"/>
              <w:right w:val="single" w:color="000000" w:sz="4" w:space="0"/>
            </w:tcBorders>
            <w:vAlign w:val="center"/>
          </w:tcPr>
          <w:p w14:paraId="0BF4E03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4C4B1924">
            <w:pPr>
              <w:widowControl/>
              <w:spacing w:line="240" w:lineRule="auto"/>
              <w:jc w:val="center"/>
              <w:rPr>
                <w:rFonts w:ascii="宋体" w:hAnsi="宋体" w:cs="宋体"/>
                <w:color w:val="000000"/>
                <w:kern w:val="0"/>
                <w:sz w:val="24"/>
                <w:szCs w:val="24"/>
              </w:rPr>
            </w:pPr>
            <w:r>
              <w:rPr>
                <w:rFonts w:hint="eastAsia" w:ascii="宋体" w:hAnsi="宋体" w:cs="宋体"/>
                <w:color w:val="000000"/>
                <w:kern w:val="0"/>
                <w:sz w:val="24"/>
                <w:szCs w:val="24"/>
              </w:rPr>
              <w:t xml:space="preserve">36000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8104E85">
            <w:pPr>
              <w:widowControl/>
              <w:spacing w:line="240" w:lineRule="auto"/>
              <w:jc w:val="center"/>
              <w:rPr>
                <w:rFonts w:ascii="宋体" w:hAnsi="宋体" w:cs="宋体"/>
                <w:color w:val="000000"/>
                <w:kern w:val="0"/>
                <w:sz w:val="24"/>
                <w:szCs w:val="24"/>
              </w:rPr>
            </w:pPr>
            <w:r>
              <w:rPr>
                <w:rFonts w:hint="eastAsia" w:ascii="宋体" w:hAnsi="宋体" w:cs="宋体"/>
                <w:color w:val="000000"/>
                <w:kern w:val="0"/>
                <w:sz w:val="24"/>
                <w:szCs w:val="24"/>
              </w:rPr>
              <w:t xml:space="preserve">3600 </w:t>
            </w:r>
          </w:p>
        </w:tc>
      </w:tr>
      <w:tr w14:paraId="363DCF92">
        <w:tblPrEx>
          <w:tblCellMar>
            <w:top w:w="0" w:type="dxa"/>
            <w:left w:w="108" w:type="dxa"/>
            <w:bottom w:w="0" w:type="dxa"/>
            <w:right w:w="108" w:type="dxa"/>
          </w:tblCellMar>
        </w:tblPrEx>
        <w:trPr>
          <w:trHeight w:val="16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22276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314EA855">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长汀县城乡供水一体化规模化水厂配套管网改造工程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19C9FC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0AA08B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61CCDC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打捆项目</w:t>
            </w:r>
          </w:p>
        </w:tc>
        <w:tc>
          <w:tcPr>
            <w:tcW w:w="4951" w:type="dxa"/>
            <w:tcBorders>
              <w:top w:val="single" w:color="000000" w:sz="4" w:space="0"/>
              <w:left w:val="single" w:color="000000" w:sz="4" w:space="0"/>
              <w:bottom w:val="single" w:color="000000" w:sz="4" w:space="0"/>
              <w:right w:val="single" w:color="000000" w:sz="4" w:space="0"/>
            </w:tcBorders>
            <w:vAlign w:val="center"/>
          </w:tcPr>
          <w:p w14:paraId="4A10780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对古城镇、宣成乡、濯田镇、新桥镇、大同镇、南山镇、涂坊镇、羊牯乡、四都镇、庵杰乡等10个集镇水厂实施支管网全面更新、入户管网改造和“一户一表”智能水表安装，同步配套阀门井、排气阀、排泥阀等附属设施，打通供水“最后一公里”，实现乡镇供水同网、同质、同服务。</w:t>
            </w:r>
          </w:p>
        </w:tc>
        <w:tc>
          <w:tcPr>
            <w:tcW w:w="0" w:type="auto"/>
            <w:tcBorders>
              <w:top w:val="single" w:color="000000" w:sz="4" w:space="0"/>
              <w:left w:val="single" w:color="000000" w:sz="4" w:space="0"/>
              <w:bottom w:val="single" w:color="000000" w:sz="4" w:space="0"/>
              <w:right w:val="single" w:color="000000" w:sz="4" w:space="0"/>
            </w:tcBorders>
            <w:vAlign w:val="center"/>
          </w:tcPr>
          <w:p w14:paraId="74D9B23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5E976DC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15000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25B5E4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4500 </w:t>
            </w:r>
          </w:p>
        </w:tc>
      </w:tr>
      <w:tr w14:paraId="00B20C3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50E9F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vAlign w:val="center"/>
          </w:tcPr>
          <w:p w14:paraId="472D2923">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长汀县城乡供水一体化单村供水改造提升</w:t>
            </w:r>
          </w:p>
        </w:tc>
        <w:tc>
          <w:tcPr>
            <w:tcW w:w="709" w:type="dxa"/>
            <w:tcBorders>
              <w:top w:val="single" w:color="000000" w:sz="4" w:space="0"/>
              <w:left w:val="single" w:color="000000" w:sz="4" w:space="0"/>
              <w:bottom w:val="single" w:color="000000" w:sz="4" w:space="0"/>
              <w:right w:val="single" w:color="000000" w:sz="4" w:space="0"/>
            </w:tcBorders>
            <w:vAlign w:val="center"/>
          </w:tcPr>
          <w:p w14:paraId="2A8FED5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E921E3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69D1EF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04BA73A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单村供水入户管网改造、水表安装等工程。</w:t>
            </w:r>
          </w:p>
        </w:tc>
        <w:tc>
          <w:tcPr>
            <w:tcW w:w="0" w:type="auto"/>
            <w:tcBorders>
              <w:top w:val="single" w:color="000000" w:sz="4" w:space="0"/>
              <w:left w:val="single" w:color="000000" w:sz="4" w:space="0"/>
              <w:bottom w:val="single" w:color="000000" w:sz="4" w:space="0"/>
              <w:right w:val="single" w:color="000000" w:sz="4" w:space="0"/>
            </w:tcBorders>
            <w:vAlign w:val="center"/>
          </w:tcPr>
          <w:p w14:paraId="7FF399D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3F62CF7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4000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CBCC3D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4000 </w:t>
            </w:r>
          </w:p>
        </w:tc>
      </w:tr>
      <w:tr w14:paraId="4F40A739">
        <w:tblPrEx>
          <w:tblCellMar>
            <w:top w:w="0" w:type="dxa"/>
            <w:left w:w="108" w:type="dxa"/>
            <w:bottom w:w="0" w:type="dxa"/>
            <w:right w:w="108" w:type="dxa"/>
          </w:tblCellMar>
        </w:tblPrEx>
        <w:trPr>
          <w:trHeight w:val="10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98C40A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5</w:t>
            </w:r>
          </w:p>
        </w:tc>
        <w:tc>
          <w:tcPr>
            <w:tcW w:w="2523" w:type="dxa"/>
            <w:tcBorders>
              <w:top w:val="single" w:color="000000" w:sz="4" w:space="0"/>
              <w:left w:val="single" w:color="000000" w:sz="4" w:space="0"/>
              <w:bottom w:val="single" w:color="000000" w:sz="4" w:space="0"/>
              <w:right w:val="single" w:color="000000" w:sz="4" w:space="0"/>
            </w:tcBorders>
            <w:vAlign w:val="center"/>
          </w:tcPr>
          <w:p w14:paraId="2499EF63">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长汀县小型引调水工程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081734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130E54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BD8B74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小型</w:t>
            </w:r>
          </w:p>
        </w:tc>
        <w:tc>
          <w:tcPr>
            <w:tcW w:w="4951" w:type="dxa"/>
            <w:tcBorders>
              <w:top w:val="single" w:color="000000" w:sz="4" w:space="0"/>
              <w:left w:val="single" w:color="000000" w:sz="4" w:space="0"/>
              <w:bottom w:val="single" w:color="000000" w:sz="4" w:space="0"/>
              <w:right w:val="single" w:color="000000" w:sz="4" w:space="0"/>
            </w:tcBorders>
          </w:tcPr>
          <w:p w14:paraId="13FADFA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新建制水厂一座，规模 4000t/d，新建输水管   5.5km，新建配水主管 20km，新建配水支管 54km，入户管约 217km，水表及配件 7250 套，泵站2座。</w:t>
            </w:r>
          </w:p>
        </w:tc>
        <w:tc>
          <w:tcPr>
            <w:tcW w:w="0" w:type="auto"/>
            <w:tcBorders>
              <w:top w:val="single" w:color="000000" w:sz="4" w:space="0"/>
              <w:left w:val="single" w:color="000000" w:sz="4" w:space="0"/>
              <w:bottom w:val="single" w:color="000000" w:sz="4" w:space="0"/>
              <w:right w:val="single" w:color="000000" w:sz="4" w:space="0"/>
            </w:tcBorders>
            <w:vAlign w:val="center"/>
          </w:tcPr>
          <w:p w14:paraId="1A62D57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5CA53C1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10200 </w:t>
            </w:r>
          </w:p>
        </w:tc>
        <w:tc>
          <w:tcPr>
            <w:tcW w:w="0" w:type="auto"/>
            <w:tcBorders>
              <w:top w:val="single" w:color="000000" w:sz="4" w:space="0"/>
              <w:left w:val="single" w:color="000000" w:sz="4" w:space="0"/>
              <w:bottom w:val="single" w:color="000000" w:sz="4" w:space="0"/>
              <w:right w:val="single" w:color="000000" w:sz="4" w:space="0"/>
            </w:tcBorders>
            <w:vAlign w:val="center"/>
          </w:tcPr>
          <w:p w14:paraId="49FECE6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1020 </w:t>
            </w:r>
          </w:p>
        </w:tc>
      </w:tr>
      <w:tr w14:paraId="6D9D043F">
        <w:tblPrEx>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5C07D3">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（三）</w:t>
            </w:r>
          </w:p>
        </w:tc>
        <w:tc>
          <w:tcPr>
            <w:tcW w:w="2523" w:type="dxa"/>
            <w:tcBorders>
              <w:top w:val="single" w:color="000000" w:sz="4" w:space="0"/>
              <w:left w:val="single" w:color="000000" w:sz="4" w:space="0"/>
              <w:bottom w:val="single" w:color="000000" w:sz="4" w:space="0"/>
              <w:right w:val="single" w:color="000000" w:sz="4" w:space="0"/>
            </w:tcBorders>
            <w:vAlign w:val="center"/>
          </w:tcPr>
          <w:p w14:paraId="2BA52CDA">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灌溉用水安全</w:t>
            </w:r>
          </w:p>
        </w:tc>
        <w:tc>
          <w:tcPr>
            <w:tcW w:w="709" w:type="dxa"/>
            <w:tcBorders>
              <w:top w:val="single" w:color="000000" w:sz="4" w:space="0"/>
              <w:left w:val="single" w:color="000000" w:sz="4" w:space="0"/>
              <w:bottom w:val="single" w:color="000000" w:sz="4" w:space="0"/>
              <w:right w:val="single" w:color="000000" w:sz="4" w:space="0"/>
            </w:tcBorders>
            <w:vAlign w:val="center"/>
          </w:tcPr>
          <w:p w14:paraId="7AB6832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7 </w:t>
            </w:r>
          </w:p>
        </w:tc>
        <w:tc>
          <w:tcPr>
            <w:tcW w:w="709" w:type="dxa"/>
            <w:tcBorders>
              <w:top w:val="single" w:color="000000" w:sz="4" w:space="0"/>
              <w:left w:val="single" w:color="000000" w:sz="4" w:space="0"/>
              <w:bottom w:val="single" w:color="000000" w:sz="4" w:space="0"/>
              <w:right w:val="single" w:color="000000" w:sz="4" w:space="0"/>
            </w:tcBorders>
            <w:vAlign w:val="center"/>
          </w:tcPr>
          <w:p w14:paraId="46D18452">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6ECE1707">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73564E31">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102A84F">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FFB7F0">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47100 </w:t>
            </w:r>
          </w:p>
        </w:tc>
        <w:tc>
          <w:tcPr>
            <w:tcW w:w="0" w:type="auto"/>
            <w:tcBorders>
              <w:top w:val="single" w:color="000000" w:sz="4" w:space="0"/>
              <w:left w:val="single" w:color="000000" w:sz="4" w:space="0"/>
              <w:bottom w:val="single" w:color="000000" w:sz="4" w:space="0"/>
              <w:right w:val="single" w:color="000000" w:sz="4" w:space="0"/>
            </w:tcBorders>
            <w:vAlign w:val="center"/>
          </w:tcPr>
          <w:p w14:paraId="064058D8">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34410 </w:t>
            </w:r>
          </w:p>
        </w:tc>
      </w:tr>
      <w:tr w14:paraId="32354801">
        <w:tblPrEx>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B8E46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3F1F9657">
            <w:pPr>
              <w:widowControl/>
              <w:spacing w:line="240" w:lineRule="auto"/>
              <w:rPr>
                <w:rFonts w:ascii="宋体" w:hAnsi="宋体" w:cs="宋体"/>
                <w:color w:val="000000"/>
                <w:kern w:val="0"/>
                <w:sz w:val="22"/>
              </w:rPr>
            </w:pPr>
            <w:r>
              <w:rPr>
                <w:rFonts w:hint="eastAsia" w:ascii="宋体" w:hAnsi="宋体" w:cs="宋体"/>
                <w:color w:val="000000"/>
                <w:kern w:val="0"/>
                <w:sz w:val="22"/>
              </w:rPr>
              <w:t>长汀县千工陂中型灌区续建配套与现代化改造工程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9D76DA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1896AF0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7C4A58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E1043E0">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维修加固拦水坝1座；防渗改造灌溉干渠总长9.33公里；改造放水口10处（增设放水闸），新增节制闸2座；新建过渠盖板0.2公里；更换拦污栅3处；安装一体化超声波流量测量设备9套；改造节制闸9座。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08DBE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5BE97D7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1602 </w:t>
            </w:r>
          </w:p>
        </w:tc>
        <w:tc>
          <w:tcPr>
            <w:tcW w:w="0" w:type="auto"/>
            <w:tcBorders>
              <w:top w:val="single" w:color="000000" w:sz="4" w:space="0"/>
              <w:left w:val="single" w:color="000000" w:sz="4" w:space="0"/>
              <w:bottom w:val="single" w:color="000000" w:sz="4" w:space="0"/>
              <w:right w:val="single" w:color="000000" w:sz="4" w:space="0"/>
            </w:tcBorders>
            <w:vAlign w:val="center"/>
          </w:tcPr>
          <w:p w14:paraId="277E454C">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1602 </w:t>
            </w:r>
          </w:p>
        </w:tc>
      </w:tr>
      <w:tr w14:paraId="088C8E69">
        <w:tblPrEx>
          <w:tblCellMar>
            <w:top w:w="0" w:type="dxa"/>
            <w:left w:w="108" w:type="dxa"/>
            <w:bottom w:w="0" w:type="dxa"/>
            <w:right w:w="108" w:type="dxa"/>
          </w:tblCellMar>
        </w:tblPrEx>
        <w:trPr>
          <w:trHeight w:val="1056"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1182E9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57BF7992">
            <w:pPr>
              <w:widowControl/>
              <w:spacing w:line="240" w:lineRule="auto"/>
              <w:rPr>
                <w:rFonts w:ascii="宋体" w:hAnsi="宋体" w:cs="宋体"/>
                <w:color w:val="000000"/>
                <w:kern w:val="0"/>
                <w:sz w:val="22"/>
              </w:rPr>
            </w:pPr>
            <w:r>
              <w:rPr>
                <w:rFonts w:hint="eastAsia" w:ascii="宋体" w:hAnsi="宋体" w:cs="宋体"/>
                <w:color w:val="000000"/>
                <w:kern w:val="0"/>
                <w:sz w:val="22"/>
              </w:rPr>
              <w:t>长汀县陂下重点中型灌区续建配套与现代化改造工程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7A7AA6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264145D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1218F8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6F8B9431">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改造引水坝19座；防渗改造渠道96条，总长52.95公里；改造排水渠10条，总长9.39公里；更新改造渠系建筑物429处；新建计量设施192处。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C1027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7F87F048">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11000 </w:t>
            </w:r>
          </w:p>
        </w:tc>
        <w:tc>
          <w:tcPr>
            <w:tcW w:w="0" w:type="auto"/>
            <w:tcBorders>
              <w:top w:val="single" w:color="000000" w:sz="4" w:space="0"/>
              <w:left w:val="single" w:color="000000" w:sz="4" w:space="0"/>
              <w:bottom w:val="single" w:color="000000" w:sz="4" w:space="0"/>
              <w:right w:val="single" w:color="000000" w:sz="4" w:space="0"/>
            </w:tcBorders>
            <w:vAlign w:val="center"/>
          </w:tcPr>
          <w:p w14:paraId="1D19F9B0">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11000 </w:t>
            </w:r>
          </w:p>
        </w:tc>
      </w:tr>
      <w:tr w14:paraId="48BFACCE">
        <w:tblPrEx>
          <w:tblCellMar>
            <w:top w:w="0" w:type="dxa"/>
            <w:left w:w="108" w:type="dxa"/>
            <w:bottom w:w="0" w:type="dxa"/>
            <w:right w:w="108" w:type="dxa"/>
          </w:tblCellMar>
        </w:tblPrEx>
        <w:trPr>
          <w:trHeight w:val="19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4011D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1BF9015B">
            <w:pPr>
              <w:widowControl/>
              <w:spacing w:line="240" w:lineRule="auto"/>
              <w:rPr>
                <w:rFonts w:ascii="宋体" w:hAnsi="宋体" w:cs="宋体"/>
                <w:color w:val="000000"/>
                <w:kern w:val="0"/>
                <w:sz w:val="22"/>
              </w:rPr>
            </w:pPr>
            <w:r>
              <w:rPr>
                <w:rFonts w:hint="eastAsia" w:ascii="宋体" w:hAnsi="宋体" w:cs="宋体"/>
                <w:color w:val="000000"/>
                <w:kern w:val="0"/>
                <w:sz w:val="22"/>
              </w:rPr>
              <w:t>长汀县河策重点中型灌区续建配套与现代化改造工程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AB5C5E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6A75A0C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3DA4FFA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7DF086F3">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改造拦河坝2座，重建2座；改造泵站2座；防渗改造引水渠道55条，总长55.46公里；改造排水沟4条，总长3.42公里；改造渠系分水闸2座，设置钢筋混凝土盖板751处；新建巡检道路3条，总长7.34公里；设置标识牌60处、安全警示牌18处、渠道水位尺19处；安装超声波流量计3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761DF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4167CEEA">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12000 </w:t>
            </w:r>
          </w:p>
        </w:tc>
        <w:tc>
          <w:tcPr>
            <w:tcW w:w="0" w:type="auto"/>
            <w:tcBorders>
              <w:top w:val="single" w:color="000000" w:sz="4" w:space="0"/>
              <w:left w:val="single" w:color="000000" w:sz="4" w:space="0"/>
              <w:bottom w:val="single" w:color="000000" w:sz="4" w:space="0"/>
              <w:right w:val="single" w:color="000000" w:sz="4" w:space="0"/>
            </w:tcBorders>
            <w:vAlign w:val="center"/>
          </w:tcPr>
          <w:p w14:paraId="4679C67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12000 </w:t>
            </w:r>
          </w:p>
        </w:tc>
      </w:tr>
      <w:tr w14:paraId="6CAC8091">
        <w:tblPrEx>
          <w:tblCellMar>
            <w:top w:w="0" w:type="dxa"/>
            <w:left w:w="108" w:type="dxa"/>
            <w:bottom w:w="0" w:type="dxa"/>
            <w:right w:w="108" w:type="dxa"/>
          </w:tblCellMar>
        </w:tblPrEx>
        <w:trPr>
          <w:trHeight w:val="21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C55320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6B6E070B">
            <w:pPr>
              <w:widowControl/>
              <w:spacing w:line="240" w:lineRule="auto"/>
              <w:rPr>
                <w:rFonts w:ascii="宋体" w:hAnsi="宋体" w:cs="宋体"/>
                <w:color w:val="000000"/>
                <w:kern w:val="0"/>
                <w:sz w:val="22"/>
              </w:rPr>
            </w:pPr>
            <w:r>
              <w:rPr>
                <w:rFonts w:hint="eastAsia" w:ascii="宋体" w:hAnsi="宋体" w:cs="宋体"/>
                <w:color w:val="000000"/>
                <w:kern w:val="0"/>
                <w:sz w:val="22"/>
              </w:rPr>
              <w:t>长汀县荣丰重点中型灌区续建配套与现代化改造工程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711279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682953D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481C2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11D396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新建及改造拦水坝83座；新建泵站2座、蓄水池2座；防渗衬砌渠道144条，总长66.05公里；新建管道5条，总长4.08公里；改造排灌渠18条，总长4.51公里；新建箱涵2座，维修改造水闸2座；改造放水口135处；设置告示牌和安全警示牌各50处；布设水位监测计、流量计、视频监控各16处，不锈钢水尺50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0093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72DDA8C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CA04CB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10000 </w:t>
            </w:r>
          </w:p>
        </w:tc>
      </w:tr>
      <w:tr w14:paraId="2C761E97">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CD245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5</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48F7627D">
            <w:pPr>
              <w:widowControl/>
              <w:spacing w:line="240" w:lineRule="auto"/>
              <w:rPr>
                <w:rFonts w:ascii="宋体" w:hAnsi="宋体" w:cs="宋体"/>
                <w:color w:val="000000"/>
                <w:kern w:val="0"/>
                <w:sz w:val="22"/>
              </w:rPr>
            </w:pPr>
            <w:r>
              <w:rPr>
                <w:rFonts w:hint="eastAsia" w:ascii="宋体" w:hAnsi="宋体" w:cs="宋体"/>
                <w:color w:val="000000"/>
                <w:kern w:val="0"/>
                <w:sz w:val="22"/>
              </w:rPr>
              <w:t>长汀县三洲旱片中型灌区续建配套与现代化改造工程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58A232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2F74B0B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AAD4DB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58BB73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改造干支渠道7条，总长12.2公里；新建盖板涵10座、量水堰3处；推进信息化建设4处。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002F8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5E2C9F5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1640 </w:t>
            </w:r>
          </w:p>
        </w:tc>
        <w:tc>
          <w:tcPr>
            <w:tcW w:w="0" w:type="auto"/>
            <w:tcBorders>
              <w:top w:val="single" w:color="000000" w:sz="4" w:space="0"/>
              <w:left w:val="single" w:color="000000" w:sz="4" w:space="0"/>
              <w:bottom w:val="single" w:color="000000" w:sz="4" w:space="0"/>
              <w:right w:val="single" w:color="000000" w:sz="4" w:space="0"/>
            </w:tcBorders>
            <w:vAlign w:val="center"/>
          </w:tcPr>
          <w:p w14:paraId="2E01ECE9">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164 </w:t>
            </w:r>
          </w:p>
        </w:tc>
      </w:tr>
      <w:tr w14:paraId="769621F0">
        <w:tblPrEx>
          <w:tblCellMar>
            <w:top w:w="0" w:type="dxa"/>
            <w:left w:w="108" w:type="dxa"/>
            <w:bottom w:w="0" w:type="dxa"/>
            <w:right w:w="108" w:type="dxa"/>
          </w:tblCellMar>
        </w:tblPrEx>
        <w:trPr>
          <w:trHeight w:val="28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8F466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6</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318DA887">
            <w:pPr>
              <w:widowControl/>
              <w:spacing w:line="240" w:lineRule="auto"/>
              <w:rPr>
                <w:rFonts w:ascii="宋体" w:hAnsi="宋体" w:cs="宋体"/>
                <w:color w:val="000000"/>
                <w:kern w:val="0"/>
                <w:sz w:val="22"/>
              </w:rPr>
            </w:pPr>
            <w:r>
              <w:rPr>
                <w:rFonts w:hint="eastAsia" w:ascii="宋体" w:hAnsi="宋体" w:cs="宋体"/>
                <w:color w:val="000000"/>
                <w:kern w:val="0"/>
                <w:sz w:val="22"/>
              </w:rPr>
              <w:t>长汀县汀东重点中型灌区续建配套与现代化改造工程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2287103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328611A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5C5F2CC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4A4669BF">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重建引水坝11座、加固改造5座；改造泵站1座；骨干输配水工程中，渠道防渗（清淤）改造19条，总长40.5公里（其中防渗加固19.8公里，疏浚20.68公里）；骨干排水工程中，改造排水渠14条，总长10.8公里（其中防渗改造6.3公里）；配套建设节制闸、分水闸、泄水闸共15座，渡槽连接4处；安装超声波流量计4处、巴歇尔槽32处、水位尺130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53A3D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45C17F0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5270 </w:t>
            </w:r>
          </w:p>
        </w:tc>
        <w:tc>
          <w:tcPr>
            <w:tcW w:w="0" w:type="auto"/>
            <w:tcBorders>
              <w:top w:val="single" w:color="000000" w:sz="4" w:space="0"/>
              <w:left w:val="single" w:color="000000" w:sz="4" w:space="0"/>
              <w:bottom w:val="single" w:color="000000" w:sz="4" w:space="0"/>
              <w:right w:val="single" w:color="000000" w:sz="4" w:space="0"/>
            </w:tcBorders>
            <w:vAlign w:val="center"/>
          </w:tcPr>
          <w:p w14:paraId="2B33A037">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527 </w:t>
            </w:r>
          </w:p>
        </w:tc>
      </w:tr>
      <w:tr w14:paraId="1F2A3870">
        <w:tblPrEx>
          <w:tblCellMar>
            <w:top w:w="0" w:type="dxa"/>
            <w:left w:w="108" w:type="dxa"/>
            <w:bottom w:w="0" w:type="dxa"/>
            <w:right w:w="108" w:type="dxa"/>
          </w:tblCellMar>
        </w:tblPrEx>
        <w:trPr>
          <w:trHeight w:val="15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8A0EAB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7</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5059A2D5">
            <w:pPr>
              <w:widowControl/>
              <w:spacing w:line="240" w:lineRule="auto"/>
              <w:rPr>
                <w:rFonts w:ascii="宋体" w:hAnsi="宋体" w:cs="宋体"/>
                <w:color w:val="000000"/>
                <w:kern w:val="0"/>
                <w:sz w:val="22"/>
              </w:rPr>
            </w:pPr>
            <w:r>
              <w:rPr>
                <w:rFonts w:hint="eastAsia" w:ascii="宋体" w:hAnsi="宋体" w:cs="宋体"/>
                <w:color w:val="000000"/>
                <w:kern w:val="0"/>
                <w:sz w:val="22"/>
              </w:rPr>
              <w:t>长汀县汀南重点中型灌区续建配套与现代化改造工程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9C8A75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 </w:t>
            </w:r>
          </w:p>
        </w:tc>
        <w:tc>
          <w:tcPr>
            <w:tcW w:w="709" w:type="dxa"/>
            <w:tcBorders>
              <w:top w:val="single" w:color="000000" w:sz="4" w:space="0"/>
              <w:left w:val="single" w:color="000000" w:sz="4" w:space="0"/>
              <w:bottom w:val="single" w:color="000000" w:sz="4" w:space="0"/>
              <w:right w:val="single" w:color="000000" w:sz="4" w:space="0"/>
            </w:tcBorders>
            <w:vAlign w:val="center"/>
          </w:tcPr>
          <w:p w14:paraId="41C76B0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A62940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中型</w:t>
            </w:r>
          </w:p>
        </w:tc>
        <w:tc>
          <w:tcPr>
            <w:tcW w:w="4951" w:type="dxa"/>
            <w:tcBorders>
              <w:top w:val="single" w:color="000000" w:sz="4" w:space="0"/>
              <w:left w:val="single" w:color="000000" w:sz="4" w:space="0"/>
              <w:bottom w:val="single" w:color="000000" w:sz="4" w:space="0"/>
              <w:right w:val="single" w:color="000000" w:sz="4" w:space="0"/>
            </w:tcBorders>
            <w:vAlign w:val="center"/>
          </w:tcPr>
          <w:p w14:paraId="52D5ED9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拆除重建拦水坝8座，新建泵站1座；改造灌溉渠总长39.41公里（其中干渠33.26公里，灌排渠6.15公里）；改造节制闸10座；安装信息化设备20套，包括一体化超声波流量计15套、雷达流量计1套、多普勒流量计2套、巴歇尔槽2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08AF4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0C38B5B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7190 </w:t>
            </w:r>
          </w:p>
        </w:tc>
        <w:tc>
          <w:tcPr>
            <w:tcW w:w="0" w:type="auto"/>
            <w:tcBorders>
              <w:top w:val="single" w:color="000000" w:sz="4" w:space="0"/>
              <w:left w:val="single" w:color="000000" w:sz="4" w:space="0"/>
              <w:bottom w:val="single" w:color="000000" w:sz="4" w:space="0"/>
              <w:right w:val="single" w:color="000000" w:sz="4" w:space="0"/>
            </w:tcBorders>
            <w:vAlign w:val="center"/>
          </w:tcPr>
          <w:p w14:paraId="76A1258B">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719 </w:t>
            </w:r>
          </w:p>
        </w:tc>
      </w:tr>
      <w:tr w14:paraId="49A1D91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C3ECBE">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三</w:t>
            </w:r>
          </w:p>
        </w:tc>
        <w:tc>
          <w:tcPr>
            <w:tcW w:w="2523" w:type="dxa"/>
            <w:tcBorders>
              <w:top w:val="single" w:color="000000" w:sz="4" w:space="0"/>
              <w:left w:val="single" w:color="000000" w:sz="4" w:space="0"/>
              <w:bottom w:val="single" w:color="000000" w:sz="4" w:space="0"/>
              <w:right w:val="single" w:color="000000" w:sz="4" w:space="0"/>
            </w:tcBorders>
            <w:vAlign w:val="center"/>
          </w:tcPr>
          <w:p w14:paraId="445DF683">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drawing>
                <wp:anchor distT="0" distB="0" distL="114300" distR="114300" simplePos="0" relativeHeight="251704320" behindDoc="0" locked="0" layoutInCell="1" allowOverlap="1">
                  <wp:simplePos x="0" y="0"/>
                  <wp:positionH relativeFrom="column">
                    <wp:posOffset>438150</wp:posOffset>
                  </wp:positionH>
                  <wp:positionV relativeFrom="paragraph">
                    <wp:posOffset>0</wp:posOffset>
                  </wp:positionV>
                  <wp:extent cx="9525" cy="448310"/>
                  <wp:effectExtent l="0" t="0" r="0" b="0"/>
                  <wp:wrapNone/>
                  <wp:docPr id="641" name="图片 40"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图片 40"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44831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5344" behindDoc="0" locked="0" layoutInCell="1" allowOverlap="1">
                  <wp:simplePos x="0" y="0"/>
                  <wp:positionH relativeFrom="column">
                    <wp:posOffset>438150</wp:posOffset>
                  </wp:positionH>
                  <wp:positionV relativeFrom="paragraph">
                    <wp:posOffset>0</wp:posOffset>
                  </wp:positionV>
                  <wp:extent cx="9525" cy="457835"/>
                  <wp:effectExtent l="0" t="0" r="0" b="0"/>
                  <wp:wrapNone/>
                  <wp:docPr id="537" name="图片 39"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39"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45783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6368" behindDoc="0" locked="0" layoutInCell="1" allowOverlap="1">
                  <wp:simplePos x="0" y="0"/>
                  <wp:positionH relativeFrom="column">
                    <wp:posOffset>438150</wp:posOffset>
                  </wp:positionH>
                  <wp:positionV relativeFrom="paragraph">
                    <wp:posOffset>0</wp:posOffset>
                  </wp:positionV>
                  <wp:extent cx="9525" cy="483235"/>
                  <wp:effectExtent l="0" t="0" r="0" b="0"/>
                  <wp:wrapNone/>
                  <wp:docPr id="536" name="图片 38"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38"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483235"/>
                          </a:xfrm>
                          <a:prstGeom prst="rect">
                            <a:avLst/>
                          </a:prstGeom>
                          <a:noFill/>
                          <a:ln>
                            <a:noFill/>
                          </a:ln>
                        </pic:spPr>
                      </pic:pic>
                    </a:graphicData>
                  </a:graphic>
                </wp:anchor>
              </w:drawing>
            </w:r>
            <w:r>
              <w:rPr>
                <w:rFonts w:hint="eastAsia" w:ascii="宋体" w:hAnsi="宋体" w:cs="宋体"/>
                <w:b/>
                <w:bCs/>
                <w:color w:val="000000"/>
                <w:kern w:val="0"/>
                <w:sz w:val="22"/>
              </w:rPr>
              <w:t>水生态保护修复工程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3C6CFFC">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7</w:t>
            </w:r>
          </w:p>
        </w:tc>
        <w:tc>
          <w:tcPr>
            <w:tcW w:w="709" w:type="dxa"/>
            <w:tcBorders>
              <w:top w:val="single" w:color="000000" w:sz="4" w:space="0"/>
              <w:left w:val="single" w:color="000000" w:sz="4" w:space="0"/>
              <w:bottom w:val="single" w:color="000000" w:sz="4" w:space="0"/>
              <w:right w:val="single" w:color="000000" w:sz="4" w:space="0"/>
            </w:tcBorders>
            <w:vAlign w:val="center"/>
          </w:tcPr>
          <w:p w14:paraId="5D25F2ED">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13E55C05">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6107F133">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8BD1303">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88F19A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63640 </w:t>
            </w:r>
          </w:p>
        </w:tc>
        <w:tc>
          <w:tcPr>
            <w:tcW w:w="0" w:type="auto"/>
            <w:tcBorders>
              <w:top w:val="single" w:color="000000" w:sz="4" w:space="0"/>
              <w:left w:val="single" w:color="000000" w:sz="4" w:space="0"/>
              <w:bottom w:val="single" w:color="000000" w:sz="4" w:space="0"/>
              <w:right w:val="single" w:color="000000" w:sz="4" w:space="0"/>
            </w:tcBorders>
            <w:vAlign w:val="center"/>
          </w:tcPr>
          <w:p w14:paraId="04D71088">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29440 </w:t>
            </w:r>
          </w:p>
        </w:tc>
      </w:tr>
      <w:tr w14:paraId="2BAAABAE">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1133813">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（一）</w:t>
            </w:r>
          </w:p>
        </w:tc>
        <w:tc>
          <w:tcPr>
            <w:tcW w:w="2523" w:type="dxa"/>
            <w:tcBorders>
              <w:top w:val="single" w:color="000000" w:sz="4" w:space="0"/>
              <w:left w:val="single" w:color="000000" w:sz="4" w:space="0"/>
              <w:bottom w:val="single" w:color="000000" w:sz="4" w:space="0"/>
              <w:right w:val="single" w:color="000000" w:sz="4" w:space="0"/>
            </w:tcBorders>
            <w:vAlign w:val="center"/>
          </w:tcPr>
          <w:p w14:paraId="395B2B7C">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水生态修复工程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9A0142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D330447">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937CA11">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6C4FE9CE">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0C978F3">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C31D885">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38000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F4C42C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3800 </w:t>
            </w:r>
          </w:p>
        </w:tc>
      </w:tr>
      <w:tr w14:paraId="2C373BB7">
        <w:tblPrEx>
          <w:tblCellMar>
            <w:top w:w="0" w:type="dxa"/>
            <w:left w:w="108" w:type="dxa"/>
            <w:bottom w:w="0" w:type="dxa"/>
            <w:right w:w="108" w:type="dxa"/>
          </w:tblCellMar>
        </w:tblPrEx>
        <w:trPr>
          <w:trHeight w:val="16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D88EE8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1933935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福建省汀江流域（长汀段）水生态保护修复工程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AA8A32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2882FF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1DA4E8E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5A88AFE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生态清淤50万立方米；库周生态沟渠50公里；沿河浅滩植物栽植40公顷；支流汇入汀江前置净化生态坝30处；闸站改造4座；新建生态护岸23公里；改建生态护岸10公里；水源涵养林10公顷；滤食性水生动物投放1项；配套管护设施设备1项，应急工程1项，水质监测体系1项。</w:t>
            </w:r>
          </w:p>
        </w:tc>
        <w:tc>
          <w:tcPr>
            <w:tcW w:w="0" w:type="auto"/>
            <w:tcBorders>
              <w:top w:val="single" w:color="000000" w:sz="4" w:space="0"/>
              <w:left w:val="single" w:color="000000" w:sz="4" w:space="0"/>
              <w:bottom w:val="single" w:color="000000" w:sz="4" w:space="0"/>
              <w:right w:val="single" w:color="000000" w:sz="4" w:space="0"/>
            </w:tcBorders>
            <w:vAlign w:val="center"/>
          </w:tcPr>
          <w:p w14:paraId="48D108A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164609C6">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38000 </w:t>
            </w:r>
          </w:p>
        </w:tc>
        <w:tc>
          <w:tcPr>
            <w:tcW w:w="0" w:type="auto"/>
            <w:tcBorders>
              <w:top w:val="single" w:color="000000" w:sz="4" w:space="0"/>
              <w:left w:val="single" w:color="000000" w:sz="4" w:space="0"/>
              <w:bottom w:val="single" w:color="000000" w:sz="4" w:space="0"/>
              <w:right w:val="single" w:color="000000" w:sz="4" w:space="0"/>
            </w:tcBorders>
            <w:vAlign w:val="center"/>
          </w:tcPr>
          <w:p w14:paraId="17F1A442">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3800 </w:t>
            </w:r>
          </w:p>
        </w:tc>
      </w:tr>
      <w:tr w14:paraId="4C014BC6">
        <w:tblPrEx>
          <w:tblCellMar>
            <w:top w:w="0" w:type="dxa"/>
            <w:left w:w="108" w:type="dxa"/>
            <w:bottom w:w="0" w:type="dxa"/>
            <w:right w:w="108" w:type="dxa"/>
          </w:tblCellMar>
        </w:tblPrEx>
        <w:trPr>
          <w:trHeight w:val="61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DFA96BF">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（二）</w:t>
            </w:r>
          </w:p>
        </w:tc>
        <w:tc>
          <w:tcPr>
            <w:tcW w:w="2523" w:type="dxa"/>
            <w:tcBorders>
              <w:top w:val="single" w:color="000000" w:sz="4" w:space="0"/>
              <w:left w:val="single" w:color="000000" w:sz="4" w:space="0"/>
              <w:bottom w:val="single" w:color="000000" w:sz="4" w:space="0"/>
              <w:right w:val="single" w:color="000000" w:sz="4" w:space="0"/>
            </w:tcBorders>
            <w:vAlign w:val="center"/>
          </w:tcPr>
          <w:p w14:paraId="7176113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水土流失治理工程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97FB0D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5</w:t>
            </w:r>
          </w:p>
        </w:tc>
        <w:tc>
          <w:tcPr>
            <w:tcW w:w="709" w:type="dxa"/>
            <w:tcBorders>
              <w:top w:val="single" w:color="000000" w:sz="4" w:space="0"/>
              <w:left w:val="single" w:color="000000" w:sz="4" w:space="0"/>
              <w:bottom w:val="single" w:color="000000" w:sz="4" w:space="0"/>
              <w:right w:val="single" w:color="000000" w:sz="4" w:space="0"/>
            </w:tcBorders>
            <w:vAlign w:val="center"/>
          </w:tcPr>
          <w:p w14:paraId="12B1038D">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BE1F5F7">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16A5D1FC">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756E6F">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E1A99E1">
            <w:pPr>
              <w:widowControl/>
              <w:spacing w:line="240" w:lineRule="auto"/>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25000 </w:t>
            </w:r>
          </w:p>
        </w:tc>
        <w:tc>
          <w:tcPr>
            <w:tcW w:w="0" w:type="auto"/>
            <w:tcBorders>
              <w:top w:val="single" w:color="000000" w:sz="4" w:space="0"/>
              <w:left w:val="single" w:color="000000" w:sz="4" w:space="0"/>
              <w:bottom w:val="single" w:color="000000" w:sz="4" w:space="0"/>
              <w:right w:val="single" w:color="000000" w:sz="4" w:space="0"/>
            </w:tcBorders>
            <w:vAlign w:val="center"/>
          </w:tcPr>
          <w:p w14:paraId="7D8E0275">
            <w:pPr>
              <w:widowControl/>
              <w:spacing w:line="240" w:lineRule="auto"/>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25000 </w:t>
            </w:r>
          </w:p>
        </w:tc>
      </w:tr>
      <w:tr w14:paraId="47D75F30">
        <w:tblPrEx>
          <w:tblCellMar>
            <w:top w:w="0" w:type="dxa"/>
            <w:left w:w="108" w:type="dxa"/>
            <w:bottom w:w="0" w:type="dxa"/>
            <w:right w:w="108" w:type="dxa"/>
          </w:tblCellMar>
        </w:tblPrEx>
        <w:trPr>
          <w:trHeight w:val="243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C4BBC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5E649AC1">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长汀县水土流失治理工程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5491D9A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5</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A58631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BDF424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2EFD6EB0">
            <w:pPr>
              <w:widowControl/>
              <w:spacing w:line="240" w:lineRule="auto"/>
              <w:jc w:val="left"/>
              <w:rPr>
                <w:rFonts w:ascii="宋体" w:hAnsi="宋体" w:cs="宋体"/>
                <w:color w:val="000000"/>
                <w:kern w:val="0"/>
                <w:sz w:val="22"/>
              </w:rPr>
            </w:pPr>
            <w:r>
              <w:rPr>
                <w:rFonts w:hint="eastAsia" w:ascii="宋体" w:hAnsi="宋体" w:cs="宋体"/>
                <w:color w:val="000000"/>
                <w:kern w:val="0"/>
                <w:sz w:val="22"/>
              </w:rPr>
              <w:t>1.长汀县国家水土保持重点建设工程</w:t>
            </w:r>
            <w:r>
              <w:rPr>
                <w:rFonts w:hint="eastAsia" w:ascii="宋体" w:hAnsi="宋体" w:cs="宋体"/>
                <w:color w:val="000000"/>
                <w:kern w:val="0"/>
                <w:sz w:val="22"/>
              </w:rPr>
              <w:br w:type="textWrapping"/>
            </w:r>
            <w:r>
              <w:rPr>
                <w:rFonts w:hint="eastAsia" w:ascii="宋体" w:hAnsi="宋体" w:cs="宋体"/>
                <w:color w:val="000000"/>
                <w:kern w:val="0"/>
                <w:sz w:val="22"/>
              </w:rPr>
              <w:t>实施水土流失综合治理与生态修复10万亩，同步打造生态清洁小流域5条，构建“山青、水净、村美、民富”的南方红壤区示范样板。</w:t>
            </w:r>
            <w:r>
              <w:rPr>
                <w:rFonts w:hint="eastAsia" w:ascii="宋体" w:hAnsi="宋体" w:cs="宋体"/>
                <w:color w:val="000000"/>
                <w:kern w:val="0"/>
                <w:sz w:val="22"/>
              </w:rPr>
              <w:br w:type="textWrapping"/>
            </w:r>
            <w:r>
              <w:rPr>
                <w:rFonts w:hint="eastAsia" w:ascii="宋体" w:hAnsi="宋体" w:cs="宋体"/>
                <w:color w:val="000000"/>
                <w:kern w:val="0"/>
                <w:sz w:val="22"/>
              </w:rPr>
              <w:t>2.长汀县省级水土流失综合治理项目</w:t>
            </w:r>
            <w:r>
              <w:rPr>
                <w:rFonts w:hint="eastAsia" w:ascii="宋体" w:hAnsi="宋体" w:cs="宋体"/>
                <w:color w:val="000000"/>
                <w:kern w:val="0"/>
                <w:sz w:val="22"/>
              </w:rPr>
              <w:br w:type="textWrapping"/>
            </w:r>
            <w:r>
              <w:rPr>
                <w:rFonts w:hint="eastAsia" w:ascii="宋体" w:hAnsi="宋体" w:cs="宋体"/>
                <w:color w:val="000000"/>
                <w:kern w:val="0"/>
                <w:sz w:val="22"/>
              </w:rPr>
              <w:t>再推进水土流失综合治理与生态修复20万亩，新建生态清洁小流域5条，与国家项目互补连片，形成“国家+省级”双层治理格局，进一步巩固提升“长汀经验”全国引领地位。</w:t>
            </w:r>
          </w:p>
        </w:tc>
        <w:tc>
          <w:tcPr>
            <w:tcW w:w="0" w:type="auto"/>
            <w:tcBorders>
              <w:top w:val="single" w:color="000000" w:sz="4" w:space="0"/>
              <w:left w:val="single" w:color="000000" w:sz="4" w:space="0"/>
              <w:bottom w:val="single" w:color="000000" w:sz="4" w:space="0"/>
              <w:right w:val="single" w:color="000000" w:sz="4" w:space="0"/>
            </w:tcBorders>
            <w:vAlign w:val="center"/>
          </w:tcPr>
          <w:p w14:paraId="4B8C1CD2">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593A77A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25000 </w:t>
            </w:r>
          </w:p>
        </w:tc>
        <w:tc>
          <w:tcPr>
            <w:tcW w:w="0" w:type="auto"/>
            <w:tcBorders>
              <w:top w:val="single" w:color="000000" w:sz="4" w:space="0"/>
              <w:left w:val="single" w:color="000000" w:sz="4" w:space="0"/>
              <w:bottom w:val="single" w:color="000000" w:sz="4" w:space="0"/>
              <w:right w:val="single" w:color="000000" w:sz="4" w:space="0"/>
            </w:tcBorders>
            <w:vAlign w:val="center"/>
          </w:tcPr>
          <w:p w14:paraId="330E54C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25000 </w:t>
            </w:r>
          </w:p>
        </w:tc>
      </w:tr>
      <w:tr w14:paraId="22BCA6A4">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C6B88CF">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（三）</w:t>
            </w:r>
          </w:p>
        </w:tc>
        <w:tc>
          <w:tcPr>
            <w:tcW w:w="2523" w:type="dxa"/>
            <w:tcBorders>
              <w:top w:val="single" w:color="000000" w:sz="4" w:space="0"/>
              <w:left w:val="single" w:color="000000" w:sz="4" w:space="0"/>
              <w:bottom w:val="single" w:color="000000" w:sz="4" w:space="0"/>
              <w:right w:val="single" w:color="000000" w:sz="4" w:space="0"/>
            </w:tcBorders>
            <w:vAlign w:val="center"/>
          </w:tcPr>
          <w:p w14:paraId="346C34E8">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drawing>
                <wp:anchor distT="0" distB="0" distL="114300" distR="114300" simplePos="0" relativeHeight="251707392" behindDoc="0" locked="0" layoutInCell="1" allowOverlap="1">
                  <wp:simplePos x="0" y="0"/>
                  <wp:positionH relativeFrom="column">
                    <wp:posOffset>438150</wp:posOffset>
                  </wp:positionH>
                  <wp:positionV relativeFrom="paragraph">
                    <wp:posOffset>0</wp:posOffset>
                  </wp:positionV>
                  <wp:extent cx="9525" cy="777240"/>
                  <wp:effectExtent l="0" t="0" r="0" b="0"/>
                  <wp:wrapNone/>
                  <wp:docPr id="852" name="图片 37"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 name="图片 37"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77724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8416" behindDoc="0" locked="0" layoutInCell="1" allowOverlap="1">
                  <wp:simplePos x="0" y="0"/>
                  <wp:positionH relativeFrom="column">
                    <wp:posOffset>438150</wp:posOffset>
                  </wp:positionH>
                  <wp:positionV relativeFrom="paragraph">
                    <wp:posOffset>0</wp:posOffset>
                  </wp:positionV>
                  <wp:extent cx="9525" cy="617855"/>
                  <wp:effectExtent l="0" t="0" r="0" b="0"/>
                  <wp:wrapNone/>
                  <wp:docPr id="862" name="图片 36"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 name="图片 36"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785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09440" behindDoc="0" locked="0" layoutInCell="1" allowOverlap="1">
                  <wp:simplePos x="0" y="0"/>
                  <wp:positionH relativeFrom="column">
                    <wp:posOffset>438150</wp:posOffset>
                  </wp:positionH>
                  <wp:positionV relativeFrom="paragraph">
                    <wp:posOffset>0</wp:posOffset>
                  </wp:positionV>
                  <wp:extent cx="9525" cy="633095"/>
                  <wp:effectExtent l="0" t="0" r="0" b="0"/>
                  <wp:wrapNone/>
                  <wp:docPr id="854" name="图片 35"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图片 35"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33095"/>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10464" behindDoc="0" locked="0" layoutInCell="1" allowOverlap="1">
                  <wp:simplePos x="0" y="0"/>
                  <wp:positionH relativeFrom="column">
                    <wp:posOffset>438150</wp:posOffset>
                  </wp:positionH>
                  <wp:positionV relativeFrom="paragraph">
                    <wp:posOffset>0</wp:posOffset>
                  </wp:positionV>
                  <wp:extent cx="9525" cy="608330"/>
                  <wp:effectExtent l="0" t="0" r="0" b="0"/>
                  <wp:wrapNone/>
                  <wp:docPr id="864" name="图片 34"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 name="图片 34"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08330"/>
                          </a:xfrm>
                          <a:prstGeom prst="rect">
                            <a:avLst/>
                          </a:prstGeom>
                          <a:noFill/>
                          <a:ln>
                            <a:noFill/>
                          </a:ln>
                        </pic:spPr>
                      </pic:pic>
                    </a:graphicData>
                  </a:graphic>
                </wp:anchor>
              </w:drawing>
            </w:r>
            <w:r>
              <w:rPr>
                <w:rFonts w:hint="eastAsia" w:ascii="宋体" w:hAnsi="宋体" w:cs="宋体"/>
                <w:b/>
                <w:bCs/>
                <w:color w:val="000000"/>
                <w:kern w:val="0"/>
                <w:sz w:val="22"/>
              </w:rPr>
              <w:drawing>
                <wp:anchor distT="0" distB="0" distL="114300" distR="114300" simplePos="0" relativeHeight="251711488" behindDoc="0" locked="0" layoutInCell="1" allowOverlap="1">
                  <wp:simplePos x="0" y="0"/>
                  <wp:positionH relativeFrom="column">
                    <wp:posOffset>438150</wp:posOffset>
                  </wp:positionH>
                  <wp:positionV relativeFrom="paragraph">
                    <wp:posOffset>0</wp:posOffset>
                  </wp:positionV>
                  <wp:extent cx="9525" cy="579755"/>
                  <wp:effectExtent l="0" t="0" r="0" b="0"/>
                  <wp:wrapNone/>
                  <wp:docPr id="856" name="图片 33"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 name="图片 33"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79755"/>
                          </a:xfrm>
                          <a:prstGeom prst="rect">
                            <a:avLst/>
                          </a:prstGeom>
                          <a:noFill/>
                          <a:ln>
                            <a:noFill/>
                          </a:ln>
                        </pic:spPr>
                      </pic:pic>
                    </a:graphicData>
                  </a:graphic>
                </wp:anchor>
              </w:drawing>
            </w:r>
            <w:r>
              <w:rPr>
                <w:rFonts w:hint="eastAsia" w:ascii="宋体" w:hAnsi="宋体" w:cs="宋体"/>
                <w:b/>
                <w:bCs/>
                <w:color w:val="000000"/>
                <w:kern w:val="0"/>
                <w:sz w:val="22"/>
              </w:rPr>
              <w:t>小水电退出</w:t>
            </w:r>
          </w:p>
        </w:tc>
        <w:tc>
          <w:tcPr>
            <w:tcW w:w="709" w:type="dxa"/>
            <w:tcBorders>
              <w:top w:val="single" w:color="000000" w:sz="4" w:space="0"/>
              <w:left w:val="single" w:color="000000" w:sz="4" w:space="0"/>
              <w:bottom w:val="single" w:color="000000" w:sz="4" w:space="0"/>
              <w:right w:val="single" w:color="000000" w:sz="4" w:space="0"/>
            </w:tcBorders>
            <w:vAlign w:val="center"/>
          </w:tcPr>
          <w:p w14:paraId="36367B9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3309C2F">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AE49DBA">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0F83BC91">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BE5D1E7">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AB272D8">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640 </w:t>
            </w:r>
          </w:p>
        </w:tc>
        <w:tc>
          <w:tcPr>
            <w:tcW w:w="0" w:type="auto"/>
            <w:tcBorders>
              <w:top w:val="single" w:color="000000" w:sz="4" w:space="0"/>
              <w:left w:val="single" w:color="000000" w:sz="4" w:space="0"/>
              <w:bottom w:val="single" w:color="000000" w:sz="4" w:space="0"/>
              <w:right w:val="single" w:color="000000" w:sz="4" w:space="0"/>
            </w:tcBorders>
            <w:vAlign w:val="center"/>
          </w:tcPr>
          <w:p w14:paraId="3AEC9FD6">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640 </w:t>
            </w:r>
          </w:p>
        </w:tc>
      </w:tr>
      <w:tr w14:paraId="6E5F7CF2">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51A98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69E0C873">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小水电退出项目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6F76D70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D239C3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A2D4CF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56ED744B">
            <w:pPr>
              <w:widowControl/>
              <w:spacing w:line="240" w:lineRule="auto"/>
              <w:jc w:val="left"/>
              <w:rPr>
                <w:rFonts w:ascii="宋体" w:hAnsi="宋体" w:cs="宋体"/>
                <w:color w:val="000000"/>
                <w:kern w:val="0"/>
                <w:sz w:val="22"/>
              </w:rPr>
            </w:pPr>
            <w:r>
              <w:rPr>
                <w:rFonts w:hint="eastAsia" w:ascii="宋体" w:hAnsi="宋体" w:cs="宋体"/>
                <w:color w:val="000000"/>
                <w:kern w:val="0"/>
                <w:sz w:val="22"/>
              </w:rPr>
              <w:t>积极推动减脱水段长引水式、装机容量小、安全隐患大的小水电退出项目</w:t>
            </w:r>
          </w:p>
        </w:tc>
        <w:tc>
          <w:tcPr>
            <w:tcW w:w="0" w:type="auto"/>
            <w:tcBorders>
              <w:top w:val="single" w:color="000000" w:sz="4" w:space="0"/>
              <w:left w:val="single" w:color="000000" w:sz="4" w:space="0"/>
              <w:bottom w:val="single" w:color="000000" w:sz="4" w:space="0"/>
              <w:right w:val="single" w:color="000000" w:sz="4" w:space="0"/>
            </w:tcBorders>
            <w:vAlign w:val="center"/>
          </w:tcPr>
          <w:p w14:paraId="6E934AA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拟建</w:t>
            </w:r>
          </w:p>
        </w:tc>
        <w:tc>
          <w:tcPr>
            <w:tcW w:w="0" w:type="auto"/>
            <w:tcBorders>
              <w:top w:val="single" w:color="000000" w:sz="4" w:space="0"/>
              <w:left w:val="single" w:color="000000" w:sz="4" w:space="0"/>
              <w:bottom w:val="single" w:color="000000" w:sz="4" w:space="0"/>
              <w:right w:val="single" w:color="000000" w:sz="4" w:space="0"/>
            </w:tcBorders>
            <w:vAlign w:val="center"/>
          </w:tcPr>
          <w:p w14:paraId="23A471C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640 </w:t>
            </w:r>
          </w:p>
        </w:tc>
        <w:tc>
          <w:tcPr>
            <w:tcW w:w="0" w:type="auto"/>
            <w:tcBorders>
              <w:top w:val="single" w:color="000000" w:sz="4" w:space="0"/>
              <w:left w:val="single" w:color="000000" w:sz="4" w:space="0"/>
              <w:bottom w:val="single" w:color="000000" w:sz="4" w:space="0"/>
              <w:right w:val="single" w:color="000000" w:sz="4" w:space="0"/>
            </w:tcBorders>
            <w:vAlign w:val="center"/>
          </w:tcPr>
          <w:p w14:paraId="76AD388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640 </w:t>
            </w:r>
          </w:p>
        </w:tc>
      </w:tr>
      <w:tr w14:paraId="5BB394A0">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493657">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四</w:t>
            </w:r>
          </w:p>
        </w:tc>
        <w:tc>
          <w:tcPr>
            <w:tcW w:w="2523" w:type="dxa"/>
            <w:tcBorders>
              <w:top w:val="single" w:color="000000" w:sz="4" w:space="0"/>
              <w:left w:val="single" w:color="000000" w:sz="4" w:space="0"/>
              <w:bottom w:val="single" w:color="000000" w:sz="4" w:space="0"/>
              <w:right w:val="single" w:color="000000" w:sz="4" w:space="0"/>
            </w:tcBorders>
            <w:vAlign w:val="center"/>
          </w:tcPr>
          <w:p w14:paraId="73B68D21">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幸福河湖建设工程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3D512FE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10</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EA7E079">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95B7233">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0438EC44">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6CCA919">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47FE6FE">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103588 </w:t>
            </w:r>
          </w:p>
        </w:tc>
        <w:tc>
          <w:tcPr>
            <w:tcW w:w="0" w:type="auto"/>
            <w:tcBorders>
              <w:top w:val="single" w:color="000000" w:sz="4" w:space="0"/>
              <w:left w:val="single" w:color="000000" w:sz="4" w:space="0"/>
              <w:bottom w:val="single" w:color="000000" w:sz="4" w:space="0"/>
              <w:right w:val="single" w:color="000000" w:sz="4" w:space="0"/>
            </w:tcBorders>
            <w:vAlign w:val="center"/>
          </w:tcPr>
          <w:p w14:paraId="79CD7FFA">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22438 </w:t>
            </w:r>
          </w:p>
        </w:tc>
      </w:tr>
      <w:tr w14:paraId="271D8145">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359B33E">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（一）</w:t>
            </w:r>
          </w:p>
        </w:tc>
        <w:tc>
          <w:tcPr>
            <w:tcW w:w="2523" w:type="dxa"/>
            <w:tcBorders>
              <w:top w:val="single" w:color="000000" w:sz="4" w:space="0"/>
              <w:left w:val="single" w:color="000000" w:sz="4" w:space="0"/>
              <w:bottom w:val="single" w:color="000000" w:sz="4" w:space="0"/>
              <w:right w:val="single" w:color="000000" w:sz="4" w:space="0"/>
            </w:tcBorders>
            <w:vAlign w:val="center"/>
          </w:tcPr>
          <w:p w14:paraId="733E0153">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拓宽幸福河湖建设</w:t>
            </w:r>
          </w:p>
        </w:tc>
        <w:tc>
          <w:tcPr>
            <w:tcW w:w="709" w:type="dxa"/>
            <w:tcBorders>
              <w:top w:val="single" w:color="000000" w:sz="4" w:space="0"/>
              <w:left w:val="single" w:color="000000" w:sz="4" w:space="0"/>
              <w:bottom w:val="single" w:color="000000" w:sz="4" w:space="0"/>
              <w:right w:val="single" w:color="000000" w:sz="4" w:space="0"/>
            </w:tcBorders>
            <w:vAlign w:val="center"/>
          </w:tcPr>
          <w:p w14:paraId="2CC5C903">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4</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ABD354F">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7B2DA8A">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73769481">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2C17CB">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199953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56188 </w:t>
            </w:r>
          </w:p>
        </w:tc>
        <w:tc>
          <w:tcPr>
            <w:tcW w:w="0" w:type="auto"/>
            <w:tcBorders>
              <w:top w:val="single" w:color="000000" w:sz="4" w:space="0"/>
              <w:left w:val="single" w:color="000000" w:sz="4" w:space="0"/>
              <w:bottom w:val="single" w:color="000000" w:sz="4" w:space="0"/>
              <w:right w:val="single" w:color="000000" w:sz="4" w:space="0"/>
            </w:tcBorders>
            <w:vAlign w:val="center"/>
          </w:tcPr>
          <w:p w14:paraId="5BFD7FD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17248 </w:t>
            </w:r>
          </w:p>
        </w:tc>
      </w:tr>
      <w:tr w14:paraId="2B8CAF05">
        <w:tblPrEx>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1F4EFB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noWrap/>
            <w:vAlign w:val="center"/>
          </w:tcPr>
          <w:p w14:paraId="1C9CE313">
            <w:pPr>
              <w:widowControl/>
              <w:spacing w:line="240" w:lineRule="auto"/>
              <w:rPr>
                <w:rFonts w:ascii="宋体" w:hAnsi="宋体" w:cs="宋体"/>
                <w:color w:val="000000"/>
                <w:kern w:val="0"/>
                <w:sz w:val="22"/>
              </w:rPr>
            </w:pPr>
            <w:r>
              <w:rPr>
                <w:rFonts w:hint="eastAsia" w:ascii="宋体" w:hAnsi="宋体" w:cs="宋体"/>
                <w:color w:val="000000"/>
                <w:kern w:val="0"/>
                <w:sz w:val="22"/>
              </w:rPr>
              <w:t>福建省濯田河幸福河湖建设项目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49C00E18">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67E97F6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03C9F76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7624E17D">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开展河湖生态治理，河湖管护及助力流域区域发展共15个项目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EB65A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04A7B195">
            <w:pPr>
              <w:widowControl/>
              <w:spacing w:line="240" w:lineRule="auto"/>
              <w:jc w:val="center"/>
              <w:rPr>
                <w:rFonts w:ascii="宋体" w:hAnsi="宋体" w:cs="宋体"/>
                <w:color w:val="000000"/>
                <w:kern w:val="0"/>
                <w:sz w:val="24"/>
                <w:szCs w:val="24"/>
              </w:rPr>
            </w:pPr>
            <w:r>
              <w:rPr>
                <w:rFonts w:hint="eastAsia" w:ascii="宋体" w:hAnsi="宋体" w:cs="宋体"/>
                <w:color w:val="000000"/>
                <w:kern w:val="0"/>
                <w:sz w:val="24"/>
                <w:szCs w:val="24"/>
              </w:rPr>
              <w:t xml:space="preserve">12988 </w:t>
            </w:r>
          </w:p>
        </w:tc>
        <w:tc>
          <w:tcPr>
            <w:tcW w:w="0" w:type="auto"/>
            <w:tcBorders>
              <w:top w:val="single" w:color="000000" w:sz="4" w:space="0"/>
              <w:left w:val="single" w:color="000000" w:sz="4" w:space="0"/>
              <w:bottom w:val="single" w:color="000000" w:sz="4" w:space="0"/>
              <w:right w:val="single" w:color="000000" w:sz="4" w:space="0"/>
            </w:tcBorders>
            <w:vAlign w:val="center"/>
          </w:tcPr>
          <w:p w14:paraId="305442A0">
            <w:pPr>
              <w:widowControl/>
              <w:spacing w:line="240" w:lineRule="auto"/>
              <w:jc w:val="center"/>
              <w:rPr>
                <w:rFonts w:ascii="宋体" w:hAnsi="宋体" w:cs="宋体"/>
                <w:color w:val="000000"/>
                <w:kern w:val="0"/>
                <w:sz w:val="24"/>
                <w:szCs w:val="24"/>
              </w:rPr>
            </w:pPr>
            <w:r>
              <w:rPr>
                <w:rFonts w:hint="eastAsia" w:ascii="宋体" w:hAnsi="宋体" w:cs="宋体"/>
                <w:color w:val="000000"/>
                <w:kern w:val="0"/>
                <w:sz w:val="24"/>
                <w:szCs w:val="24"/>
              </w:rPr>
              <w:t xml:space="preserve">12988 </w:t>
            </w:r>
          </w:p>
        </w:tc>
      </w:tr>
      <w:tr w14:paraId="7EB6A29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2323D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1221C9F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长汀县南山河幸福河湖建设项目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354DD5A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60B62F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7DE0164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18C4D59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建设内容包括河湖水系连通、河湖水域空间保护修复等</w:t>
            </w:r>
          </w:p>
        </w:tc>
        <w:tc>
          <w:tcPr>
            <w:tcW w:w="0" w:type="auto"/>
            <w:tcBorders>
              <w:top w:val="single" w:color="000000" w:sz="4" w:space="0"/>
              <w:left w:val="single" w:color="000000" w:sz="4" w:space="0"/>
              <w:bottom w:val="single" w:color="000000" w:sz="4" w:space="0"/>
              <w:right w:val="single" w:color="000000" w:sz="4" w:space="0"/>
            </w:tcBorders>
            <w:vAlign w:val="center"/>
          </w:tcPr>
          <w:p w14:paraId="5242526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5560FA4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14200 </w:t>
            </w:r>
          </w:p>
        </w:tc>
        <w:tc>
          <w:tcPr>
            <w:tcW w:w="0" w:type="auto"/>
            <w:tcBorders>
              <w:top w:val="single" w:color="000000" w:sz="4" w:space="0"/>
              <w:left w:val="single" w:color="000000" w:sz="4" w:space="0"/>
              <w:bottom w:val="single" w:color="000000" w:sz="4" w:space="0"/>
              <w:right w:val="single" w:color="000000" w:sz="4" w:space="0"/>
            </w:tcBorders>
            <w:vAlign w:val="center"/>
          </w:tcPr>
          <w:p w14:paraId="046DADF1">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1420 </w:t>
            </w:r>
          </w:p>
        </w:tc>
      </w:tr>
      <w:tr w14:paraId="1D9D325D">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890D0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07C54446">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长汀县罗口溪幸福河湖建设项目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35D8E18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5C510FC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CD6F1F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4D0CDB02">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建设内容包括河湖水系连通、河湖水域空间保护修复等</w:t>
            </w:r>
          </w:p>
        </w:tc>
        <w:tc>
          <w:tcPr>
            <w:tcW w:w="0" w:type="auto"/>
            <w:tcBorders>
              <w:top w:val="single" w:color="000000" w:sz="4" w:space="0"/>
              <w:left w:val="single" w:color="000000" w:sz="4" w:space="0"/>
              <w:bottom w:val="single" w:color="000000" w:sz="4" w:space="0"/>
              <w:right w:val="single" w:color="000000" w:sz="4" w:space="0"/>
            </w:tcBorders>
            <w:vAlign w:val="center"/>
          </w:tcPr>
          <w:p w14:paraId="013AAC8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42F87CFF">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14200 </w:t>
            </w:r>
          </w:p>
        </w:tc>
        <w:tc>
          <w:tcPr>
            <w:tcW w:w="0" w:type="auto"/>
            <w:tcBorders>
              <w:top w:val="single" w:color="000000" w:sz="4" w:space="0"/>
              <w:left w:val="single" w:color="000000" w:sz="4" w:space="0"/>
              <w:bottom w:val="single" w:color="000000" w:sz="4" w:space="0"/>
              <w:right w:val="single" w:color="000000" w:sz="4" w:space="0"/>
            </w:tcBorders>
            <w:vAlign w:val="center"/>
          </w:tcPr>
          <w:p w14:paraId="51E01BF4">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1420 </w:t>
            </w:r>
          </w:p>
        </w:tc>
      </w:tr>
      <w:tr w14:paraId="451C100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2A1E1A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vAlign w:val="center"/>
          </w:tcPr>
          <w:p w14:paraId="075A31D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汀江城区段幸福河湖建设项目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2A36AFB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F00CD1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2CC7ABC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03154697">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建设内容包括河湖水系连通、河湖水域空间保护修复等</w:t>
            </w:r>
          </w:p>
        </w:tc>
        <w:tc>
          <w:tcPr>
            <w:tcW w:w="0" w:type="auto"/>
            <w:tcBorders>
              <w:top w:val="single" w:color="000000" w:sz="4" w:space="0"/>
              <w:left w:val="single" w:color="000000" w:sz="4" w:space="0"/>
              <w:bottom w:val="single" w:color="000000" w:sz="4" w:space="0"/>
              <w:right w:val="single" w:color="000000" w:sz="4" w:space="0"/>
            </w:tcBorders>
            <w:vAlign w:val="center"/>
          </w:tcPr>
          <w:p w14:paraId="6241ADC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0CB56BFE">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14800 </w:t>
            </w:r>
          </w:p>
        </w:tc>
        <w:tc>
          <w:tcPr>
            <w:tcW w:w="0" w:type="auto"/>
            <w:tcBorders>
              <w:top w:val="single" w:color="000000" w:sz="4" w:space="0"/>
              <w:left w:val="single" w:color="000000" w:sz="4" w:space="0"/>
              <w:bottom w:val="single" w:color="000000" w:sz="4" w:space="0"/>
              <w:right w:val="single" w:color="000000" w:sz="4" w:space="0"/>
            </w:tcBorders>
            <w:vAlign w:val="center"/>
          </w:tcPr>
          <w:p w14:paraId="26FCA393">
            <w:pPr>
              <w:widowControl/>
              <w:spacing w:line="240" w:lineRule="auto"/>
              <w:jc w:val="center"/>
              <w:rPr>
                <w:rFonts w:ascii="宋体" w:hAnsi="宋体" w:cs="宋体"/>
                <w:color w:val="000000"/>
                <w:kern w:val="0"/>
                <w:sz w:val="20"/>
                <w:szCs w:val="20"/>
              </w:rPr>
            </w:pPr>
            <w:r>
              <w:rPr>
                <w:rFonts w:hint="eastAsia" w:ascii="宋体" w:hAnsi="宋体" w:cs="宋体"/>
                <w:color w:val="000000"/>
                <w:kern w:val="0"/>
                <w:sz w:val="20"/>
                <w:szCs w:val="20"/>
              </w:rPr>
              <w:t xml:space="preserve">1420 </w:t>
            </w:r>
          </w:p>
        </w:tc>
      </w:tr>
      <w:tr w14:paraId="3EEEB776">
        <w:tblPrEx>
          <w:tblCellMar>
            <w:top w:w="0" w:type="dxa"/>
            <w:left w:w="108" w:type="dxa"/>
            <w:bottom w:w="0" w:type="dxa"/>
            <w:right w:w="108" w:type="dxa"/>
          </w:tblCellMar>
        </w:tblPrEx>
        <w:trPr>
          <w:trHeight w:val="70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09EA26B">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（二）</w:t>
            </w:r>
          </w:p>
        </w:tc>
        <w:tc>
          <w:tcPr>
            <w:tcW w:w="2523" w:type="dxa"/>
            <w:tcBorders>
              <w:top w:val="single" w:color="000000" w:sz="4" w:space="0"/>
              <w:left w:val="single" w:color="000000" w:sz="4" w:space="0"/>
              <w:bottom w:val="single" w:color="000000" w:sz="4" w:space="0"/>
              <w:right w:val="single" w:color="000000" w:sz="4" w:space="0"/>
            </w:tcBorders>
            <w:vAlign w:val="center"/>
          </w:tcPr>
          <w:p w14:paraId="40C9DB95">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推进水文化宣传和建设</w:t>
            </w:r>
          </w:p>
        </w:tc>
        <w:tc>
          <w:tcPr>
            <w:tcW w:w="709" w:type="dxa"/>
            <w:tcBorders>
              <w:top w:val="single" w:color="000000" w:sz="4" w:space="0"/>
              <w:left w:val="single" w:color="000000" w:sz="4" w:space="0"/>
              <w:bottom w:val="single" w:color="000000" w:sz="4" w:space="0"/>
              <w:right w:val="single" w:color="000000" w:sz="4" w:space="0"/>
            </w:tcBorders>
            <w:vAlign w:val="center"/>
          </w:tcPr>
          <w:p w14:paraId="1AF9AE8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5</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7A880B9">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65F2EB3">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5C8F354F">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CFCFEF2">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CD95A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2400 </w:t>
            </w:r>
          </w:p>
        </w:tc>
        <w:tc>
          <w:tcPr>
            <w:tcW w:w="0" w:type="auto"/>
            <w:tcBorders>
              <w:top w:val="single" w:color="000000" w:sz="4" w:space="0"/>
              <w:left w:val="single" w:color="000000" w:sz="4" w:space="0"/>
              <w:bottom w:val="single" w:color="000000" w:sz="4" w:space="0"/>
              <w:right w:val="single" w:color="000000" w:sz="4" w:space="0"/>
            </w:tcBorders>
            <w:vAlign w:val="center"/>
          </w:tcPr>
          <w:p w14:paraId="39F31EBB">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690 </w:t>
            </w:r>
          </w:p>
        </w:tc>
      </w:tr>
      <w:tr w14:paraId="0A8DF2E1">
        <w:tblPrEx>
          <w:tblCellMar>
            <w:top w:w="0" w:type="dxa"/>
            <w:left w:w="108" w:type="dxa"/>
            <w:bottom w:w="0" w:type="dxa"/>
            <w:right w:w="108" w:type="dxa"/>
          </w:tblCellMar>
        </w:tblPrEx>
        <w:trPr>
          <w:trHeight w:val="16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701074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2D820238">
            <w:pPr>
              <w:widowControl/>
              <w:spacing w:line="240" w:lineRule="auto"/>
              <w:jc w:val="left"/>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712512" behindDoc="0" locked="0" layoutInCell="1" allowOverlap="1">
                  <wp:simplePos x="0" y="0"/>
                  <wp:positionH relativeFrom="column">
                    <wp:posOffset>438150</wp:posOffset>
                  </wp:positionH>
                  <wp:positionV relativeFrom="paragraph">
                    <wp:posOffset>0</wp:posOffset>
                  </wp:positionV>
                  <wp:extent cx="9525" cy="608330"/>
                  <wp:effectExtent l="0" t="0" r="0" b="0"/>
                  <wp:wrapNone/>
                  <wp:docPr id="809" name="图片 32"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 name="图片 32"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0833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13536" behindDoc="0" locked="0" layoutInCell="1" allowOverlap="1">
                  <wp:simplePos x="0" y="0"/>
                  <wp:positionH relativeFrom="column">
                    <wp:posOffset>438150</wp:posOffset>
                  </wp:positionH>
                  <wp:positionV relativeFrom="paragraph">
                    <wp:posOffset>0</wp:posOffset>
                  </wp:positionV>
                  <wp:extent cx="9525" cy="777240"/>
                  <wp:effectExtent l="0" t="0" r="0" b="0"/>
                  <wp:wrapNone/>
                  <wp:docPr id="808" name="图片 31"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图片 31"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77724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14560" behindDoc="0" locked="0" layoutInCell="1" allowOverlap="1">
                  <wp:simplePos x="0" y="0"/>
                  <wp:positionH relativeFrom="column">
                    <wp:posOffset>438150</wp:posOffset>
                  </wp:positionH>
                  <wp:positionV relativeFrom="paragraph">
                    <wp:posOffset>0</wp:posOffset>
                  </wp:positionV>
                  <wp:extent cx="9525" cy="617855"/>
                  <wp:effectExtent l="0" t="0" r="0" b="0"/>
                  <wp:wrapNone/>
                  <wp:docPr id="807" name="图片 30"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 name="图片 30"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78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15584" behindDoc="0" locked="0" layoutInCell="1" allowOverlap="1">
                  <wp:simplePos x="0" y="0"/>
                  <wp:positionH relativeFrom="column">
                    <wp:posOffset>438150</wp:posOffset>
                  </wp:positionH>
                  <wp:positionV relativeFrom="paragraph">
                    <wp:posOffset>0</wp:posOffset>
                  </wp:positionV>
                  <wp:extent cx="9525" cy="579755"/>
                  <wp:effectExtent l="0" t="0" r="0" b="0"/>
                  <wp:wrapNone/>
                  <wp:docPr id="801" name="图片 29"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 name="图片 29"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797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16608" behindDoc="0" locked="0" layoutInCell="1" allowOverlap="1">
                  <wp:simplePos x="0" y="0"/>
                  <wp:positionH relativeFrom="column">
                    <wp:posOffset>438150</wp:posOffset>
                  </wp:positionH>
                  <wp:positionV relativeFrom="paragraph">
                    <wp:posOffset>0</wp:posOffset>
                  </wp:positionV>
                  <wp:extent cx="9525" cy="633095"/>
                  <wp:effectExtent l="0" t="0" r="0" b="0"/>
                  <wp:wrapNone/>
                  <wp:docPr id="799" name="图片 28"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 name="图片 28"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33095"/>
                          </a:xfrm>
                          <a:prstGeom prst="rect">
                            <a:avLst/>
                          </a:prstGeom>
                          <a:noFill/>
                          <a:ln>
                            <a:noFill/>
                          </a:ln>
                        </pic:spPr>
                      </pic:pic>
                    </a:graphicData>
                  </a:graphic>
                </wp:anchor>
              </w:drawing>
            </w:r>
            <w:r>
              <w:rPr>
                <w:rFonts w:hint="eastAsia" w:ascii="宋体" w:hAnsi="宋体" w:cs="宋体"/>
                <w:color w:val="000000"/>
                <w:kern w:val="0"/>
                <w:sz w:val="22"/>
              </w:rPr>
              <w:t>羊牯汀江水利风景区提升工程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F9BF1B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C95BFD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7EE8A2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0537DB16">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完善滨水康养步道、森林瑜伽平台、房车营地，配套汀江文化长廊、水文化驿站和中医康养馆，打造集水文化展示、森林康养、生态度假于一体的康养目的地。</w:t>
            </w:r>
          </w:p>
        </w:tc>
        <w:tc>
          <w:tcPr>
            <w:tcW w:w="0" w:type="auto"/>
            <w:tcBorders>
              <w:top w:val="single" w:color="000000" w:sz="4" w:space="0"/>
              <w:left w:val="single" w:color="000000" w:sz="4" w:space="0"/>
              <w:bottom w:val="single" w:color="000000" w:sz="4" w:space="0"/>
              <w:right w:val="single" w:color="000000" w:sz="4" w:space="0"/>
            </w:tcBorders>
            <w:vAlign w:val="center"/>
          </w:tcPr>
          <w:p w14:paraId="4ADC7C5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079AC29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3000 </w:t>
            </w:r>
          </w:p>
        </w:tc>
        <w:tc>
          <w:tcPr>
            <w:tcW w:w="0" w:type="auto"/>
            <w:tcBorders>
              <w:top w:val="single" w:color="000000" w:sz="4" w:space="0"/>
              <w:left w:val="single" w:color="000000" w:sz="4" w:space="0"/>
              <w:bottom w:val="single" w:color="000000" w:sz="4" w:space="0"/>
              <w:right w:val="single" w:color="000000" w:sz="4" w:space="0"/>
            </w:tcBorders>
            <w:vAlign w:val="center"/>
          </w:tcPr>
          <w:p w14:paraId="5726E78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3000 </w:t>
            </w:r>
          </w:p>
        </w:tc>
      </w:tr>
      <w:tr w14:paraId="4A8445A1">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AB4F6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2</w:t>
            </w:r>
          </w:p>
        </w:tc>
        <w:tc>
          <w:tcPr>
            <w:tcW w:w="2523" w:type="dxa"/>
            <w:tcBorders>
              <w:top w:val="single" w:color="000000" w:sz="4" w:space="0"/>
              <w:left w:val="single" w:color="000000" w:sz="4" w:space="0"/>
              <w:bottom w:val="single" w:color="000000" w:sz="4" w:space="0"/>
              <w:right w:val="single" w:color="000000" w:sz="4" w:space="0"/>
            </w:tcBorders>
            <w:vAlign w:val="center"/>
          </w:tcPr>
          <w:p w14:paraId="0110BABE">
            <w:pPr>
              <w:widowControl/>
              <w:spacing w:line="240" w:lineRule="auto"/>
              <w:jc w:val="left"/>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717632" behindDoc="0" locked="0" layoutInCell="1" allowOverlap="1">
                  <wp:simplePos x="0" y="0"/>
                  <wp:positionH relativeFrom="column">
                    <wp:posOffset>438150</wp:posOffset>
                  </wp:positionH>
                  <wp:positionV relativeFrom="paragraph">
                    <wp:posOffset>0</wp:posOffset>
                  </wp:positionV>
                  <wp:extent cx="9525" cy="579755"/>
                  <wp:effectExtent l="0" t="0" r="0" b="0"/>
                  <wp:wrapNone/>
                  <wp:docPr id="834" name="图片 27"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 name="图片 27"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797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18656" behindDoc="0" locked="0" layoutInCell="1" allowOverlap="1">
                  <wp:simplePos x="0" y="0"/>
                  <wp:positionH relativeFrom="column">
                    <wp:posOffset>438150</wp:posOffset>
                  </wp:positionH>
                  <wp:positionV relativeFrom="paragraph">
                    <wp:posOffset>0</wp:posOffset>
                  </wp:positionV>
                  <wp:extent cx="9525" cy="777240"/>
                  <wp:effectExtent l="0" t="0" r="0" b="0"/>
                  <wp:wrapNone/>
                  <wp:docPr id="841" name="图片 26"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 name="图片 26"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77724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19680" behindDoc="0" locked="0" layoutInCell="1" allowOverlap="1">
                  <wp:simplePos x="0" y="0"/>
                  <wp:positionH relativeFrom="column">
                    <wp:posOffset>438150</wp:posOffset>
                  </wp:positionH>
                  <wp:positionV relativeFrom="paragraph">
                    <wp:posOffset>0</wp:posOffset>
                  </wp:positionV>
                  <wp:extent cx="9525" cy="608330"/>
                  <wp:effectExtent l="0" t="0" r="0" b="0"/>
                  <wp:wrapNone/>
                  <wp:docPr id="842" name="图片 25"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图片 25"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0833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0704" behindDoc="0" locked="0" layoutInCell="1" allowOverlap="1">
                  <wp:simplePos x="0" y="0"/>
                  <wp:positionH relativeFrom="column">
                    <wp:posOffset>438150</wp:posOffset>
                  </wp:positionH>
                  <wp:positionV relativeFrom="paragraph">
                    <wp:posOffset>0</wp:posOffset>
                  </wp:positionV>
                  <wp:extent cx="9525" cy="617855"/>
                  <wp:effectExtent l="0" t="0" r="0" b="0"/>
                  <wp:wrapNone/>
                  <wp:docPr id="840" name="图片 24"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图片 24"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78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1728" behindDoc="0" locked="0" layoutInCell="1" allowOverlap="1">
                  <wp:simplePos x="0" y="0"/>
                  <wp:positionH relativeFrom="column">
                    <wp:posOffset>438150</wp:posOffset>
                  </wp:positionH>
                  <wp:positionV relativeFrom="paragraph">
                    <wp:posOffset>0</wp:posOffset>
                  </wp:positionV>
                  <wp:extent cx="9525" cy="633095"/>
                  <wp:effectExtent l="0" t="0" r="0" b="0"/>
                  <wp:wrapNone/>
                  <wp:docPr id="832" name="图片 23"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 name="图片 23"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33095"/>
                          </a:xfrm>
                          <a:prstGeom prst="rect">
                            <a:avLst/>
                          </a:prstGeom>
                          <a:noFill/>
                          <a:ln>
                            <a:noFill/>
                          </a:ln>
                        </pic:spPr>
                      </pic:pic>
                    </a:graphicData>
                  </a:graphic>
                </wp:anchor>
              </w:drawing>
            </w:r>
            <w:r>
              <w:rPr>
                <w:rFonts w:hint="eastAsia" w:ascii="宋体" w:hAnsi="宋体" w:cs="宋体"/>
                <w:color w:val="000000"/>
                <w:kern w:val="0"/>
                <w:sz w:val="22"/>
              </w:rPr>
              <w:t>长汀县水口渡口风景区建设项目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79D8CC9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D2D84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64EA1A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319C19D9">
            <w:pPr>
              <w:widowControl/>
              <w:spacing w:line="240" w:lineRule="auto"/>
              <w:jc w:val="left"/>
              <w:rPr>
                <w:rFonts w:ascii="宋体" w:hAnsi="宋体" w:cs="宋体"/>
                <w:color w:val="000000"/>
                <w:kern w:val="0"/>
                <w:sz w:val="22"/>
              </w:rPr>
            </w:pPr>
            <w:r>
              <w:rPr>
                <w:rFonts w:hint="eastAsia" w:ascii="宋体" w:hAnsi="宋体" w:cs="宋体"/>
                <w:color w:val="000000"/>
                <w:kern w:val="0"/>
                <w:sz w:val="22"/>
              </w:rPr>
              <w:t>围绕“红旗跃过汀江”红色IP，实施渡口周边生态修复、滨水绿道、红旗文化宣教带、休闲体验节点等基础配套，打造可游、可学、可憩的红色文化体验区。</w:t>
            </w:r>
          </w:p>
        </w:tc>
        <w:tc>
          <w:tcPr>
            <w:tcW w:w="0" w:type="auto"/>
            <w:tcBorders>
              <w:top w:val="single" w:color="000000" w:sz="4" w:space="0"/>
              <w:left w:val="single" w:color="000000" w:sz="4" w:space="0"/>
              <w:bottom w:val="single" w:color="000000" w:sz="4" w:space="0"/>
              <w:right w:val="single" w:color="000000" w:sz="4" w:space="0"/>
            </w:tcBorders>
            <w:vAlign w:val="center"/>
          </w:tcPr>
          <w:p w14:paraId="4C986AA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0E416EA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500 </w:t>
            </w:r>
          </w:p>
        </w:tc>
        <w:tc>
          <w:tcPr>
            <w:tcW w:w="0" w:type="auto"/>
            <w:tcBorders>
              <w:top w:val="single" w:color="000000" w:sz="4" w:space="0"/>
              <w:left w:val="single" w:color="000000" w:sz="4" w:space="0"/>
              <w:bottom w:val="single" w:color="000000" w:sz="4" w:space="0"/>
              <w:right w:val="single" w:color="000000" w:sz="4" w:space="0"/>
            </w:tcBorders>
            <w:vAlign w:val="center"/>
          </w:tcPr>
          <w:p w14:paraId="7F3FB80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500 </w:t>
            </w:r>
          </w:p>
        </w:tc>
      </w:tr>
      <w:tr w14:paraId="779DF71D">
        <w:tblPrEx>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F6FFDD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3</w:t>
            </w:r>
          </w:p>
        </w:tc>
        <w:tc>
          <w:tcPr>
            <w:tcW w:w="2523" w:type="dxa"/>
            <w:tcBorders>
              <w:top w:val="single" w:color="000000" w:sz="4" w:space="0"/>
              <w:left w:val="single" w:color="000000" w:sz="4" w:space="0"/>
              <w:bottom w:val="single" w:color="000000" w:sz="4" w:space="0"/>
              <w:right w:val="single" w:color="000000" w:sz="4" w:space="0"/>
            </w:tcBorders>
            <w:vAlign w:val="center"/>
          </w:tcPr>
          <w:p w14:paraId="1669FE78">
            <w:pPr>
              <w:widowControl/>
              <w:spacing w:line="240" w:lineRule="auto"/>
              <w:jc w:val="left"/>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722752" behindDoc="0" locked="0" layoutInCell="1" allowOverlap="1">
                  <wp:simplePos x="0" y="0"/>
                  <wp:positionH relativeFrom="column">
                    <wp:posOffset>438150</wp:posOffset>
                  </wp:positionH>
                  <wp:positionV relativeFrom="paragraph">
                    <wp:posOffset>0</wp:posOffset>
                  </wp:positionV>
                  <wp:extent cx="9525" cy="706120"/>
                  <wp:effectExtent l="0" t="0" r="0" b="0"/>
                  <wp:wrapNone/>
                  <wp:docPr id="830" name="图片 22"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图片 22"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70612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3776" behindDoc="0" locked="0" layoutInCell="1" allowOverlap="1">
                  <wp:simplePos x="0" y="0"/>
                  <wp:positionH relativeFrom="column">
                    <wp:posOffset>438150</wp:posOffset>
                  </wp:positionH>
                  <wp:positionV relativeFrom="paragraph">
                    <wp:posOffset>0</wp:posOffset>
                  </wp:positionV>
                  <wp:extent cx="9525" cy="608330"/>
                  <wp:effectExtent l="0" t="0" r="0" b="0"/>
                  <wp:wrapNone/>
                  <wp:docPr id="831" name="图片 21"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 name="图片 21"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0833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4800" behindDoc="0" locked="0" layoutInCell="1" allowOverlap="1">
                  <wp:simplePos x="0" y="0"/>
                  <wp:positionH relativeFrom="column">
                    <wp:posOffset>438150</wp:posOffset>
                  </wp:positionH>
                  <wp:positionV relativeFrom="paragraph">
                    <wp:posOffset>0</wp:posOffset>
                  </wp:positionV>
                  <wp:extent cx="9525" cy="579755"/>
                  <wp:effectExtent l="0" t="0" r="0" b="0"/>
                  <wp:wrapNone/>
                  <wp:docPr id="823" name="图片 20"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 name="图片 20"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797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5824" behindDoc="0" locked="0" layoutInCell="1" allowOverlap="1">
                  <wp:simplePos x="0" y="0"/>
                  <wp:positionH relativeFrom="column">
                    <wp:posOffset>438150</wp:posOffset>
                  </wp:positionH>
                  <wp:positionV relativeFrom="paragraph">
                    <wp:posOffset>0</wp:posOffset>
                  </wp:positionV>
                  <wp:extent cx="9525" cy="617855"/>
                  <wp:effectExtent l="0" t="0" r="0" b="0"/>
                  <wp:wrapNone/>
                  <wp:docPr id="829" name="图片 19"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 name="图片 19"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78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6848" behindDoc="0" locked="0" layoutInCell="1" allowOverlap="1">
                  <wp:simplePos x="0" y="0"/>
                  <wp:positionH relativeFrom="column">
                    <wp:posOffset>438150</wp:posOffset>
                  </wp:positionH>
                  <wp:positionV relativeFrom="paragraph">
                    <wp:posOffset>0</wp:posOffset>
                  </wp:positionV>
                  <wp:extent cx="9525" cy="633095"/>
                  <wp:effectExtent l="0" t="0" r="0" b="0"/>
                  <wp:wrapNone/>
                  <wp:docPr id="821" name="图片 18"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图片 18"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33095"/>
                          </a:xfrm>
                          <a:prstGeom prst="rect">
                            <a:avLst/>
                          </a:prstGeom>
                          <a:noFill/>
                          <a:ln>
                            <a:noFill/>
                          </a:ln>
                        </pic:spPr>
                      </pic:pic>
                    </a:graphicData>
                  </a:graphic>
                </wp:anchor>
              </w:drawing>
            </w:r>
            <w:r>
              <w:rPr>
                <w:rFonts w:hint="eastAsia" w:ascii="宋体" w:hAnsi="宋体" w:cs="宋体"/>
                <w:color w:val="000000"/>
                <w:kern w:val="0"/>
                <w:sz w:val="22"/>
              </w:rPr>
              <w:t>长汀步塘潭码头水利风景区提升工程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7B540181">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0CAAFB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AC4EBD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4F99169C">
            <w:pPr>
              <w:widowControl/>
              <w:spacing w:line="240" w:lineRule="auto"/>
              <w:jc w:val="left"/>
              <w:rPr>
                <w:rFonts w:ascii="宋体" w:hAnsi="宋体" w:cs="宋体"/>
                <w:color w:val="000000"/>
                <w:kern w:val="0"/>
                <w:sz w:val="22"/>
              </w:rPr>
            </w:pPr>
            <w:r>
              <w:rPr>
                <w:rFonts w:hint="eastAsia" w:ascii="宋体" w:hAnsi="宋体" w:cs="宋体"/>
                <w:color w:val="000000"/>
                <w:kern w:val="0"/>
                <w:sz w:val="22"/>
              </w:rPr>
              <w:t>聚焦古码头及河湖文化遗产，修缮传统水工遗迹，植入非遗展示、渔歌夜演、慢行道与智慧导览，复兴“活着的汀江古渡”。</w:t>
            </w:r>
          </w:p>
        </w:tc>
        <w:tc>
          <w:tcPr>
            <w:tcW w:w="0" w:type="auto"/>
            <w:tcBorders>
              <w:top w:val="single" w:color="000000" w:sz="4" w:space="0"/>
              <w:left w:val="single" w:color="000000" w:sz="4" w:space="0"/>
              <w:bottom w:val="single" w:color="000000" w:sz="4" w:space="0"/>
              <w:right w:val="single" w:color="000000" w:sz="4" w:space="0"/>
            </w:tcBorders>
            <w:vAlign w:val="center"/>
          </w:tcPr>
          <w:p w14:paraId="3F0547A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489A712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200 </w:t>
            </w:r>
          </w:p>
        </w:tc>
        <w:tc>
          <w:tcPr>
            <w:tcW w:w="0" w:type="auto"/>
            <w:tcBorders>
              <w:top w:val="single" w:color="000000" w:sz="4" w:space="0"/>
              <w:left w:val="single" w:color="000000" w:sz="4" w:space="0"/>
              <w:bottom w:val="single" w:color="000000" w:sz="4" w:space="0"/>
              <w:right w:val="single" w:color="000000" w:sz="4" w:space="0"/>
            </w:tcBorders>
            <w:vAlign w:val="center"/>
          </w:tcPr>
          <w:p w14:paraId="67F330A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20 </w:t>
            </w:r>
          </w:p>
        </w:tc>
      </w:tr>
      <w:tr w14:paraId="02EFC8DD">
        <w:tblPrEx>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1E1730">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4</w:t>
            </w:r>
          </w:p>
        </w:tc>
        <w:tc>
          <w:tcPr>
            <w:tcW w:w="2523" w:type="dxa"/>
            <w:tcBorders>
              <w:top w:val="single" w:color="000000" w:sz="4" w:space="0"/>
              <w:left w:val="single" w:color="000000" w:sz="4" w:space="0"/>
              <w:bottom w:val="single" w:color="000000" w:sz="4" w:space="0"/>
              <w:right w:val="single" w:color="000000" w:sz="4" w:space="0"/>
            </w:tcBorders>
            <w:vAlign w:val="center"/>
          </w:tcPr>
          <w:p w14:paraId="576C4575">
            <w:pPr>
              <w:widowControl/>
              <w:spacing w:line="240" w:lineRule="auto"/>
              <w:jc w:val="left"/>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727872" behindDoc="0" locked="0" layoutInCell="1" allowOverlap="1">
                  <wp:simplePos x="0" y="0"/>
                  <wp:positionH relativeFrom="column">
                    <wp:posOffset>438150</wp:posOffset>
                  </wp:positionH>
                  <wp:positionV relativeFrom="paragraph">
                    <wp:posOffset>0</wp:posOffset>
                  </wp:positionV>
                  <wp:extent cx="9525" cy="608330"/>
                  <wp:effectExtent l="0" t="0" r="0" b="0"/>
                  <wp:wrapNone/>
                  <wp:docPr id="820" name="图片 17"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 name="图片 17"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0833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8896" behindDoc="0" locked="0" layoutInCell="1" allowOverlap="1">
                  <wp:simplePos x="0" y="0"/>
                  <wp:positionH relativeFrom="column">
                    <wp:posOffset>438150</wp:posOffset>
                  </wp:positionH>
                  <wp:positionV relativeFrom="paragraph">
                    <wp:posOffset>0</wp:posOffset>
                  </wp:positionV>
                  <wp:extent cx="9525" cy="777240"/>
                  <wp:effectExtent l="0" t="0" r="0" b="0"/>
                  <wp:wrapNone/>
                  <wp:docPr id="819" name="图片 16"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 name="图片 16"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77724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29920" behindDoc="0" locked="0" layoutInCell="1" allowOverlap="1">
                  <wp:simplePos x="0" y="0"/>
                  <wp:positionH relativeFrom="column">
                    <wp:posOffset>438150</wp:posOffset>
                  </wp:positionH>
                  <wp:positionV relativeFrom="paragraph">
                    <wp:posOffset>0</wp:posOffset>
                  </wp:positionV>
                  <wp:extent cx="9525" cy="633095"/>
                  <wp:effectExtent l="0" t="0" r="0" b="0"/>
                  <wp:wrapNone/>
                  <wp:docPr id="810" name="图片 15"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图片 15"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3309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0944" behindDoc="0" locked="0" layoutInCell="1" allowOverlap="1">
                  <wp:simplePos x="0" y="0"/>
                  <wp:positionH relativeFrom="column">
                    <wp:posOffset>438150</wp:posOffset>
                  </wp:positionH>
                  <wp:positionV relativeFrom="paragraph">
                    <wp:posOffset>0</wp:posOffset>
                  </wp:positionV>
                  <wp:extent cx="9525" cy="617855"/>
                  <wp:effectExtent l="0" t="0" r="0" b="0"/>
                  <wp:wrapNone/>
                  <wp:docPr id="818" name="图片 14"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图片 14"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78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1968" behindDoc="0" locked="0" layoutInCell="1" allowOverlap="1">
                  <wp:simplePos x="0" y="0"/>
                  <wp:positionH relativeFrom="column">
                    <wp:posOffset>438150</wp:posOffset>
                  </wp:positionH>
                  <wp:positionV relativeFrom="paragraph">
                    <wp:posOffset>0</wp:posOffset>
                  </wp:positionV>
                  <wp:extent cx="9525" cy="579755"/>
                  <wp:effectExtent l="0" t="0" r="0" b="0"/>
                  <wp:wrapNone/>
                  <wp:docPr id="812" name="图片 13"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图片 13"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79755"/>
                          </a:xfrm>
                          <a:prstGeom prst="rect">
                            <a:avLst/>
                          </a:prstGeom>
                          <a:noFill/>
                          <a:ln>
                            <a:noFill/>
                          </a:ln>
                        </pic:spPr>
                      </pic:pic>
                    </a:graphicData>
                  </a:graphic>
                </wp:anchor>
              </w:drawing>
            </w:r>
            <w:r>
              <w:rPr>
                <w:rFonts w:hint="eastAsia" w:ascii="宋体" w:hAnsi="宋体" w:cs="宋体"/>
                <w:color w:val="000000"/>
                <w:kern w:val="0"/>
                <w:sz w:val="22"/>
              </w:rPr>
              <w:t>长汀县水保科教园水利风景区提升工程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6FB17C1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6F33084">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A98F29F">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18A0A03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扩容园区路网、停车、驿站等基础设施，新建水土保持互动体验馆、AR沙盘、研学课堂和文化景观小品，塑造国家级水保科普与研学标杆。</w:t>
            </w:r>
          </w:p>
        </w:tc>
        <w:tc>
          <w:tcPr>
            <w:tcW w:w="0" w:type="auto"/>
            <w:tcBorders>
              <w:top w:val="single" w:color="000000" w:sz="4" w:space="0"/>
              <w:left w:val="single" w:color="000000" w:sz="4" w:space="0"/>
              <w:bottom w:val="single" w:color="000000" w:sz="4" w:space="0"/>
              <w:right w:val="single" w:color="000000" w:sz="4" w:space="0"/>
            </w:tcBorders>
            <w:vAlign w:val="center"/>
          </w:tcPr>
          <w:p w14:paraId="652F51B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635FD836">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1200 </w:t>
            </w:r>
          </w:p>
        </w:tc>
        <w:tc>
          <w:tcPr>
            <w:tcW w:w="0" w:type="auto"/>
            <w:tcBorders>
              <w:top w:val="single" w:color="000000" w:sz="4" w:space="0"/>
              <w:left w:val="single" w:color="000000" w:sz="4" w:space="0"/>
              <w:bottom w:val="single" w:color="000000" w:sz="4" w:space="0"/>
              <w:right w:val="single" w:color="000000" w:sz="4" w:space="0"/>
            </w:tcBorders>
            <w:vAlign w:val="center"/>
          </w:tcPr>
          <w:p w14:paraId="6EF688E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120 </w:t>
            </w:r>
          </w:p>
        </w:tc>
      </w:tr>
      <w:tr w14:paraId="53B3B52B">
        <w:tblPrEx>
          <w:tblCellMar>
            <w:top w:w="0" w:type="dxa"/>
            <w:left w:w="108" w:type="dxa"/>
            <w:bottom w:w="0" w:type="dxa"/>
            <w:right w:w="108" w:type="dxa"/>
          </w:tblCellMar>
        </w:tblPrEx>
        <w:trPr>
          <w:trHeight w:val="76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F974F7">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5</w:t>
            </w:r>
          </w:p>
        </w:tc>
        <w:tc>
          <w:tcPr>
            <w:tcW w:w="2523" w:type="dxa"/>
            <w:tcBorders>
              <w:top w:val="single" w:color="000000" w:sz="4" w:space="0"/>
              <w:left w:val="single" w:color="000000" w:sz="4" w:space="0"/>
              <w:bottom w:val="single" w:color="000000" w:sz="4" w:space="0"/>
              <w:right w:val="single" w:color="000000" w:sz="4" w:space="0"/>
            </w:tcBorders>
            <w:vAlign w:val="center"/>
          </w:tcPr>
          <w:p w14:paraId="540907CA">
            <w:pPr>
              <w:widowControl/>
              <w:spacing w:line="240" w:lineRule="auto"/>
              <w:jc w:val="left"/>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732992" behindDoc="0" locked="0" layoutInCell="1" allowOverlap="1">
                  <wp:simplePos x="0" y="0"/>
                  <wp:positionH relativeFrom="column">
                    <wp:posOffset>438150</wp:posOffset>
                  </wp:positionH>
                  <wp:positionV relativeFrom="paragraph">
                    <wp:posOffset>0</wp:posOffset>
                  </wp:positionV>
                  <wp:extent cx="9525" cy="777240"/>
                  <wp:effectExtent l="0" t="0" r="0" b="0"/>
                  <wp:wrapNone/>
                  <wp:docPr id="797" name="图片 12"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 name="图片 12"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77724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4016" behindDoc="0" locked="0" layoutInCell="1" allowOverlap="1">
                  <wp:simplePos x="0" y="0"/>
                  <wp:positionH relativeFrom="column">
                    <wp:posOffset>438150</wp:posOffset>
                  </wp:positionH>
                  <wp:positionV relativeFrom="paragraph">
                    <wp:posOffset>0</wp:posOffset>
                  </wp:positionV>
                  <wp:extent cx="9525" cy="633095"/>
                  <wp:effectExtent l="0" t="0" r="0" b="0"/>
                  <wp:wrapNone/>
                  <wp:docPr id="788" name="图片 11"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图片 11"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3309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5040" behindDoc="0" locked="0" layoutInCell="1" allowOverlap="1">
                  <wp:simplePos x="0" y="0"/>
                  <wp:positionH relativeFrom="column">
                    <wp:posOffset>438150</wp:posOffset>
                  </wp:positionH>
                  <wp:positionV relativeFrom="paragraph">
                    <wp:posOffset>0</wp:posOffset>
                  </wp:positionV>
                  <wp:extent cx="9525" cy="608330"/>
                  <wp:effectExtent l="0" t="0" r="0" b="0"/>
                  <wp:wrapNone/>
                  <wp:docPr id="798" name="图片 10"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图片 10"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08330"/>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6064" behindDoc="0" locked="0" layoutInCell="1" allowOverlap="1">
                  <wp:simplePos x="0" y="0"/>
                  <wp:positionH relativeFrom="column">
                    <wp:posOffset>438150</wp:posOffset>
                  </wp:positionH>
                  <wp:positionV relativeFrom="paragraph">
                    <wp:posOffset>0</wp:posOffset>
                  </wp:positionV>
                  <wp:extent cx="9525" cy="579755"/>
                  <wp:effectExtent l="0" t="0" r="0" b="0"/>
                  <wp:wrapNone/>
                  <wp:docPr id="790" name="图片 9"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图片 9"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7975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7088" behindDoc="0" locked="0" layoutInCell="1" allowOverlap="1">
                  <wp:simplePos x="0" y="0"/>
                  <wp:positionH relativeFrom="column">
                    <wp:posOffset>438150</wp:posOffset>
                  </wp:positionH>
                  <wp:positionV relativeFrom="paragraph">
                    <wp:posOffset>0</wp:posOffset>
                  </wp:positionV>
                  <wp:extent cx="9525" cy="617855"/>
                  <wp:effectExtent l="0" t="0" r="0" b="0"/>
                  <wp:wrapNone/>
                  <wp:docPr id="796" name="图片 8"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图片 8"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7855"/>
                          </a:xfrm>
                          <a:prstGeom prst="rect">
                            <a:avLst/>
                          </a:prstGeom>
                          <a:noFill/>
                          <a:ln>
                            <a:noFill/>
                          </a:ln>
                        </pic:spPr>
                      </pic:pic>
                    </a:graphicData>
                  </a:graphic>
                </wp:anchor>
              </w:drawing>
            </w:r>
            <w:r>
              <w:rPr>
                <w:rFonts w:hint="eastAsia" w:ascii="宋体" w:hAnsi="宋体" w:cs="宋体"/>
                <w:color w:val="000000"/>
                <w:kern w:val="0"/>
                <w:sz w:val="22"/>
              </w:rPr>
              <w:t>长汀千工陂、定光陂水文化建设</w:t>
            </w:r>
          </w:p>
        </w:tc>
        <w:tc>
          <w:tcPr>
            <w:tcW w:w="709" w:type="dxa"/>
            <w:tcBorders>
              <w:top w:val="single" w:color="000000" w:sz="4" w:space="0"/>
              <w:left w:val="single" w:color="000000" w:sz="4" w:space="0"/>
              <w:bottom w:val="single" w:color="000000" w:sz="4" w:space="0"/>
              <w:right w:val="single" w:color="000000" w:sz="4" w:space="0"/>
            </w:tcBorders>
            <w:vAlign w:val="center"/>
          </w:tcPr>
          <w:p w14:paraId="797CBBF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1445FB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71950C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213D36A4">
            <w:pPr>
              <w:widowControl/>
              <w:spacing w:line="240" w:lineRule="auto"/>
              <w:jc w:val="left"/>
              <w:rPr>
                <w:rFonts w:ascii="宋体" w:hAnsi="宋体" w:cs="宋体"/>
                <w:color w:val="000000"/>
                <w:kern w:val="0"/>
                <w:sz w:val="22"/>
              </w:rPr>
            </w:pPr>
            <w:r>
              <w:rPr>
                <w:rFonts w:hint="eastAsia" w:ascii="宋体" w:hAnsi="宋体" w:cs="宋体"/>
                <w:color w:val="000000"/>
                <w:kern w:val="0"/>
                <w:sz w:val="22"/>
              </w:rPr>
              <w:t>依托千年陂史，修复双陂遗构，融水利工程教学、生态保护与休闲观光于一体，打造活态水利风景区。</w:t>
            </w:r>
          </w:p>
        </w:tc>
        <w:tc>
          <w:tcPr>
            <w:tcW w:w="0" w:type="auto"/>
            <w:tcBorders>
              <w:top w:val="single" w:color="000000" w:sz="4" w:space="0"/>
              <w:left w:val="single" w:color="000000" w:sz="4" w:space="0"/>
              <w:bottom w:val="single" w:color="000000" w:sz="4" w:space="0"/>
              <w:right w:val="single" w:color="000000" w:sz="4" w:space="0"/>
            </w:tcBorders>
            <w:vAlign w:val="center"/>
          </w:tcPr>
          <w:p w14:paraId="446602B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1883688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500 </w:t>
            </w:r>
          </w:p>
        </w:tc>
        <w:tc>
          <w:tcPr>
            <w:tcW w:w="0" w:type="auto"/>
            <w:tcBorders>
              <w:top w:val="single" w:color="000000" w:sz="4" w:space="0"/>
              <w:left w:val="single" w:color="000000" w:sz="4" w:space="0"/>
              <w:bottom w:val="single" w:color="000000" w:sz="4" w:space="0"/>
              <w:right w:val="single" w:color="000000" w:sz="4" w:space="0"/>
            </w:tcBorders>
            <w:vAlign w:val="center"/>
          </w:tcPr>
          <w:p w14:paraId="044E879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50 </w:t>
            </w:r>
          </w:p>
        </w:tc>
      </w:tr>
      <w:tr w14:paraId="0BAA1F29">
        <w:tblPrEx>
          <w:tblCellMar>
            <w:top w:w="0" w:type="dxa"/>
            <w:left w:w="108" w:type="dxa"/>
            <w:bottom w:w="0" w:type="dxa"/>
            <w:right w:w="108" w:type="dxa"/>
          </w:tblCellMar>
        </w:tblPrEx>
        <w:trPr>
          <w:trHeight w:val="76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3A1740">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（三）</w:t>
            </w:r>
          </w:p>
        </w:tc>
        <w:tc>
          <w:tcPr>
            <w:tcW w:w="2523" w:type="dxa"/>
            <w:tcBorders>
              <w:top w:val="single" w:color="000000" w:sz="4" w:space="0"/>
              <w:left w:val="single" w:color="000000" w:sz="4" w:space="0"/>
              <w:bottom w:val="single" w:color="000000" w:sz="4" w:space="0"/>
              <w:right w:val="single" w:color="000000" w:sz="4" w:space="0"/>
            </w:tcBorders>
            <w:vAlign w:val="center"/>
          </w:tcPr>
          <w:p w14:paraId="3F9AC9EB">
            <w:pPr>
              <w:widowControl/>
              <w:spacing w:line="240" w:lineRule="auto"/>
              <w:jc w:val="left"/>
              <w:rPr>
                <w:rFonts w:ascii="宋体" w:hAnsi="宋体" w:cs="宋体"/>
                <w:b/>
                <w:bCs/>
                <w:color w:val="000000"/>
                <w:kern w:val="0"/>
                <w:sz w:val="22"/>
              </w:rPr>
            </w:pPr>
            <w:r>
              <w:rPr>
                <w:rFonts w:hint="eastAsia" w:ascii="宋体" w:hAnsi="宋体" w:cs="宋体"/>
                <w:b/>
                <w:bCs/>
                <w:color w:val="000000"/>
                <w:kern w:val="0"/>
                <w:sz w:val="22"/>
              </w:rPr>
              <w:t>促进水经济发展</w:t>
            </w:r>
          </w:p>
        </w:tc>
        <w:tc>
          <w:tcPr>
            <w:tcW w:w="709" w:type="dxa"/>
            <w:tcBorders>
              <w:top w:val="single" w:color="000000" w:sz="4" w:space="0"/>
              <w:left w:val="single" w:color="000000" w:sz="4" w:space="0"/>
              <w:bottom w:val="single" w:color="000000" w:sz="4" w:space="0"/>
              <w:right w:val="single" w:color="000000" w:sz="4" w:space="0"/>
            </w:tcBorders>
            <w:vAlign w:val="center"/>
          </w:tcPr>
          <w:p w14:paraId="304103C7">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93AC71A">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EF51A2B">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4BF9C8C6">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8983629">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262A1C2">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45000 </w:t>
            </w:r>
          </w:p>
        </w:tc>
        <w:tc>
          <w:tcPr>
            <w:tcW w:w="0" w:type="auto"/>
            <w:tcBorders>
              <w:top w:val="single" w:color="000000" w:sz="4" w:space="0"/>
              <w:left w:val="single" w:color="000000" w:sz="4" w:space="0"/>
              <w:bottom w:val="single" w:color="000000" w:sz="4" w:space="0"/>
              <w:right w:val="single" w:color="000000" w:sz="4" w:space="0"/>
            </w:tcBorders>
            <w:vAlign w:val="center"/>
          </w:tcPr>
          <w:p w14:paraId="6CE4414D">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4500 </w:t>
            </w:r>
          </w:p>
        </w:tc>
      </w:tr>
      <w:tr w14:paraId="33DEDFA3">
        <w:tblPrEx>
          <w:tblCellMar>
            <w:top w:w="0" w:type="dxa"/>
            <w:left w:w="108" w:type="dxa"/>
            <w:bottom w:w="0" w:type="dxa"/>
            <w:right w:w="108" w:type="dxa"/>
          </w:tblCellMar>
        </w:tblPrEx>
        <w:trPr>
          <w:trHeight w:val="27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7A28D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217E45E8">
            <w:pPr>
              <w:widowControl/>
              <w:spacing w:line="240" w:lineRule="auto"/>
              <w:jc w:val="left"/>
              <w:rPr>
                <w:rFonts w:ascii="宋体" w:hAnsi="宋体" w:cs="宋体"/>
                <w:color w:val="000000"/>
                <w:kern w:val="0"/>
                <w:sz w:val="22"/>
              </w:rPr>
            </w:pPr>
            <w:r>
              <w:rPr>
                <w:rFonts w:hint="eastAsia" w:ascii="宋体" w:hAnsi="宋体" w:cs="宋体"/>
                <w:color w:val="000000"/>
                <w:kern w:val="0"/>
                <w:sz w:val="22"/>
              </w:rPr>
              <w:t>长汀县“一江两岸”生态红韵客家水脉文旅共生项目</w:t>
            </w:r>
          </w:p>
        </w:tc>
        <w:tc>
          <w:tcPr>
            <w:tcW w:w="709" w:type="dxa"/>
            <w:tcBorders>
              <w:top w:val="single" w:color="000000" w:sz="4" w:space="0"/>
              <w:left w:val="single" w:color="000000" w:sz="4" w:space="0"/>
              <w:bottom w:val="single" w:color="000000" w:sz="4" w:space="0"/>
              <w:right w:val="single" w:color="000000" w:sz="4" w:space="0"/>
            </w:tcBorders>
            <w:vAlign w:val="center"/>
          </w:tcPr>
          <w:p w14:paraId="044CA1C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AE760F5">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vAlign w:val="center"/>
          </w:tcPr>
          <w:p w14:paraId="697F4EA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53FA1B1D">
            <w:pPr>
              <w:widowControl/>
              <w:spacing w:line="240" w:lineRule="auto"/>
              <w:jc w:val="left"/>
              <w:rPr>
                <w:rFonts w:ascii="宋体" w:hAnsi="宋体" w:cs="宋体"/>
                <w:color w:val="000000"/>
                <w:kern w:val="0"/>
                <w:sz w:val="20"/>
                <w:szCs w:val="20"/>
              </w:rPr>
            </w:pPr>
            <w:r>
              <w:rPr>
                <w:rFonts w:hint="eastAsia" w:ascii="宋体" w:hAnsi="宋体" w:cs="宋体"/>
                <w:color w:val="000000"/>
                <w:kern w:val="0"/>
                <w:sz w:val="20"/>
                <w:szCs w:val="20"/>
              </w:rPr>
              <w:t>规划建设沿河道生态步道35公里，设置观景平台20处；实施汀江沿岸生态修复工程，修复河岸植被带20万平方米，布设生态缓冲带15公里；打造‘红韵水脉’文化节点8个，包括红色交通线主题雕塑群、客家码头文化展示区等；建设水上特色旅游航道工程4.5公里。城区段重点打造一江两岸，夜游汀州项目，《梦回汀州》主题科技光影秀、汀江红府巷至太平桥航道约5公里（已建2公里）、水上服务区、锚地、红色交通点及导助航设施等，后续可进行航道延伸、景观提升、户外演艺、特色餐饮、游船中心等设施建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EF005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规划</w:t>
            </w:r>
          </w:p>
        </w:tc>
        <w:tc>
          <w:tcPr>
            <w:tcW w:w="0" w:type="auto"/>
            <w:tcBorders>
              <w:top w:val="single" w:color="000000" w:sz="4" w:space="0"/>
              <w:left w:val="single" w:color="000000" w:sz="4" w:space="0"/>
              <w:bottom w:val="single" w:color="000000" w:sz="4" w:space="0"/>
              <w:right w:val="single" w:color="000000" w:sz="4" w:space="0"/>
            </w:tcBorders>
            <w:vAlign w:val="center"/>
          </w:tcPr>
          <w:p w14:paraId="37EC535C">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45000 </w:t>
            </w:r>
          </w:p>
        </w:tc>
        <w:tc>
          <w:tcPr>
            <w:tcW w:w="0" w:type="auto"/>
            <w:tcBorders>
              <w:top w:val="single" w:color="000000" w:sz="4" w:space="0"/>
              <w:left w:val="single" w:color="000000" w:sz="4" w:space="0"/>
              <w:bottom w:val="single" w:color="000000" w:sz="4" w:space="0"/>
              <w:right w:val="single" w:color="000000" w:sz="4" w:space="0"/>
            </w:tcBorders>
            <w:vAlign w:val="center"/>
          </w:tcPr>
          <w:p w14:paraId="0046B6C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4500 </w:t>
            </w:r>
          </w:p>
        </w:tc>
      </w:tr>
      <w:tr w14:paraId="274F9ABB">
        <w:tblPrEx>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3646E9">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五</w:t>
            </w:r>
          </w:p>
        </w:tc>
        <w:tc>
          <w:tcPr>
            <w:tcW w:w="2523" w:type="dxa"/>
            <w:tcBorders>
              <w:top w:val="single" w:color="000000" w:sz="4" w:space="0"/>
              <w:left w:val="single" w:color="000000" w:sz="4" w:space="0"/>
              <w:bottom w:val="single" w:color="000000" w:sz="4" w:space="0"/>
              <w:right w:val="single" w:color="000000" w:sz="4" w:space="0"/>
            </w:tcBorders>
            <w:vAlign w:val="center"/>
          </w:tcPr>
          <w:p w14:paraId="254B2094">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数字孪生水利工程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4E2D8FA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4EBE05D">
            <w:pPr>
              <w:widowControl/>
              <w:spacing w:line="240" w:lineRule="auto"/>
              <w:jc w:val="center"/>
              <w:rPr>
                <w:rFonts w:ascii="宋体" w:hAnsi="宋体" w:cs="宋体"/>
                <w:b/>
                <w:bCs/>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80B3790">
            <w:pPr>
              <w:widowControl/>
              <w:spacing w:line="240" w:lineRule="auto"/>
              <w:jc w:val="center"/>
              <w:rPr>
                <w:rFonts w:ascii="Times New Roman" w:hAnsi="Times New Roman" w:eastAsia="Times New Roman" w:cs="Times New Roman"/>
                <w:kern w:val="0"/>
                <w:sz w:val="20"/>
                <w:szCs w:val="20"/>
              </w:rPr>
            </w:pPr>
          </w:p>
        </w:tc>
        <w:tc>
          <w:tcPr>
            <w:tcW w:w="4951" w:type="dxa"/>
            <w:tcBorders>
              <w:top w:val="single" w:color="000000" w:sz="4" w:space="0"/>
              <w:left w:val="single" w:color="000000" w:sz="4" w:space="0"/>
              <w:bottom w:val="single" w:color="000000" w:sz="4" w:space="0"/>
              <w:right w:val="single" w:color="000000" w:sz="4" w:space="0"/>
            </w:tcBorders>
            <w:vAlign w:val="center"/>
          </w:tcPr>
          <w:p w14:paraId="515F58BE">
            <w:pPr>
              <w:widowControl/>
              <w:spacing w:line="240" w:lineRule="auto"/>
              <w:jc w:val="center"/>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1DC4B29">
            <w:pPr>
              <w:widowControl/>
              <w:spacing w:line="240" w:lineRule="auto"/>
              <w:jc w:val="left"/>
              <w:rPr>
                <w:rFonts w:ascii="Times New Roman" w:hAnsi="Times New Roman" w:eastAsia="Times New Roman" w:cs="Times New Roman"/>
                <w:kern w:val="0"/>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B3C5171">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16418 </w:t>
            </w:r>
          </w:p>
        </w:tc>
        <w:tc>
          <w:tcPr>
            <w:tcW w:w="0" w:type="auto"/>
            <w:tcBorders>
              <w:top w:val="single" w:color="000000" w:sz="4" w:space="0"/>
              <w:left w:val="single" w:color="000000" w:sz="4" w:space="0"/>
              <w:bottom w:val="single" w:color="000000" w:sz="4" w:space="0"/>
              <w:right w:val="single" w:color="000000" w:sz="4" w:space="0"/>
            </w:tcBorders>
            <w:vAlign w:val="center"/>
          </w:tcPr>
          <w:p w14:paraId="240D24F5">
            <w:pPr>
              <w:widowControl/>
              <w:spacing w:line="240" w:lineRule="auto"/>
              <w:jc w:val="center"/>
              <w:rPr>
                <w:rFonts w:ascii="宋体" w:hAnsi="宋体" w:cs="宋体"/>
                <w:b/>
                <w:bCs/>
                <w:color w:val="000000"/>
                <w:kern w:val="0"/>
                <w:sz w:val="22"/>
              </w:rPr>
            </w:pPr>
            <w:r>
              <w:rPr>
                <w:rFonts w:hint="eastAsia" w:ascii="宋体" w:hAnsi="宋体" w:cs="宋体"/>
                <w:b/>
                <w:bCs/>
                <w:color w:val="000000"/>
                <w:kern w:val="0"/>
                <w:sz w:val="22"/>
              </w:rPr>
              <w:t xml:space="preserve">5746 </w:t>
            </w:r>
          </w:p>
        </w:tc>
      </w:tr>
      <w:tr w14:paraId="388BA015">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3EFB59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2523" w:type="dxa"/>
            <w:tcBorders>
              <w:top w:val="single" w:color="000000" w:sz="4" w:space="0"/>
              <w:left w:val="single" w:color="000000" w:sz="4" w:space="0"/>
              <w:bottom w:val="single" w:color="000000" w:sz="4" w:space="0"/>
              <w:right w:val="single" w:color="000000" w:sz="4" w:space="0"/>
            </w:tcBorders>
            <w:vAlign w:val="center"/>
          </w:tcPr>
          <w:p w14:paraId="0E169B3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drawing>
                <wp:anchor distT="0" distB="0" distL="114300" distR="114300" simplePos="0" relativeHeight="251738112" behindDoc="0" locked="0" layoutInCell="1" allowOverlap="1">
                  <wp:simplePos x="0" y="0"/>
                  <wp:positionH relativeFrom="column">
                    <wp:posOffset>438150</wp:posOffset>
                  </wp:positionH>
                  <wp:positionV relativeFrom="paragraph">
                    <wp:posOffset>0</wp:posOffset>
                  </wp:positionV>
                  <wp:extent cx="9525" cy="556895"/>
                  <wp:effectExtent l="0" t="0" r="0" b="0"/>
                  <wp:wrapNone/>
                  <wp:docPr id="666" name="图片 7"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图片 7"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5689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39136" behindDoc="0" locked="0" layoutInCell="1" allowOverlap="1">
                  <wp:simplePos x="0" y="0"/>
                  <wp:positionH relativeFrom="column">
                    <wp:posOffset>438150</wp:posOffset>
                  </wp:positionH>
                  <wp:positionV relativeFrom="paragraph">
                    <wp:posOffset>0</wp:posOffset>
                  </wp:positionV>
                  <wp:extent cx="9525" cy="594995"/>
                  <wp:effectExtent l="0" t="0" r="0" b="0"/>
                  <wp:wrapNone/>
                  <wp:docPr id="756" name="图片 6"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图片 6"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9499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40160" behindDoc="0" locked="0" layoutInCell="1" allowOverlap="1">
                  <wp:simplePos x="0" y="0"/>
                  <wp:positionH relativeFrom="column">
                    <wp:posOffset>438150</wp:posOffset>
                  </wp:positionH>
                  <wp:positionV relativeFrom="paragraph">
                    <wp:posOffset>0</wp:posOffset>
                  </wp:positionV>
                  <wp:extent cx="9525" cy="610235"/>
                  <wp:effectExtent l="0" t="0" r="0" b="0"/>
                  <wp:wrapNone/>
                  <wp:docPr id="538" name="图片 5"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5"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610235"/>
                          </a:xfrm>
                          <a:prstGeom prst="rect">
                            <a:avLst/>
                          </a:prstGeom>
                          <a:noFill/>
                          <a:ln>
                            <a:noFill/>
                          </a:ln>
                        </pic:spPr>
                      </pic:pic>
                    </a:graphicData>
                  </a:graphic>
                </wp:anchor>
              </w:drawing>
            </w:r>
            <w:r>
              <w:rPr>
                <w:rFonts w:hint="eastAsia" w:ascii="宋体" w:hAnsi="宋体" w:cs="宋体"/>
                <w:color w:val="000000"/>
                <w:kern w:val="0"/>
                <w:sz w:val="22"/>
              </w:rPr>
              <w:drawing>
                <wp:anchor distT="0" distB="0" distL="114300" distR="114300" simplePos="0" relativeHeight="251741184" behindDoc="0" locked="0" layoutInCell="1" allowOverlap="1">
                  <wp:simplePos x="0" y="0"/>
                  <wp:positionH relativeFrom="column">
                    <wp:posOffset>438150</wp:posOffset>
                  </wp:positionH>
                  <wp:positionV relativeFrom="paragraph">
                    <wp:posOffset>0</wp:posOffset>
                  </wp:positionV>
                  <wp:extent cx="9525" cy="585470"/>
                  <wp:effectExtent l="0" t="0" r="0" b="0"/>
                  <wp:wrapNone/>
                  <wp:docPr id="787" name="图片 4" descr="r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图片 4" descr="rId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9525" cy="585470"/>
                          </a:xfrm>
                          <a:prstGeom prst="rect">
                            <a:avLst/>
                          </a:prstGeom>
                          <a:noFill/>
                          <a:ln>
                            <a:noFill/>
                          </a:ln>
                        </pic:spPr>
                      </pic:pic>
                    </a:graphicData>
                  </a:graphic>
                </wp:anchor>
              </w:drawing>
            </w:r>
            <w:r>
              <w:rPr>
                <w:rFonts w:hint="eastAsia" w:ascii="宋体" w:hAnsi="宋体" w:cs="宋体"/>
                <w:color w:val="000000"/>
                <w:kern w:val="0"/>
                <w:sz w:val="22"/>
              </w:rPr>
              <w:t>汀江（龙岩段）数字孪生流域建设工程</w:t>
            </w:r>
          </w:p>
        </w:tc>
        <w:tc>
          <w:tcPr>
            <w:tcW w:w="709" w:type="dxa"/>
            <w:tcBorders>
              <w:top w:val="single" w:color="000000" w:sz="4" w:space="0"/>
              <w:left w:val="single" w:color="000000" w:sz="4" w:space="0"/>
              <w:bottom w:val="single" w:color="000000" w:sz="4" w:space="0"/>
              <w:right w:val="single" w:color="000000" w:sz="4" w:space="0"/>
            </w:tcBorders>
            <w:vAlign w:val="center"/>
          </w:tcPr>
          <w:p w14:paraId="144DE873">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1</w:t>
            </w:r>
          </w:p>
        </w:tc>
        <w:tc>
          <w:tcPr>
            <w:tcW w:w="709" w:type="dxa"/>
            <w:tcBorders>
              <w:top w:val="single" w:color="000000" w:sz="4" w:space="0"/>
              <w:left w:val="single" w:color="000000" w:sz="4" w:space="0"/>
              <w:bottom w:val="single" w:color="000000" w:sz="4" w:space="0"/>
              <w:right w:val="single" w:color="000000" w:sz="4" w:space="0"/>
            </w:tcBorders>
            <w:vAlign w:val="center"/>
          </w:tcPr>
          <w:p w14:paraId="0BDB383B">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新建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408E89A">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w:t>
            </w:r>
          </w:p>
        </w:tc>
        <w:tc>
          <w:tcPr>
            <w:tcW w:w="4951" w:type="dxa"/>
            <w:tcBorders>
              <w:top w:val="single" w:color="000000" w:sz="4" w:space="0"/>
              <w:left w:val="single" w:color="000000" w:sz="4" w:space="0"/>
              <w:bottom w:val="single" w:color="000000" w:sz="4" w:space="0"/>
              <w:right w:val="single" w:color="000000" w:sz="4" w:space="0"/>
            </w:tcBorders>
            <w:vAlign w:val="center"/>
          </w:tcPr>
          <w:p w14:paraId="14D04C7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以建设“四预”系统为主，完善数字孪生流域其他业务应用</w:t>
            </w:r>
          </w:p>
        </w:tc>
        <w:tc>
          <w:tcPr>
            <w:tcW w:w="0" w:type="auto"/>
            <w:tcBorders>
              <w:top w:val="single" w:color="000000" w:sz="4" w:space="0"/>
              <w:left w:val="single" w:color="000000" w:sz="4" w:space="0"/>
              <w:bottom w:val="single" w:color="000000" w:sz="4" w:space="0"/>
              <w:right w:val="single" w:color="000000" w:sz="4" w:space="0"/>
            </w:tcBorders>
            <w:vAlign w:val="center"/>
          </w:tcPr>
          <w:p w14:paraId="16132AA9">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可研在编</w:t>
            </w:r>
          </w:p>
        </w:tc>
        <w:tc>
          <w:tcPr>
            <w:tcW w:w="0" w:type="auto"/>
            <w:tcBorders>
              <w:top w:val="single" w:color="000000" w:sz="4" w:space="0"/>
              <w:left w:val="single" w:color="000000" w:sz="4" w:space="0"/>
              <w:bottom w:val="single" w:color="000000" w:sz="4" w:space="0"/>
              <w:right w:val="single" w:color="000000" w:sz="4" w:space="0"/>
            </w:tcBorders>
            <w:vAlign w:val="center"/>
          </w:tcPr>
          <w:p w14:paraId="7858414D">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16418 </w:t>
            </w:r>
          </w:p>
        </w:tc>
        <w:tc>
          <w:tcPr>
            <w:tcW w:w="0" w:type="auto"/>
            <w:tcBorders>
              <w:top w:val="single" w:color="000000" w:sz="4" w:space="0"/>
              <w:left w:val="single" w:color="000000" w:sz="4" w:space="0"/>
              <w:bottom w:val="single" w:color="000000" w:sz="4" w:space="0"/>
              <w:right w:val="single" w:color="000000" w:sz="4" w:space="0"/>
            </w:tcBorders>
            <w:vAlign w:val="center"/>
          </w:tcPr>
          <w:p w14:paraId="6CCE11BE">
            <w:pPr>
              <w:widowControl/>
              <w:spacing w:line="240" w:lineRule="auto"/>
              <w:jc w:val="center"/>
              <w:rPr>
                <w:rFonts w:ascii="宋体" w:hAnsi="宋体" w:cs="宋体"/>
                <w:color w:val="000000"/>
                <w:kern w:val="0"/>
                <w:sz w:val="22"/>
              </w:rPr>
            </w:pPr>
            <w:r>
              <w:rPr>
                <w:rFonts w:hint="eastAsia" w:ascii="宋体" w:hAnsi="宋体" w:cs="宋体"/>
                <w:color w:val="000000"/>
                <w:kern w:val="0"/>
                <w:sz w:val="22"/>
              </w:rPr>
              <w:t xml:space="preserve">5746 </w:t>
            </w:r>
          </w:p>
        </w:tc>
      </w:tr>
    </w:tbl>
    <w:p w14:paraId="6E0A48DE"/>
    <w:p w14:paraId="3490476B"/>
    <w:p w14:paraId="231E4875">
      <w:pPr>
        <w:sectPr>
          <w:pgSz w:w="16838" w:h="11906" w:orient="landscape"/>
          <w:pgMar w:top="1797" w:right="1440" w:bottom="1797" w:left="1440" w:header="851" w:footer="992" w:gutter="0"/>
          <w:cols w:space="425" w:num="1"/>
          <w:docGrid w:type="linesAndChars" w:linePitch="312" w:charSpace="0"/>
        </w:sectPr>
      </w:pPr>
    </w:p>
    <w:p w14:paraId="4B3F6035">
      <w:pPr>
        <w:pStyle w:val="2"/>
      </w:pPr>
      <w:bookmarkStart w:id="76" w:name="_Toc216791728"/>
      <w:r>
        <w:rPr>
          <w:rFonts w:hint="eastAsia"/>
        </w:rPr>
        <w:t>附图</w:t>
      </w:r>
      <w:bookmarkEnd w:id="76"/>
    </w:p>
    <w:p w14:paraId="06D1295B">
      <w:r>
        <w:t>附图</w:t>
      </w:r>
      <w:r>
        <w:rPr>
          <w:rFonts w:hint="eastAsia"/>
        </w:rPr>
        <w:t>1长汀县水系图</w:t>
      </w:r>
    </w:p>
    <w:p w14:paraId="212C407C">
      <w:r>
        <w:rPr>
          <w:rFonts w:hint="eastAsia"/>
        </w:rPr>
        <w:t>附图2长汀县行政区划图</w:t>
      </w:r>
    </w:p>
    <w:p w14:paraId="39B28E49">
      <w:r>
        <w:rPr>
          <w:rFonts w:hint="eastAsia"/>
        </w:rPr>
        <w:t>附图3长汀县地形地貌图</w:t>
      </w:r>
    </w:p>
    <w:p w14:paraId="024F52CA">
      <w:r>
        <w:rPr>
          <w:rFonts w:hint="eastAsia"/>
        </w:rPr>
        <w:t>附图4长汀县</w:t>
      </w:r>
      <w:r>
        <w:t>水安全保障总体</w:t>
      </w:r>
      <w:r>
        <w:rPr>
          <w:rFonts w:hint="eastAsia"/>
        </w:rPr>
        <w:t>布局</w:t>
      </w:r>
      <w:r>
        <w:t>图</w:t>
      </w:r>
    </w:p>
    <w:p w14:paraId="1209486C">
      <w:r>
        <w:rPr>
          <w:rFonts w:hint="eastAsia"/>
        </w:rPr>
        <w:t>附图</w:t>
      </w:r>
      <w:r>
        <w:t>5</w:t>
      </w:r>
      <w:r>
        <w:rPr>
          <w:rFonts w:hint="eastAsia"/>
        </w:rPr>
        <w:t>长汀县防洪减灾安全工程布置图</w:t>
      </w:r>
    </w:p>
    <w:p w14:paraId="092C1461">
      <w:r>
        <w:rPr>
          <w:rFonts w:hint="eastAsia"/>
        </w:rPr>
        <w:t>附图</w:t>
      </w:r>
      <w:r>
        <w:t>6</w:t>
      </w:r>
      <w:r>
        <w:rPr>
          <w:rFonts w:hint="eastAsia"/>
        </w:rPr>
        <w:t>长汀县水资源配置工程布置图</w:t>
      </w:r>
    </w:p>
    <w:p w14:paraId="7B16891A">
      <w:r>
        <w:rPr>
          <w:rFonts w:hint="eastAsia"/>
        </w:rPr>
        <w:t>附图</w:t>
      </w:r>
      <w:r>
        <w:t>7</w:t>
      </w:r>
      <w:r>
        <w:rPr>
          <w:rFonts w:hint="eastAsia"/>
        </w:rPr>
        <w:t>长汀县水生态保护修复工程布置图</w:t>
      </w:r>
    </w:p>
    <w:p w14:paraId="2A96AFAB">
      <w:r>
        <w:rPr>
          <w:rFonts w:hint="eastAsia"/>
        </w:rPr>
        <w:t>附图</w:t>
      </w:r>
      <w:r>
        <w:t xml:space="preserve">8 </w:t>
      </w:r>
      <w:r>
        <w:rPr>
          <w:rFonts w:hint="eastAsia"/>
        </w:rPr>
        <w:t>长汀县</w:t>
      </w:r>
      <w:r>
        <w:t>水土流失治理</w:t>
      </w:r>
      <w:r>
        <w:rPr>
          <w:rFonts w:hint="eastAsia"/>
        </w:rPr>
        <w:t>工程</w:t>
      </w:r>
      <w:r>
        <w:t>布置图</w:t>
      </w:r>
    </w:p>
    <w:p w14:paraId="2C55FA6A">
      <w:r>
        <w:rPr>
          <w:rFonts w:hint="eastAsia"/>
        </w:rPr>
        <w:t>附图</w:t>
      </w:r>
      <w:r>
        <w:t>9</w:t>
      </w:r>
      <w:r>
        <w:rPr>
          <w:rFonts w:hint="eastAsia"/>
        </w:rPr>
        <w:t>长汀县幸福河湖建设项目布置图</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MS Mincho">
    <w:altName w:val="Yu Gothic UI"/>
    <w:panose1 w:val="02020609040205080304"/>
    <w:charset w:val="80"/>
    <w:family w:val="modern"/>
    <w:pitch w:val="default"/>
    <w:sig w:usb0="00000000" w:usb1="00000000" w:usb2="00000012" w:usb3="00000000" w:csb0="0002009F" w:csb1="00000000"/>
  </w:font>
  <w:font w:name="ＭＳ 明朝">
    <w:altName w:val="ksdb"/>
    <w:panose1 w:val="00000000000000000000"/>
    <w:charset w:val="00"/>
    <w:family w:val="auto"/>
    <w:pitch w:val="default"/>
    <w:sig w:usb0="00000000" w:usb1="00000000" w:usb2="00000000" w:usb3="00000000" w:csb0="00000000"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9C0E7">
    <w:pPr>
      <w:tabs>
        <w:tab w:val="center" w:pos="4153"/>
        <w:tab w:val="right" w:pos="8306"/>
      </w:tabs>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82908">
    <w:pPr>
      <w:tabs>
        <w:tab w:val="center" w:pos="4153"/>
        <w:tab w:val="right" w:pos="8306"/>
      </w:tabs>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E46E3">
    <w:pPr>
      <w:tabs>
        <w:tab w:val="center" w:pos="4153"/>
        <w:tab w:val="right" w:pos="8306"/>
      </w:tabs>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1347A">
    <w:pPr>
      <w:spacing w:line="14" w:lineRule="auto"/>
      <w:rPr>
        <w:sz w:val="20"/>
        <w:szCs w:val="20"/>
      </w:rPr>
    </w:pPr>
    <w:r>
      <mc:AlternateContent>
        <mc:Choice Requires="wps">
          <w:drawing>
            <wp:anchor distT="0" distB="0" distL="114300" distR="114300" simplePos="0" relativeHeight="251659264" behindDoc="1" locked="0" layoutInCell="1" allowOverlap="1">
              <wp:simplePos x="0" y="0"/>
              <wp:positionH relativeFrom="page">
                <wp:posOffset>1631950</wp:posOffset>
              </wp:positionH>
              <wp:positionV relativeFrom="page">
                <wp:posOffset>8911590</wp:posOffset>
              </wp:positionV>
              <wp:extent cx="4298315" cy="659765"/>
              <wp:effectExtent l="3175" t="0" r="3810" b="1270"/>
              <wp:wrapNone/>
              <wp:docPr id="696913412" name="Text Box 2"/>
              <wp:cNvGraphicFramePr/>
              <a:graphic xmlns:a="http://schemas.openxmlformats.org/drawingml/2006/main">
                <a:graphicData uri="http://schemas.microsoft.com/office/word/2010/wordprocessingShape">
                  <wps:wsp>
                    <wps:cNvSpPr txBox="1">
                      <a:spLocks noChangeArrowheads="1"/>
                    </wps:cNvSpPr>
                    <wps:spPr bwMode="auto">
                      <a:xfrm>
                        <a:off x="0" y="0"/>
                        <a:ext cx="4298315" cy="659765"/>
                      </a:xfrm>
                      <a:prstGeom prst="rect">
                        <a:avLst/>
                      </a:prstGeom>
                      <a:noFill/>
                      <a:ln>
                        <a:noFill/>
                      </a:ln>
                    </wps:spPr>
                    <wps:txbx>
                      <w:txbxContent>
                        <w:p w14:paraId="50A716C4">
                          <w:pPr>
                            <w:spacing w:before="133"/>
                            <w:ind w:right="60"/>
                            <w:jc w:val="center"/>
                            <w:rPr>
                              <w:rFonts w:ascii="华文新魏" w:hAnsi="华文新魏" w:eastAsia="华文新魏" w:cs="华文新魏"/>
                              <w:sz w:val="36"/>
                              <w:szCs w:val="36"/>
                            </w:rPr>
                          </w:pP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128.5pt;margin-top:701.7pt;height:51.95pt;width:338.45pt;mso-position-horizontal-relative:page;mso-position-vertical-relative:page;z-index:-251657216;mso-width-relative:page;mso-height-relative:page;" filled="f" stroked="f" coordsize="21600,21600" o:gfxdata="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o4GWs2wAAAA0BAAAPAAAAAAAAAAEAIAAAACIA&#10;AABkcnMvZG93bnJldi54bWxQSwECFAAUAAAACACHTuJAES2NBwYCAAAMBAAADgAAAAAAAAABACAA&#10;AAAqAQAAZHJzL2Uyb0RvYy54bWxQSwUGAAAAAAYABgBZAQAAogUAAAAA&#10;">
              <v:fill on="f" focussize="0,0"/>
              <v:stroke on="f"/>
              <v:imagedata o:title=""/>
              <o:lock v:ext="edit" aspectratio="f"/>
              <v:textbox inset="0mm,0mm,0mm,0mm">
                <w:txbxContent>
                  <w:p w14:paraId="50A716C4">
                    <w:pPr>
                      <w:spacing w:before="133"/>
                      <w:ind w:right="60"/>
                      <w:jc w:val="center"/>
                      <w:rPr>
                        <w:rFonts w:ascii="华文新魏" w:hAnsi="华文新魏" w:eastAsia="华文新魏" w:cs="华文新魏"/>
                        <w:sz w:val="36"/>
                        <w:szCs w:val="36"/>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3FAD">
    <w:pPr>
      <w:pStyle w:val="2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7524145"/>
      <w:docPartObj>
        <w:docPartGallery w:val="AutoText"/>
      </w:docPartObj>
    </w:sdtPr>
    <w:sdtContent>
      <w:p w14:paraId="4F49C8D2">
        <w:pPr>
          <w:pStyle w:val="20"/>
          <w:jc w:val="center"/>
        </w:pPr>
        <w:r>
          <w:fldChar w:fldCharType="begin"/>
        </w:r>
        <w:r>
          <w:instrText xml:space="preserve">PAGE   \* MERGEFORMAT</w:instrText>
        </w:r>
        <w:r>
          <w:fldChar w:fldCharType="separate"/>
        </w:r>
        <w:r>
          <w:rPr>
            <w:lang w:val="zh-CN"/>
          </w:rPr>
          <w:t>35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E9FE0">
    <w:pPr>
      <w:pStyle w:val="21"/>
      <w:ind w:firstLine="360"/>
      <w:rPr>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2BBF6">
    <w:pPr>
      <w:ind w:left="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47DE">
    <w:pPr>
      <w:pStyle w:val="21"/>
      <w:rPr>
        <w:sz w:val="21"/>
        <w:szCs w:val="21"/>
      </w:rPr>
    </w:pPr>
    <w:r>
      <w:rPr>
        <w:rFonts w:hint="eastAsia"/>
        <w:sz w:val="21"/>
        <w:szCs w:val="21"/>
      </w:rPr>
      <w:t>南安市九十九溪黄龙支流柳城中心小学（新建）段河道改线治理工程                        5 工程布置及建筑物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E17149"/>
    <w:multiLevelType w:val="multilevel"/>
    <w:tmpl w:val="5CE17149"/>
    <w:lvl w:ilvl="0" w:tentative="0">
      <w:start w:val="1"/>
      <w:numFmt w:val="decimal"/>
      <w:pStyle w:val="2"/>
      <w:lvlText w:val="%1"/>
      <w:lvlJc w:val="center"/>
      <w:pPr>
        <w:ind w:left="0" w:firstLine="0"/>
      </w:pPr>
      <w:rPr>
        <w:rFonts w:hint="eastAsia"/>
      </w:rPr>
    </w:lvl>
    <w:lvl w:ilvl="1" w:tentative="0">
      <w:start w:val="1"/>
      <w:numFmt w:val="decimal"/>
      <w:pStyle w:val="3"/>
      <w:lvlText w:val="%1.%2"/>
      <w:lvlJc w:val="left"/>
      <w:pPr>
        <w:ind w:left="0" w:firstLine="0"/>
      </w:pPr>
      <w:rPr>
        <w:rFonts w:hint="eastAsia"/>
      </w:rPr>
    </w:lvl>
    <w:lvl w:ilvl="2" w:tentative="0">
      <w:start w:val="1"/>
      <w:numFmt w:val="decimal"/>
      <w:pStyle w:val="4"/>
      <w:lvlText w:val="%1.%2.%3"/>
      <w:lvlJc w:val="left"/>
      <w:pPr>
        <w:ind w:left="0" w:firstLine="0"/>
      </w:pPr>
      <w:rPr>
        <w:rFonts w:hint="eastAsia"/>
      </w:rPr>
    </w:lvl>
    <w:lvl w:ilvl="3" w:tentative="0">
      <w:start w:val="1"/>
      <w:numFmt w:val="decimal"/>
      <w:pStyle w:val="5"/>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6F6B3458"/>
    <w:multiLevelType w:val="multilevel"/>
    <w:tmpl w:val="6F6B3458"/>
    <w:lvl w:ilvl="0" w:tentative="0">
      <w:start w:val="1"/>
      <w:numFmt w:val="decimal"/>
      <w:lvlText w:val="%1."/>
      <w:lvlJc w:val="left"/>
      <w:pPr>
        <w:ind w:left="463" w:hanging="360"/>
      </w:pPr>
      <w:rPr>
        <w:rFonts w:hint="default" w:ascii="Times New Roman" w:hAnsi="Times New Roman" w:eastAsia="Times New Roman" w:cs="Times New Roman"/>
      </w:rPr>
    </w:lvl>
    <w:lvl w:ilvl="1" w:tentative="0">
      <w:start w:val="1"/>
      <w:numFmt w:val="lowerLetter"/>
      <w:lvlText w:val="%2)"/>
      <w:lvlJc w:val="left"/>
      <w:pPr>
        <w:ind w:left="943" w:hanging="420"/>
      </w:pPr>
    </w:lvl>
    <w:lvl w:ilvl="2" w:tentative="0">
      <w:start w:val="1"/>
      <w:numFmt w:val="lowerRoman"/>
      <w:lvlText w:val="%3."/>
      <w:lvlJc w:val="right"/>
      <w:pPr>
        <w:ind w:left="1363" w:hanging="420"/>
      </w:pPr>
    </w:lvl>
    <w:lvl w:ilvl="3" w:tentative="0">
      <w:start w:val="1"/>
      <w:numFmt w:val="decimal"/>
      <w:lvlText w:val="%4."/>
      <w:lvlJc w:val="left"/>
      <w:pPr>
        <w:ind w:left="1783" w:hanging="420"/>
      </w:pPr>
    </w:lvl>
    <w:lvl w:ilvl="4" w:tentative="0">
      <w:start w:val="1"/>
      <w:numFmt w:val="lowerLetter"/>
      <w:lvlText w:val="%5)"/>
      <w:lvlJc w:val="left"/>
      <w:pPr>
        <w:ind w:left="2203" w:hanging="420"/>
      </w:pPr>
    </w:lvl>
    <w:lvl w:ilvl="5" w:tentative="0">
      <w:start w:val="1"/>
      <w:numFmt w:val="lowerRoman"/>
      <w:lvlText w:val="%6."/>
      <w:lvlJc w:val="right"/>
      <w:pPr>
        <w:ind w:left="2623" w:hanging="420"/>
      </w:pPr>
    </w:lvl>
    <w:lvl w:ilvl="6" w:tentative="0">
      <w:start w:val="1"/>
      <w:numFmt w:val="decimal"/>
      <w:lvlText w:val="%7."/>
      <w:lvlJc w:val="left"/>
      <w:pPr>
        <w:ind w:left="3043" w:hanging="420"/>
      </w:pPr>
    </w:lvl>
    <w:lvl w:ilvl="7" w:tentative="0">
      <w:start w:val="1"/>
      <w:numFmt w:val="lowerLetter"/>
      <w:lvlText w:val="%8)"/>
      <w:lvlJc w:val="left"/>
      <w:pPr>
        <w:ind w:left="3463" w:hanging="420"/>
      </w:pPr>
    </w:lvl>
    <w:lvl w:ilvl="8" w:tentative="0">
      <w:start w:val="1"/>
      <w:numFmt w:val="lowerRoman"/>
      <w:lvlText w:val="%9."/>
      <w:lvlJc w:val="right"/>
      <w:pPr>
        <w:ind w:left="3883" w:hanging="4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83"/>
    <w:rsid w:val="00001A9A"/>
    <w:rsid w:val="000020AB"/>
    <w:rsid w:val="00002927"/>
    <w:rsid w:val="00002AF8"/>
    <w:rsid w:val="000031A1"/>
    <w:rsid w:val="00010651"/>
    <w:rsid w:val="00014320"/>
    <w:rsid w:val="0002032F"/>
    <w:rsid w:val="00022A1E"/>
    <w:rsid w:val="00022AEC"/>
    <w:rsid w:val="00024C31"/>
    <w:rsid w:val="000256B6"/>
    <w:rsid w:val="00025ED5"/>
    <w:rsid w:val="000307C5"/>
    <w:rsid w:val="00030BB4"/>
    <w:rsid w:val="000363A7"/>
    <w:rsid w:val="0004106D"/>
    <w:rsid w:val="000445C3"/>
    <w:rsid w:val="000625DB"/>
    <w:rsid w:val="000636DB"/>
    <w:rsid w:val="00065AA1"/>
    <w:rsid w:val="0006681D"/>
    <w:rsid w:val="00066AC1"/>
    <w:rsid w:val="00066DCD"/>
    <w:rsid w:val="00066F9B"/>
    <w:rsid w:val="000713E8"/>
    <w:rsid w:val="00084215"/>
    <w:rsid w:val="0008462B"/>
    <w:rsid w:val="000900E0"/>
    <w:rsid w:val="00094BAC"/>
    <w:rsid w:val="00095630"/>
    <w:rsid w:val="00095995"/>
    <w:rsid w:val="00095E84"/>
    <w:rsid w:val="000A29BB"/>
    <w:rsid w:val="000A66A7"/>
    <w:rsid w:val="000B1BE2"/>
    <w:rsid w:val="000B2577"/>
    <w:rsid w:val="000B2FFC"/>
    <w:rsid w:val="000B5107"/>
    <w:rsid w:val="000B6968"/>
    <w:rsid w:val="000C23E7"/>
    <w:rsid w:val="000C5555"/>
    <w:rsid w:val="000D189B"/>
    <w:rsid w:val="000D6B9E"/>
    <w:rsid w:val="000E3945"/>
    <w:rsid w:val="000E5D04"/>
    <w:rsid w:val="000E7E86"/>
    <w:rsid w:val="000F053A"/>
    <w:rsid w:val="000F1342"/>
    <w:rsid w:val="000F1C17"/>
    <w:rsid w:val="000F25F6"/>
    <w:rsid w:val="000F486F"/>
    <w:rsid w:val="000F573A"/>
    <w:rsid w:val="000F7DC5"/>
    <w:rsid w:val="00105926"/>
    <w:rsid w:val="00110F9C"/>
    <w:rsid w:val="00111492"/>
    <w:rsid w:val="0011491E"/>
    <w:rsid w:val="00114A5C"/>
    <w:rsid w:val="00115AB0"/>
    <w:rsid w:val="001165D2"/>
    <w:rsid w:val="00116ABE"/>
    <w:rsid w:val="00120372"/>
    <w:rsid w:val="00123B99"/>
    <w:rsid w:val="0012410B"/>
    <w:rsid w:val="00125191"/>
    <w:rsid w:val="00126440"/>
    <w:rsid w:val="00130980"/>
    <w:rsid w:val="00131C68"/>
    <w:rsid w:val="0013234F"/>
    <w:rsid w:val="00136135"/>
    <w:rsid w:val="00136B81"/>
    <w:rsid w:val="0014175E"/>
    <w:rsid w:val="00144FA8"/>
    <w:rsid w:val="00162699"/>
    <w:rsid w:val="00164BA7"/>
    <w:rsid w:val="00166350"/>
    <w:rsid w:val="00172751"/>
    <w:rsid w:val="0017431B"/>
    <w:rsid w:val="0017530E"/>
    <w:rsid w:val="00177020"/>
    <w:rsid w:val="00177CC7"/>
    <w:rsid w:val="00180403"/>
    <w:rsid w:val="00181A79"/>
    <w:rsid w:val="0018388B"/>
    <w:rsid w:val="00184B3A"/>
    <w:rsid w:val="001907C0"/>
    <w:rsid w:val="001937DB"/>
    <w:rsid w:val="00194B09"/>
    <w:rsid w:val="00196EEB"/>
    <w:rsid w:val="001A2183"/>
    <w:rsid w:val="001A28E0"/>
    <w:rsid w:val="001A3C19"/>
    <w:rsid w:val="001A3F5F"/>
    <w:rsid w:val="001A5381"/>
    <w:rsid w:val="001A70B3"/>
    <w:rsid w:val="001A7C39"/>
    <w:rsid w:val="001B2063"/>
    <w:rsid w:val="001B2738"/>
    <w:rsid w:val="001B42AA"/>
    <w:rsid w:val="001B6431"/>
    <w:rsid w:val="001B6E7C"/>
    <w:rsid w:val="001C2333"/>
    <w:rsid w:val="001C3464"/>
    <w:rsid w:val="001C63A1"/>
    <w:rsid w:val="001C676B"/>
    <w:rsid w:val="001C685B"/>
    <w:rsid w:val="001D0115"/>
    <w:rsid w:val="001D6405"/>
    <w:rsid w:val="001E0DAC"/>
    <w:rsid w:val="001E26D2"/>
    <w:rsid w:val="001E3FC0"/>
    <w:rsid w:val="001E5356"/>
    <w:rsid w:val="001F2C93"/>
    <w:rsid w:val="001F3745"/>
    <w:rsid w:val="001F61A6"/>
    <w:rsid w:val="001F6A49"/>
    <w:rsid w:val="00200BD4"/>
    <w:rsid w:val="0020113F"/>
    <w:rsid w:val="00202706"/>
    <w:rsid w:val="00202903"/>
    <w:rsid w:val="00205D64"/>
    <w:rsid w:val="0021187F"/>
    <w:rsid w:val="002179A4"/>
    <w:rsid w:val="00217C7D"/>
    <w:rsid w:val="00224097"/>
    <w:rsid w:val="002268EE"/>
    <w:rsid w:val="002276BC"/>
    <w:rsid w:val="00234035"/>
    <w:rsid w:val="002354CF"/>
    <w:rsid w:val="00236243"/>
    <w:rsid w:val="00240357"/>
    <w:rsid w:val="00244639"/>
    <w:rsid w:val="002459F3"/>
    <w:rsid w:val="00245B05"/>
    <w:rsid w:val="00246CD9"/>
    <w:rsid w:val="00247A7B"/>
    <w:rsid w:val="00265E65"/>
    <w:rsid w:val="00272198"/>
    <w:rsid w:val="002730BD"/>
    <w:rsid w:val="002732ED"/>
    <w:rsid w:val="00276ECA"/>
    <w:rsid w:val="00281A99"/>
    <w:rsid w:val="00282DB4"/>
    <w:rsid w:val="00284201"/>
    <w:rsid w:val="002900A4"/>
    <w:rsid w:val="00290589"/>
    <w:rsid w:val="002A1AE1"/>
    <w:rsid w:val="002A38FA"/>
    <w:rsid w:val="002A3A70"/>
    <w:rsid w:val="002B0407"/>
    <w:rsid w:val="002B44B3"/>
    <w:rsid w:val="002B4DB6"/>
    <w:rsid w:val="002B68D6"/>
    <w:rsid w:val="002B6966"/>
    <w:rsid w:val="002C5E4F"/>
    <w:rsid w:val="002C697B"/>
    <w:rsid w:val="002C6B43"/>
    <w:rsid w:val="002C6FB7"/>
    <w:rsid w:val="002C7FDB"/>
    <w:rsid w:val="002D3C0B"/>
    <w:rsid w:val="002D3FB0"/>
    <w:rsid w:val="002E1461"/>
    <w:rsid w:val="002E2A8E"/>
    <w:rsid w:val="002F41C5"/>
    <w:rsid w:val="00310795"/>
    <w:rsid w:val="00313E93"/>
    <w:rsid w:val="00314FCD"/>
    <w:rsid w:val="00317BDE"/>
    <w:rsid w:val="003220D7"/>
    <w:rsid w:val="00322440"/>
    <w:rsid w:val="00323532"/>
    <w:rsid w:val="00323909"/>
    <w:rsid w:val="003240D3"/>
    <w:rsid w:val="00324D6D"/>
    <w:rsid w:val="00325A23"/>
    <w:rsid w:val="00331649"/>
    <w:rsid w:val="00333F3C"/>
    <w:rsid w:val="003420F2"/>
    <w:rsid w:val="00342A62"/>
    <w:rsid w:val="00342B95"/>
    <w:rsid w:val="00347585"/>
    <w:rsid w:val="003545F4"/>
    <w:rsid w:val="0036179E"/>
    <w:rsid w:val="00361CDF"/>
    <w:rsid w:val="003646BD"/>
    <w:rsid w:val="00372722"/>
    <w:rsid w:val="0037297F"/>
    <w:rsid w:val="00374DCA"/>
    <w:rsid w:val="003809FC"/>
    <w:rsid w:val="00381E02"/>
    <w:rsid w:val="00382097"/>
    <w:rsid w:val="00383B3E"/>
    <w:rsid w:val="00386A33"/>
    <w:rsid w:val="0039341D"/>
    <w:rsid w:val="003954A0"/>
    <w:rsid w:val="00396E0D"/>
    <w:rsid w:val="00396FE6"/>
    <w:rsid w:val="003A07CD"/>
    <w:rsid w:val="003A1005"/>
    <w:rsid w:val="003A12AD"/>
    <w:rsid w:val="003A339D"/>
    <w:rsid w:val="003A3F11"/>
    <w:rsid w:val="003A7ABA"/>
    <w:rsid w:val="003B17CD"/>
    <w:rsid w:val="003B62A6"/>
    <w:rsid w:val="003B685B"/>
    <w:rsid w:val="003B6B05"/>
    <w:rsid w:val="003C2711"/>
    <w:rsid w:val="003C4986"/>
    <w:rsid w:val="003C75D2"/>
    <w:rsid w:val="003D32B3"/>
    <w:rsid w:val="003D63AC"/>
    <w:rsid w:val="003D6BA9"/>
    <w:rsid w:val="003E16E6"/>
    <w:rsid w:val="003E69EC"/>
    <w:rsid w:val="003F0721"/>
    <w:rsid w:val="003F0921"/>
    <w:rsid w:val="003F1D0A"/>
    <w:rsid w:val="003F6F35"/>
    <w:rsid w:val="004013F6"/>
    <w:rsid w:val="00406449"/>
    <w:rsid w:val="00407DEF"/>
    <w:rsid w:val="004141F7"/>
    <w:rsid w:val="00417E7E"/>
    <w:rsid w:val="00417E7F"/>
    <w:rsid w:val="00426F70"/>
    <w:rsid w:val="004274AF"/>
    <w:rsid w:val="00431159"/>
    <w:rsid w:val="00434838"/>
    <w:rsid w:val="00440218"/>
    <w:rsid w:val="004404C3"/>
    <w:rsid w:val="00440D8A"/>
    <w:rsid w:val="00444F3F"/>
    <w:rsid w:val="0045061F"/>
    <w:rsid w:val="00454974"/>
    <w:rsid w:val="004602AD"/>
    <w:rsid w:val="004619B9"/>
    <w:rsid w:val="004707D3"/>
    <w:rsid w:val="0047492D"/>
    <w:rsid w:val="004832B6"/>
    <w:rsid w:val="00484B83"/>
    <w:rsid w:val="0048666E"/>
    <w:rsid w:val="00497EA9"/>
    <w:rsid w:val="004A11D1"/>
    <w:rsid w:val="004A1F08"/>
    <w:rsid w:val="004A3A1E"/>
    <w:rsid w:val="004A7460"/>
    <w:rsid w:val="004B0D03"/>
    <w:rsid w:val="004B103F"/>
    <w:rsid w:val="004B32AF"/>
    <w:rsid w:val="004B51A5"/>
    <w:rsid w:val="004B5683"/>
    <w:rsid w:val="004B656E"/>
    <w:rsid w:val="004D0771"/>
    <w:rsid w:val="004D4388"/>
    <w:rsid w:val="004D4DC5"/>
    <w:rsid w:val="004D5A2C"/>
    <w:rsid w:val="004D6E99"/>
    <w:rsid w:val="004D7EAB"/>
    <w:rsid w:val="004E3E31"/>
    <w:rsid w:val="004F1510"/>
    <w:rsid w:val="004F35C6"/>
    <w:rsid w:val="004F4B2C"/>
    <w:rsid w:val="004F7118"/>
    <w:rsid w:val="004F7EBA"/>
    <w:rsid w:val="00500DF2"/>
    <w:rsid w:val="00506063"/>
    <w:rsid w:val="00512E99"/>
    <w:rsid w:val="00513AD4"/>
    <w:rsid w:val="00514E33"/>
    <w:rsid w:val="005216A2"/>
    <w:rsid w:val="005239BE"/>
    <w:rsid w:val="005240D5"/>
    <w:rsid w:val="00526DAB"/>
    <w:rsid w:val="00530E83"/>
    <w:rsid w:val="00531DBC"/>
    <w:rsid w:val="005329C6"/>
    <w:rsid w:val="00533631"/>
    <w:rsid w:val="0053502A"/>
    <w:rsid w:val="005366FC"/>
    <w:rsid w:val="00536A0B"/>
    <w:rsid w:val="00540E0B"/>
    <w:rsid w:val="00542EE4"/>
    <w:rsid w:val="0054568B"/>
    <w:rsid w:val="00546D92"/>
    <w:rsid w:val="00550F26"/>
    <w:rsid w:val="00555D97"/>
    <w:rsid w:val="00555DD5"/>
    <w:rsid w:val="005568DB"/>
    <w:rsid w:val="0055720D"/>
    <w:rsid w:val="00560770"/>
    <w:rsid w:val="0056401C"/>
    <w:rsid w:val="005674B1"/>
    <w:rsid w:val="00567E89"/>
    <w:rsid w:val="00577FA4"/>
    <w:rsid w:val="005808C1"/>
    <w:rsid w:val="00580AB5"/>
    <w:rsid w:val="00583106"/>
    <w:rsid w:val="0058454A"/>
    <w:rsid w:val="00584CA7"/>
    <w:rsid w:val="00585AE0"/>
    <w:rsid w:val="00591344"/>
    <w:rsid w:val="00595B3B"/>
    <w:rsid w:val="005970A4"/>
    <w:rsid w:val="005A36BB"/>
    <w:rsid w:val="005A4F51"/>
    <w:rsid w:val="005A773A"/>
    <w:rsid w:val="005A7F93"/>
    <w:rsid w:val="005B13AD"/>
    <w:rsid w:val="005B3629"/>
    <w:rsid w:val="005B3E30"/>
    <w:rsid w:val="005C5956"/>
    <w:rsid w:val="005D231A"/>
    <w:rsid w:val="005D7022"/>
    <w:rsid w:val="005E3CF0"/>
    <w:rsid w:val="005E4E08"/>
    <w:rsid w:val="005E6D2D"/>
    <w:rsid w:val="005F33FD"/>
    <w:rsid w:val="005F3823"/>
    <w:rsid w:val="005F6C37"/>
    <w:rsid w:val="005F6FF2"/>
    <w:rsid w:val="005F73EB"/>
    <w:rsid w:val="005F7472"/>
    <w:rsid w:val="0060149B"/>
    <w:rsid w:val="00603C10"/>
    <w:rsid w:val="00605AFE"/>
    <w:rsid w:val="00606217"/>
    <w:rsid w:val="006072FD"/>
    <w:rsid w:val="00611FC6"/>
    <w:rsid w:val="00617FA2"/>
    <w:rsid w:val="006253B5"/>
    <w:rsid w:val="00625AC6"/>
    <w:rsid w:val="0062672F"/>
    <w:rsid w:val="00632279"/>
    <w:rsid w:val="00636395"/>
    <w:rsid w:val="00640509"/>
    <w:rsid w:val="006405D8"/>
    <w:rsid w:val="00641255"/>
    <w:rsid w:val="00641CDD"/>
    <w:rsid w:val="006422C3"/>
    <w:rsid w:val="00643675"/>
    <w:rsid w:val="00643CA9"/>
    <w:rsid w:val="006449C9"/>
    <w:rsid w:val="00646FC6"/>
    <w:rsid w:val="00651859"/>
    <w:rsid w:val="00652AB8"/>
    <w:rsid w:val="00654EBF"/>
    <w:rsid w:val="00656535"/>
    <w:rsid w:val="00660C94"/>
    <w:rsid w:val="00660CD1"/>
    <w:rsid w:val="006614FC"/>
    <w:rsid w:val="00661B0C"/>
    <w:rsid w:val="006700EE"/>
    <w:rsid w:val="00672F94"/>
    <w:rsid w:val="0067314D"/>
    <w:rsid w:val="00680C9E"/>
    <w:rsid w:val="006820AA"/>
    <w:rsid w:val="0068286C"/>
    <w:rsid w:val="00686A18"/>
    <w:rsid w:val="0069085E"/>
    <w:rsid w:val="006909C1"/>
    <w:rsid w:val="006914FA"/>
    <w:rsid w:val="00692BE9"/>
    <w:rsid w:val="00694205"/>
    <w:rsid w:val="00694F7F"/>
    <w:rsid w:val="006A1BD0"/>
    <w:rsid w:val="006A32BF"/>
    <w:rsid w:val="006A50B5"/>
    <w:rsid w:val="006B11F5"/>
    <w:rsid w:val="006B19B4"/>
    <w:rsid w:val="006C04D4"/>
    <w:rsid w:val="006C0C42"/>
    <w:rsid w:val="006C1D5C"/>
    <w:rsid w:val="006C4B66"/>
    <w:rsid w:val="006D108F"/>
    <w:rsid w:val="006D1E5E"/>
    <w:rsid w:val="006D5093"/>
    <w:rsid w:val="006D54AF"/>
    <w:rsid w:val="006D7C9E"/>
    <w:rsid w:val="006E1423"/>
    <w:rsid w:val="006E2272"/>
    <w:rsid w:val="006E5BDE"/>
    <w:rsid w:val="006E6617"/>
    <w:rsid w:val="006F3495"/>
    <w:rsid w:val="006F4CE3"/>
    <w:rsid w:val="006F503B"/>
    <w:rsid w:val="006F633E"/>
    <w:rsid w:val="00701203"/>
    <w:rsid w:val="00706068"/>
    <w:rsid w:val="007070D7"/>
    <w:rsid w:val="00711A19"/>
    <w:rsid w:val="00714EE1"/>
    <w:rsid w:val="007150BC"/>
    <w:rsid w:val="007206F6"/>
    <w:rsid w:val="00720D3E"/>
    <w:rsid w:val="007327F1"/>
    <w:rsid w:val="00733111"/>
    <w:rsid w:val="0073331A"/>
    <w:rsid w:val="007340DD"/>
    <w:rsid w:val="0073697B"/>
    <w:rsid w:val="00737B0F"/>
    <w:rsid w:val="007408F9"/>
    <w:rsid w:val="00741630"/>
    <w:rsid w:val="00741A33"/>
    <w:rsid w:val="00741E8E"/>
    <w:rsid w:val="0074243E"/>
    <w:rsid w:val="00743BDE"/>
    <w:rsid w:val="007458B3"/>
    <w:rsid w:val="0074758C"/>
    <w:rsid w:val="00747CF6"/>
    <w:rsid w:val="00752327"/>
    <w:rsid w:val="00753656"/>
    <w:rsid w:val="00754453"/>
    <w:rsid w:val="00754933"/>
    <w:rsid w:val="00755932"/>
    <w:rsid w:val="0075668B"/>
    <w:rsid w:val="00763A52"/>
    <w:rsid w:val="00764691"/>
    <w:rsid w:val="00765036"/>
    <w:rsid w:val="0077065F"/>
    <w:rsid w:val="00771346"/>
    <w:rsid w:val="00774F5F"/>
    <w:rsid w:val="0078051C"/>
    <w:rsid w:val="00780B30"/>
    <w:rsid w:val="007820E3"/>
    <w:rsid w:val="007834F9"/>
    <w:rsid w:val="00784E0C"/>
    <w:rsid w:val="00784E61"/>
    <w:rsid w:val="007856CC"/>
    <w:rsid w:val="00785732"/>
    <w:rsid w:val="00792259"/>
    <w:rsid w:val="007928C0"/>
    <w:rsid w:val="0079332E"/>
    <w:rsid w:val="00793891"/>
    <w:rsid w:val="007947ED"/>
    <w:rsid w:val="00794CBA"/>
    <w:rsid w:val="00795D17"/>
    <w:rsid w:val="007A00EE"/>
    <w:rsid w:val="007A0E81"/>
    <w:rsid w:val="007A4647"/>
    <w:rsid w:val="007A674C"/>
    <w:rsid w:val="007B1A4E"/>
    <w:rsid w:val="007B6F4B"/>
    <w:rsid w:val="007B772C"/>
    <w:rsid w:val="007C3310"/>
    <w:rsid w:val="007C49D7"/>
    <w:rsid w:val="007C4D58"/>
    <w:rsid w:val="007C528F"/>
    <w:rsid w:val="007D224C"/>
    <w:rsid w:val="007D61B9"/>
    <w:rsid w:val="007D69EE"/>
    <w:rsid w:val="007E0A7A"/>
    <w:rsid w:val="007E33D8"/>
    <w:rsid w:val="007F450A"/>
    <w:rsid w:val="007F5130"/>
    <w:rsid w:val="007F5E12"/>
    <w:rsid w:val="007F6943"/>
    <w:rsid w:val="007F7398"/>
    <w:rsid w:val="008024D8"/>
    <w:rsid w:val="008028A1"/>
    <w:rsid w:val="00804C1A"/>
    <w:rsid w:val="00810CBA"/>
    <w:rsid w:val="00811883"/>
    <w:rsid w:val="00815243"/>
    <w:rsid w:val="00817507"/>
    <w:rsid w:val="00820AB6"/>
    <w:rsid w:val="00821629"/>
    <w:rsid w:val="00821DFB"/>
    <w:rsid w:val="00822BCF"/>
    <w:rsid w:val="0082322B"/>
    <w:rsid w:val="0082483C"/>
    <w:rsid w:val="008303D1"/>
    <w:rsid w:val="00832BD1"/>
    <w:rsid w:val="0083303C"/>
    <w:rsid w:val="00833D64"/>
    <w:rsid w:val="00834802"/>
    <w:rsid w:val="008355BD"/>
    <w:rsid w:val="0083757C"/>
    <w:rsid w:val="0084092A"/>
    <w:rsid w:val="00842EC1"/>
    <w:rsid w:val="00842F1F"/>
    <w:rsid w:val="00845F7D"/>
    <w:rsid w:val="00846C92"/>
    <w:rsid w:val="00847E7F"/>
    <w:rsid w:val="00851CC1"/>
    <w:rsid w:val="0085316C"/>
    <w:rsid w:val="008544B1"/>
    <w:rsid w:val="00855936"/>
    <w:rsid w:val="0085684F"/>
    <w:rsid w:val="00861452"/>
    <w:rsid w:val="008617A6"/>
    <w:rsid w:val="008634EB"/>
    <w:rsid w:val="008652C3"/>
    <w:rsid w:val="00866174"/>
    <w:rsid w:val="0087275A"/>
    <w:rsid w:val="008728B4"/>
    <w:rsid w:val="00872C60"/>
    <w:rsid w:val="00873FAD"/>
    <w:rsid w:val="0087614F"/>
    <w:rsid w:val="00884465"/>
    <w:rsid w:val="00885B2E"/>
    <w:rsid w:val="00886885"/>
    <w:rsid w:val="00886B3F"/>
    <w:rsid w:val="00887EB8"/>
    <w:rsid w:val="008907B2"/>
    <w:rsid w:val="008A007F"/>
    <w:rsid w:val="008A2679"/>
    <w:rsid w:val="008A2C98"/>
    <w:rsid w:val="008B1D7F"/>
    <w:rsid w:val="008B43E9"/>
    <w:rsid w:val="008B4FF0"/>
    <w:rsid w:val="008C0FEE"/>
    <w:rsid w:val="008C1B09"/>
    <w:rsid w:val="008C39FD"/>
    <w:rsid w:val="008C581B"/>
    <w:rsid w:val="008C7FCA"/>
    <w:rsid w:val="008D132A"/>
    <w:rsid w:val="008D1AEF"/>
    <w:rsid w:val="008D47F2"/>
    <w:rsid w:val="008D4979"/>
    <w:rsid w:val="008D51A6"/>
    <w:rsid w:val="008D53C7"/>
    <w:rsid w:val="008E3789"/>
    <w:rsid w:val="008E4655"/>
    <w:rsid w:val="008E53BB"/>
    <w:rsid w:val="008E6EDE"/>
    <w:rsid w:val="008F418E"/>
    <w:rsid w:val="008F593A"/>
    <w:rsid w:val="00900E0E"/>
    <w:rsid w:val="00901A80"/>
    <w:rsid w:val="00907646"/>
    <w:rsid w:val="00915D78"/>
    <w:rsid w:val="009233D9"/>
    <w:rsid w:val="00924CAB"/>
    <w:rsid w:val="00925C9A"/>
    <w:rsid w:val="00927445"/>
    <w:rsid w:val="00932DE2"/>
    <w:rsid w:val="00932FCF"/>
    <w:rsid w:val="00935296"/>
    <w:rsid w:val="009365F7"/>
    <w:rsid w:val="009420D8"/>
    <w:rsid w:val="009424C5"/>
    <w:rsid w:val="00943484"/>
    <w:rsid w:val="009519F4"/>
    <w:rsid w:val="00952155"/>
    <w:rsid w:val="00953CFD"/>
    <w:rsid w:val="009568F9"/>
    <w:rsid w:val="0096548A"/>
    <w:rsid w:val="0096564C"/>
    <w:rsid w:val="00966208"/>
    <w:rsid w:val="0096620E"/>
    <w:rsid w:val="00966E32"/>
    <w:rsid w:val="00970767"/>
    <w:rsid w:val="00973A06"/>
    <w:rsid w:val="00975D01"/>
    <w:rsid w:val="00980500"/>
    <w:rsid w:val="00983BBC"/>
    <w:rsid w:val="009A3E04"/>
    <w:rsid w:val="009A5538"/>
    <w:rsid w:val="009A6B86"/>
    <w:rsid w:val="009B0A22"/>
    <w:rsid w:val="009B1FC7"/>
    <w:rsid w:val="009B22C0"/>
    <w:rsid w:val="009B2327"/>
    <w:rsid w:val="009B4420"/>
    <w:rsid w:val="009B614E"/>
    <w:rsid w:val="009B6C3B"/>
    <w:rsid w:val="009C1358"/>
    <w:rsid w:val="009C1CF9"/>
    <w:rsid w:val="009C2F23"/>
    <w:rsid w:val="009C37ED"/>
    <w:rsid w:val="009C4C8B"/>
    <w:rsid w:val="009C5551"/>
    <w:rsid w:val="009C5CDF"/>
    <w:rsid w:val="009D016F"/>
    <w:rsid w:val="009D0826"/>
    <w:rsid w:val="009D3662"/>
    <w:rsid w:val="009D63DB"/>
    <w:rsid w:val="009E032A"/>
    <w:rsid w:val="009E24DD"/>
    <w:rsid w:val="009E27F4"/>
    <w:rsid w:val="009F27D5"/>
    <w:rsid w:val="009F5746"/>
    <w:rsid w:val="009F6526"/>
    <w:rsid w:val="00A007BC"/>
    <w:rsid w:val="00A14BBC"/>
    <w:rsid w:val="00A20FEE"/>
    <w:rsid w:val="00A210B8"/>
    <w:rsid w:val="00A2540E"/>
    <w:rsid w:val="00A25638"/>
    <w:rsid w:val="00A26CE0"/>
    <w:rsid w:val="00A304CD"/>
    <w:rsid w:val="00A31547"/>
    <w:rsid w:val="00A35FA8"/>
    <w:rsid w:val="00A4144B"/>
    <w:rsid w:val="00A47078"/>
    <w:rsid w:val="00A47B8D"/>
    <w:rsid w:val="00A47CF6"/>
    <w:rsid w:val="00A50980"/>
    <w:rsid w:val="00A52A89"/>
    <w:rsid w:val="00A53A31"/>
    <w:rsid w:val="00A53E48"/>
    <w:rsid w:val="00A60EC9"/>
    <w:rsid w:val="00A67192"/>
    <w:rsid w:val="00A7269E"/>
    <w:rsid w:val="00A73544"/>
    <w:rsid w:val="00A85933"/>
    <w:rsid w:val="00A85B7F"/>
    <w:rsid w:val="00AA0DC9"/>
    <w:rsid w:val="00AA4CA3"/>
    <w:rsid w:val="00AB10CA"/>
    <w:rsid w:val="00AB2B4D"/>
    <w:rsid w:val="00AB2F2E"/>
    <w:rsid w:val="00AB4E70"/>
    <w:rsid w:val="00AB6B98"/>
    <w:rsid w:val="00AB7E8E"/>
    <w:rsid w:val="00AC0DFE"/>
    <w:rsid w:val="00AC2568"/>
    <w:rsid w:val="00AC2721"/>
    <w:rsid w:val="00AC3169"/>
    <w:rsid w:val="00AC47A3"/>
    <w:rsid w:val="00AC54FE"/>
    <w:rsid w:val="00AD097F"/>
    <w:rsid w:val="00AD0C58"/>
    <w:rsid w:val="00AD3303"/>
    <w:rsid w:val="00AD4432"/>
    <w:rsid w:val="00AE21C6"/>
    <w:rsid w:val="00AE5172"/>
    <w:rsid w:val="00AE71EE"/>
    <w:rsid w:val="00AF4BA3"/>
    <w:rsid w:val="00AF5CB2"/>
    <w:rsid w:val="00B012D4"/>
    <w:rsid w:val="00B014ED"/>
    <w:rsid w:val="00B0201C"/>
    <w:rsid w:val="00B06537"/>
    <w:rsid w:val="00B065C6"/>
    <w:rsid w:val="00B11A89"/>
    <w:rsid w:val="00B14682"/>
    <w:rsid w:val="00B21F76"/>
    <w:rsid w:val="00B2525C"/>
    <w:rsid w:val="00B266BE"/>
    <w:rsid w:val="00B3228C"/>
    <w:rsid w:val="00B34A68"/>
    <w:rsid w:val="00B4000C"/>
    <w:rsid w:val="00B412EA"/>
    <w:rsid w:val="00B424DD"/>
    <w:rsid w:val="00B43134"/>
    <w:rsid w:val="00B45123"/>
    <w:rsid w:val="00B46A6D"/>
    <w:rsid w:val="00B51EC1"/>
    <w:rsid w:val="00B53788"/>
    <w:rsid w:val="00B60A26"/>
    <w:rsid w:val="00B60E7A"/>
    <w:rsid w:val="00B61158"/>
    <w:rsid w:val="00B61325"/>
    <w:rsid w:val="00B61836"/>
    <w:rsid w:val="00B63E5F"/>
    <w:rsid w:val="00B66954"/>
    <w:rsid w:val="00B67D1D"/>
    <w:rsid w:val="00B707F3"/>
    <w:rsid w:val="00B70862"/>
    <w:rsid w:val="00B752DC"/>
    <w:rsid w:val="00B84DCB"/>
    <w:rsid w:val="00B97361"/>
    <w:rsid w:val="00BA0EE8"/>
    <w:rsid w:val="00BA1FB6"/>
    <w:rsid w:val="00BA3439"/>
    <w:rsid w:val="00BA71E7"/>
    <w:rsid w:val="00BA7AE5"/>
    <w:rsid w:val="00BB0AE1"/>
    <w:rsid w:val="00BB1B65"/>
    <w:rsid w:val="00BB27D2"/>
    <w:rsid w:val="00BB343A"/>
    <w:rsid w:val="00BB386D"/>
    <w:rsid w:val="00BB5997"/>
    <w:rsid w:val="00BB66FF"/>
    <w:rsid w:val="00BC07EE"/>
    <w:rsid w:val="00BC09AC"/>
    <w:rsid w:val="00BC0CD5"/>
    <w:rsid w:val="00BC211F"/>
    <w:rsid w:val="00BC5402"/>
    <w:rsid w:val="00BD033B"/>
    <w:rsid w:val="00BD495D"/>
    <w:rsid w:val="00BD6AD4"/>
    <w:rsid w:val="00BE065F"/>
    <w:rsid w:val="00BE3859"/>
    <w:rsid w:val="00BE4504"/>
    <w:rsid w:val="00BE644E"/>
    <w:rsid w:val="00BF0A20"/>
    <w:rsid w:val="00BF0A55"/>
    <w:rsid w:val="00BF1059"/>
    <w:rsid w:val="00BF1D6C"/>
    <w:rsid w:val="00BF3AB8"/>
    <w:rsid w:val="00BF7084"/>
    <w:rsid w:val="00C06001"/>
    <w:rsid w:val="00C0749D"/>
    <w:rsid w:val="00C07932"/>
    <w:rsid w:val="00C10E9A"/>
    <w:rsid w:val="00C13776"/>
    <w:rsid w:val="00C16D88"/>
    <w:rsid w:val="00C23C96"/>
    <w:rsid w:val="00C27441"/>
    <w:rsid w:val="00C30499"/>
    <w:rsid w:val="00C3340E"/>
    <w:rsid w:val="00C33A7D"/>
    <w:rsid w:val="00C34F40"/>
    <w:rsid w:val="00C36350"/>
    <w:rsid w:val="00C3688F"/>
    <w:rsid w:val="00C373E3"/>
    <w:rsid w:val="00C37536"/>
    <w:rsid w:val="00C375A7"/>
    <w:rsid w:val="00C40802"/>
    <w:rsid w:val="00C45471"/>
    <w:rsid w:val="00C45903"/>
    <w:rsid w:val="00C45DCD"/>
    <w:rsid w:val="00C5066D"/>
    <w:rsid w:val="00C51C57"/>
    <w:rsid w:val="00C579D7"/>
    <w:rsid w:val="00C635CA"/>
    <w:rsid w:val="00C7143F"/>
    <w:rsid w:val="00C72504"/>
    <w:rsid w:val="00C72580"/>
    <w:rsid w:val="00C74D9E"/>
    <w:rsid w:val="00C84473"/>
    <w:rsid w:val="00C84D7C"/>
    <w:rsid w:val="00C84DF1"/>
    <w:rsid w:val="00C860BA"/>
    <w:rsid w:val="00C86989"/>
    <w:rsid w:val="00C95F4D"/>
    <w:rsid w:val="00C960CF"/>
    <w:rsid w:val="00C9612E"/>
    <w:rsid w:val="00C96234"/>
    <w:rsid w:val="00C966B7"/>
    <w:rsid w:val="00C96B40"/>
    <w:rsid w:val="00C97718"/>
    <w:rsid w:val="00CA15DD"/>
    <w:rsid w:val="00CA4275"/>
    <w:rsid w:val="00CA53CE"/>
    <w:rsid w:val="00CA57E2"/>
    <w:rsid w:val="00CB2413"/>
    <w:rsid w:val="00CB3C69"/>
    <w:rsid w:val="00CB3FF5"/>
    <w:rsid w:val="00CB53EB"/>
    <w:rsid w:val="00CB67CD"/>
    <w:rsid w:val="00CC3493"/>
    <w:rsid w:val="00CC5032"/>
    <w:rsid w:val="00CD108D"/>
    <w:rsid w:val="00CD5603"/>
    <w:rsid w:val="00CD6CFF"/>
    <w:rsid w:val="00CD7C6E"/>
    <w:rsid w:val="00CE0F6B"/>
    <w:rsid w:val="00CE1FDC"/>
    <w:rsid w:val="00CE682E"/>
    <w:rsid w:val="00CF0A70"/>
    <w:rsid w:val="00CF1AB5"/>
    <w:rsid w:val="00CF1B23"/>
    <w:rsid w:val="00CF2435"/>
    <w:rsid w:val="00CF2FB1"/>
    <w:rsid w:val="00CF460C"/>
    <w:rsid w:val="00D0508A"/>
    <w:rsid w:val="00D11959"/>
    <w:rsid w:val="00D12918"/>
    <w:rsid w:val="00D143E2"/>
    <w:rsid w:val="00D17CB0"/>
    <w:rsid w:val="00D22512"/>
    <w:rsid w:val="00D267A4"/>
    <w:rsid w:val="00D326DB"/>
    <w:rsid w:val="00D33FAA"/>
    <w:rsid w:val="00D401C9"/>
    <w:rsid w:val="00D41A4F"/>
    <w:rsid w:val="00D420CD"/>
    <w:rsid w:val="00D44748"/>
    <w:rsid w:val="00D46C08"/>
    <w:rsid w:val="00D50F22"/>
    <w:rsid w:val="00D52147"/>
    <w:rsid w:val="00D57982"/>
    <w:rsid w:val="00D6012E"/>
    <w:rsid w:val="00D64C92"/>
    <w:rsid w:val="00D65CBB"/>
    <w:rsid w:val="00D67CC1"/>
    <w:rsid w:val="00D70E8A"/>
    <w:rsid w:val="00D71FCA"/>
    <w:rsid w:val="00D72A36"/>
    <w:rsid w:val="00D74DFA"/>
    <w:rsid w:val="00D74E4D"/>
    <w:rsid w:val="00D81FDA"/>
    <w:rsid w:val="00D8200C"/>
    <w:rsid w:val="00D83264"/>
    <w:rsid w:val="00D834D2"/>
    <w:rsid w:val="00D84BD2"/>
    <w:rsid w:val="00D8501E"/>
    <w:rsid w:val="00D87959"/>
    <w:rsid w:val="00D93BEF"/>
    <w:rsid w:val="00D94ECA"/>
    <w:rsid w:val="00DA155F"/>
    <w:rsid w:val="00DA37D4"/>
    <w:rsid w:val="00DA4AA2"/>
    <w:rsid w:val="00DA6D27"/>
    <w:rsid w:val="00DB2FD6"/>
    <w:rsid w:val="00DB4F0F"/>
    <w:rsid w:val="00DB5A0B"/>
    <w:rsid w:val="00DC421C"/>
    <w:rsid w:val="00DC7BF1"/>
    <w:rsid w:val="00DD0552"/>
    <w:rsid w:val="00DD08FC"/>
    <w:rsid w:val="00DD0C15"/>
    <w:rsid w:val="00DD2D92"/>
    <w:rsid w:val="00DD7316"/>
    <w:rsid w:val="00DE1F90"/>
    <w:rsid w:val="00DE332D"/>
    <w:rsid w:val="00DF288D"/>
    <w:rsid w:val="00DF3B9E"/>
    <w:rsid w:val="00E0082C"/>
    <w:rsid w:val="00E010F1"/>
    <w:rsid w:val="00E02629"/>
    <w:rsid w:val="00E0296E"/>
    <w:rsid w:val="00E029F4"/>
    <w:rsid w:val="00E0497B"/>
    <w:rsid w:val="00E10862"/>
    <w:rsid w:val="00E14440"/>
    <w:rsid w:val="00E16726"/>
    <w:rsid w:val="00E221C8"/>
    <w:rsid w:val="00E23903"/>
    <w:rsid w:val="00E26328"/>
    <w:rsid w:val="00E26B74"/>
    <w:rsid w:val="00E27925"/>
    <w:rsid w:val="00E3001C"/>
    <w:rsid w:val="00E45D1A"/>
    <w:rsid w:val="00E46B8F"/>
    <w:rsid w:val="00E47032"/>
    <w:rsid w:val="00E47244"/>
    <w:rsid w:val="00E50327"/>
    <w:rsid w:val="00E5064E"/>
    <w:rsid w:val="00E519A1"/>
    <w:rsid w:val="00E5228C"/>
    <w:rsid w:val="00E52775"/>
    <w:rsid w:val="00E53321"/>
    <w:rsid w:val="00E53A58"/>
    <w:rsid w:val="00E6065D"/>
    <w:rsid w:val="00E67C78"/>
    <w:rsid w:val="00E719CD"/>
    <w:rsid w:val="00E71DE4"/>
    <w:rsid w:val="00E7265D"/>
    <w:rsid w:val="00E7406C"/>
    <w:rsid w:val="00E740C1"/>
    <w:rsid w:val="00E76FAB"/>
    <w:rsid w:val="00E800B7"/>
    <w:rsid w:val="00E83E4F"/>
    <w:rsid w:val="00E84473"/>
    <w:rsid w:val="00E86CB1"/>
    <w:rsid w:val="00E90421"/>
    <w:rsid w:val="00E91FE2"/>
    <w:rsid w:val="00E9365A"/>
    <w:rsid w:val="00E97B54"/>
    <w:rsid w:val="00EA0E29"/>
    <w:rsid w:val="00EA1877"/>
    <w:rsid w:val="00EA5180"/>
    <w:rsid w:val="00EA63F7"/>
    <w:rsid w:val="00EB567D"/>
    <w:rsid w:val="00EC3C41"/>
    <w:rsid w:val="00EC4CD7"/>
    <w:rsid w:val="00EC575D"/>
    <w:rsid w:val="00EC6833"/>
    <w:rsid w:val="00EC6D5B"/>
    <w:rsid w:val="00EC7A97"/>
    <w:rsid w:val="00EC7B63"/>
    <w:rsid w:val="00ED2208"/>
    <w:rsid w:val="00ED3149"/>
    <w:rsid w:val="00ED37E1"/>
    <w:rsid w:val="00ED3909"/>
    <w:rsid w:val="00EE5953"/>
    <w:rsid w:val="00EE7745"/>
    <w:rsid w:val="00EF38AF"/>
    <w:rsid w:val="00EF4276"/>
    <w:rsid w:val="00EF4FF0"/>
    <w:rsid w:val="00EF51EA"/>
    <w:rsid w:val="00EF56B5"/>
    <w:rsid w:val="00EF696D"/>
    <w:rsid w:val="00F01D3F"/>
    <w:rsid w:val="00F05E2D"/>
    <w:rsid w:val="00F06665"/>
    <w:rsid w:val="00F07663"/>
    <w:rsid w:val="00F150D5"/>
    <w:rsid w:val="00F15EB8"/>
    <w:rsid w:val="00F16C8E"/>
    <w:rsid w:val="00F20363"/>
    <w:rsid w:val="00F22297"/>
    <w:rsid w:val="00F2591E"/>
    <w:rsid w:val="00F26EB2"/>
    <w:rsid w:val="00F31B6B"/>
    <w:rsid w:val="00F34407"/>
    <w:rsid w:val="00F35FB3"/>
    <w:rsid w:val="00F407D5"/>
    <w:rsid w:val="00F432CF"/>
    <w:rsid w:val="00F43E17"/>
    <w:rsid w:val="00F467E7"/>
    <w:rsid w:val="00F51DF3"/>
    <w:rsid w:val="00F53FC3"/>
    <w:rsid w:val="00F55631"/>
    <w:rsid w:val="00F560EB"/>
    <w:rsid w:val="00F627E4"/>
    <w:rsid w:val="00F640D7"/>
    <w:rsid w:val="00F70FCE"/>
    <w:rsid w:val="00F71224"/>
    <w:rsid w:val="00F71627"/>
    <w:rsid w:val="00F73A53"/>
    <w:rsid w:val="00F73BF3"/>
    <w:rsid w:val="00F80FD3"/>
    <w:rsid w:val="00F834AB"/>
    <w:rsid w:val="00F853BB"/>
    <w:rsid w:val="00F9482C"/>
    <w:rsid w:val="00F95203"/>
    <w:rsid w:val="00FA2993"/>
    <w:rsid w:val="00FA2B76"/>
    <w:rsid w:val="00FA384F"/>
    <w:rsid w:val="00FA4392"/>
    <w:rsid w:val="00FA444B"/>
    <w:rsid w:val="00FB3F63"/>
    <w:rsid w:val="00FC06C5"/>
    <w:rsid w:val="00FC512C"/>
    <w:rsid w:val="00FC5E49"/>
    <w:rsid w:val="00FC759C"/>
    <w:rsid w:val="00FD1D74"/>
    <w:rsid w:val="00FD2863"/>
    <w:rsid w:val="00FD4C3C"/>
    <w:rsid w:val="00FD5BAF"/>
    <w:rsid w:val="00FD6D10"/>
    <w:rsid w:val="00FE1C71"/>
    <w:rsid w:val="00FE2D01"/>
    <w:rsid w:val="00FE7BD0"/>
    <w:rsid w:val="1D0414DE"/>
    <w:rsid w:val="1F250E98"/>
    <w:rsid w:val="371678AF"/>
    <w:rsid w:val="43B63D9C"/>
    <w:rsid w:val="5A690B58"/>
    <w:rsid w:val="5D156F6C"/>
    <w:rsid w:val="65DA5A38"/>
    <w:rsid w:val="66F61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宋体" w:asciiTheme="minorHAnsi" w:hAnsiTheme="minorHAnsi" w:cstheme="minorBidi"/>
      <w:kern w:val="2"/>
      <w:sz w:val="28"/>
      <w:szCs w:val="22"/>
      <w:lang w:val="en-US" w:eastAsia="zh-CN" w:bidi="ar-SA"/>
    </w:rPr>
  </w:style>
  <w:style w:type="paragraph" w:styleId="2">
    <w:name w:val="heading 1"/>
    <w:basedOn w:val="1"/>
    <w:next w:val="1"/>
    <w:link w:val="35"/>
    <w:qFormat/>
    <w:uiPriority w:val="9"/>
    <w:pPr>
      <w:keepNext/>
      <w:keepLines/>
      <w:numPr>
        <w:ilvl w:val="0"/>
        <w:numId w:val="1"/>
      </w:numPr>
      <w:spacing w:before="200" w:after="40"/>
      <w:outlineLvl w:val="0"/>
    </w:pPr>
    <w:rPr>
      <w:rFonts w:asciiTheme="majorHAnsi" w:hAnsiTheme="majorHAnsi" w:cstheme="majorBidi"/>
      <w:color w:val="E97132" w:themeColor="accent2"/>
      <w:sz w:val="36"/>
      <w:szCs w:val="48"/>
      <w14:textFill>
        <w14:solidFill>
          <w14:schemeClr w14:val="accent2"/>
        </w14:solidFill>
      </w14:textFill>
    </w:rPr>
  </w:style>
  <w:style w:type="paragraph" w:styleId="3">
    <w:name w:val="heading 2"/>
    <w:basedOn w:val="1"/>
    <w:next w:val="1"/>
    <w:link w:val="36"/>
    <w:unhideWhenUsed/>
    <w:qFormat/>
    <w:uiPriority w:val="9"/>
    <w:pPr>
      <w:keepNext/>
      <w:keepLines/>
      <w:numPr>
        <w:ilvl w:val="1"/>
        <w:numId w:val="1"/>
      </w:numPr>
      <w:spacing w:before="40" w:after="40"/>
      <w:outlineLvl w:val="1"/>
    </w:pPr>
    <w:rPr>
      <w:rFonts w:asciiTheme="majorHAnsi" w:hAnsiTheme="majorHAnsi" w:cstheme="majorBidi"/>
      <w:b/>
      <w:color w:val="196B24" w:themeColor="accent3"/>
      <w:sz w:val="32"/>
      <w:szCs w:val="40"/>
      <w14:textFill>
        <w14:solidFill>
          <w14:schemeClr w14:val="accent3"/>
        </w14:solidFill>
      </w14:textFill>
    </w:rPr>
  </w:style>
  <w:style w:type="paragraph" w:styleId="4">
    <w:name w:val="heading 3"/>
    <w:basedOn w:val="1"/>
    <w:next w:val="1"/>
    <w:link w:val="37"/>
    <w:unhideWhenUsed/>
    <w:qFormat/>
    <w:uiPriority w:val="9"/>
    <w:pPr>
      <w:keepNext/>
      <w:keepLines/>
      <w:numPr>
        <w:ilvl w:val="2"/>
        <w:numId w:val="1"/>
      </w:numPr>
      <w:spacing w:before="40" w:after="40"/>
      <w:outlineLvl w:val="2"/>
    </w:pPr>
    <w:rPr>
      <w:rFonts w:asciiTheme="majorHAnsi" w:hAnsiTheme="majorHAnsi" w:cstheme="majorBidi"/>
      <w:b/>
      <w:color w:val="0F9ED5" w:themeColor="accent4"/>
      <w:sz w:val="30"/>
      <w:szCs w:val="32"/>
      <w14:textFill>
        <w14:solidFill>
          <w14:schemeClr w14:val="accent4"/>
        </w14:solidFill>
      </w14:textFill>
    </w:rPr>
  </w:style>
  <w:style w:type="paragraph" w:styleId="5">
    <w:name w:val="heading 4"/>
    <w:basedOn w:val="1"/>
    <w:next w:val="1"/>
    <w:link w:val="38"/>
    <w:unhideWhenUsed/>
    <w:qFormat/>
    <w:uiPriority w:val="9"/>
    <w:pPr>
      <w:keepNext/>
      <w:keepLines/>
      <w:numPr>
        <w:ilvl w:val="3"/>
        <w:numId w:val="1"/>
      </w:numPr>
      <w:spacing w:before="80" w:after="40"/>
      <w:outlineLvl w:val="3"/>
    </w:pPr>
    <w:rPr>
      <w:rFonts w:cstheme="majorBidi"/>
      <w:color w:val="104862" w:themeColor="accent1" w:themeShade="BF"/>
      <w:szCs w:val="28"/>
    </w:rPr>
  </w:style>
  <w:style w:type="paragraph" w:styleId="6">
    <w:name w:val="heading 5"/>
    <w:basedOn w:val="1"/>
    <w:next w:val="1"/>
    <w:link w:val="3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4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1">
    <w:name w:val="Default Paragraph Font"/>
    <w:semiHidden/>
    <w:unhideWhenUsed/>
    <w:uiPriority w:val="1"/>
  </w:style>
  <w:style w:type="table" w:default="1" w:styleId="30">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unhideWhenUsed/>
    <w:uiPriority w:val="39"/>
    <w:pPr>
      <w:spacing w:after="160" w:line="278" w:lineRule="auto"/>
      <w:ind w:left="2520" w:leftChars="1200"/>
      <w:jc w:val="left"/>
    </w:pPr>
    <w:rPr>
      <w:rFonts w:eastAsiaTheme="minorEastAsia"/>
      <w:sz w:val="22"/>
      <w:szCs w:val="24"/>
      <w14:ligatures w14:val="standardContextual"/>
    </w:rPr>
  </w:style>
  <w:style w:type="paragraph" w:styleId="12">
    <w:name w:val="Note Heading"/>
    <w:basedOn w:val="1"/>
    <w:next w:val="1"/>
    <w:link w:val="66"/>
    <w:unhideWhenUsed/>
    <w:qFormat/>
    <w:uiPriority w:val="99"/>
    <w:pPr>
      <w:adjustRightInd w:val="0"/>
      <w:snapToGrid w:val="0"/>
      <w:spacing w:line="480" w:lineRule="exact"/>
      <w:ind w:firstLine="200" w:firstLineChars="200"/>
      <w:jc w:val="center"/>
    </w:pPr>
    <w:rPr>
      <w:rFonts w:ascii="Times New Roman" w:hAnsi="Times New Roman" w:cs="Times New Roman"/>
      <w:sz w:val="24"/>
      <w:szCs w:val="24"/>
    </w:rPr>
  </w:style>
  <w:style w:type="paragraph" w:styleId="13">
    <w:name w:val="annotation text"/>
    <w:basedOn w:val="1"/>
    <w:link w:val="44"/>
    <w:semiHidden/>
    <w:unhideWhenUsed/>
    <w:uiPriority w:val="99"/>
    <w:pPr>
      <w:jc w:val="left"/>
    </w:pPr>
  </w:style>
  <w:style w:type="paragraph" w:styleId="14">
    <w:name w:val="Body Text"/>
    <w:basedOn w:val="1"/>
    <w:link w:val="64"/>
    <w:qFormat/>
    <w:uiPriority w:val="1"/>
    <w:pPr>
      <w:spacing w:before="86" w:line="240" w:lineRule="auto"/>
      <w:ind w:left="120"/>
      <w:jc w:val="left"/>
    </w:pPr>
    <w:rPr>
      <w:rFonts w:ascii="宋体" w:hAnsi="宋体"/>
      <w:i/>
      <w:kern w:val="0"/>
      <w:szCs w:val="28"/>
      <w:lang w:eastAsia="en-US"/>
    </w:rPr>
  </w:style>
  <w:style w:type="paragraph" w:styleId="15">
    <w:name w:val="toc 5"/>
    <w:basedOn w:val="1"/>
    <w:next w:val="1"/>
    <w:autoRedefine/>
    <w:unhideWhenUsed/>
    <w:uiPriority w:val="39"/>
    <w:pPr>
      <w:spacing w:after="160" w:line="278" w:lineRule="auto"/>
      <w:ind w:left="1680" w:leftChars="800"/>
      <w:jc w:val="left"/>
    </w:pPr>
    <w:rPr>
      <w:rFonts w:eastAsiaTheme="minorEastAsia"/>
      <w:sz w:val="22"/>
      <w:szCs w:val="24"/>
      <w14:ligatures w14:val="standardContextual"/>
    </w:rPr>
  </w:style>
  <w:style w:type="paragraph" w:styleId="16">
    <w:name w:val="toc 3"/>
    <w:basedOn w:val="1"/>
    <w:next w:val="1"/>
    <w:autoRedefine/>
    <w:unhideWhenUsed/>
    <w:uiPriority w:val="39"/>
    <w:pPr>
      <w:ind w:left="840" w:leftChars="400"/>
    </w:pPr>
  </w:style>
  <w:style w:type="paragraph" w:styleId="17">
    <w:name w:val="toc 8"/>
    <w:basedOn w:val="1"/>
    <w:next w:val="1"/>
    <w:autoRedefine/>
    <w:unhideWhenUsed/>
    <w:uiPriority w:val="39"/>
    <w:pPr>
      <w:spacing w:after="160" w:line="278" w:lineRule="auto"/>
      <w:ind w:left="2940" w:leftChars="1400"/>
      <w:jc w:val="left"/>
    </w:pPr>
    <w:rPr>
      <w:rFonts w:eastAsiaTheme="minorEastAsia"/>
      <w:sz w:val="22"/>
      <w:szCs w:val="24"/>
      <w14:ligatures w14:val="standardContextual"/>
    </w:rPr>
  </w:style>
  <w:style w:type="paragraph" w:styleId="18">
    <w:name w:val="Date"/>
    <w:basedOn w:val="1"/>
    <w:next w:val="1"/>
    <w:link w:val="71"/>
    <w:semiHidden/>
    <w:unhideWhenUsed/>
    <w:uiPriority w:val="99"/>
    <w:pPr>
      <w:ind w:left="100" w:leftChars="2500"/>
    </w:pPr>
  </w:style>
  <w:style w:type="paragraph" w:styleId="19">
    <w:name w:val="Balloon Text"/>
    <w:basedOn w:val="1"/>
    <w:link w:val="45"/>
    <w:semiHidden/>
    <w:unhideWhenUsed/>
    <w:uiPriority w:val="99"/>
    <w:pPr>
      <w:spacing w:line="240" w:lineRule="auto"/>
    </w:pPr>
    <w:rPr>
      <w:sz w:val="18"/>
      <w:szCs w:val="18"/>
    </w:rPr>
  </w:style>
  <w:style w:type="paragraph" w:styleId="20">
    <w:name w:val="footer"/>
    <w:basedOn w:val="1"/>
    <w:link w:val="46"/>
    <w:unhideWhenUsed/>
    <w:uiPriority w:val="99"/>
    <w:pPr>
      <w:tabs>
        <w:tab w:val="center" w:pos="4153"/>
        <w:tab w:val="right" w:pos="8306"/>
      </w:tabs>
      <w:snapToGrid w:val="0"/>
      <w:spacing w:line="240" w:lineRule="auto"/>
      <w:jc w:val="left"/>
    </w:pPr>
    <w:rPr>
      <w:sz w:val="18"/>
      <w:szCs w:val="18"/>
    </w:rPr>
  </w:style>
  <w:style w:type="paragraph" w:styleId="21">
    <w:name w:val="header"/>
    <w:basedOn w:val="1"/>
    <w:link w:val="47"/>
    <w:unhideWhenUsed/>
    <w:qFormat/>
    <w:uiPriority w:val="99"/>
    <w:pPr>
      <w:tabs>
        <w:tab w:val="center" w:pos="4153"/>
        <w:tab w:val="right" w:pos="8306"/>
      </w:tabs>
      <w:snapToGrid w:val="0"/>
      <w:spacing w:line="240" w:lineRule="auto"/>
      <w:jc w:val="center"/>
    </w:pPr>
    <w:rPr>
      <w:sz w:val="18"/>
      <w:szCs w:val="18"/>
    </w:rPr>
  </w:style>
  <w:style w:type="paragraph" w:styleId="22">
    <w:name w:val="toc 1"/>
    <w:basedOn w:val="1"/>
    <w:next w:val="1"/>
    <w:autoRedefine/>
    <w:unhideWhenUsed/>
    <w:uiPriority w:val="39"/>
    <w:rPr>
      <w:b/>
      <w:sz w:val="32"/>
    </w:rPr>
  </w:style>
  <w:style w:type="paragraph" w:styleId="23">
    <w:name w:val="toc 4"/>
    <w:basedOn w:val="1"/>
    <w:next w:val="1"/>
    <w:autoRedefine/>
    <w:unhideWhenUsed/>
    <w:uiPriority w:val="39"/>
    <w:pPr>
      <w:spacing w:after="160" w:line="278" w:lineRule="auto"/>
      <w:ind w:left="1260" w:leftChars="600"/>
      <w:jc w:val="left"/>
    </w:pPr>
    <w:rPr>
      <w:rFonts w:eastAsiaTheme="minorEastAsia"/>
      <w:sz w:val="22"/>
      <w:szCs w:val="24"/>
      <w14:ligatures w14:val="standardContextual"/>
    </w:rPr>
  </w:style>
  <w:style w:type="paragraph" w:styleId="24">
    <w:name w:val="Subtitle"/>
    <w:basedOn w:val="1"/>
    <w:next w:val="1"/>
    <w:link w:val="48"/>
    <w:qFormat/>
    <w:uiPriority w:val="11"/>
    <w:pPr>
      <w:spacing w:after="160"/>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25">
    <w:name w:val="toc 6"/>
    <w:basedOn w:val="1"/>
    <w:next w:val="1"/>
    <w:autoRedefine/>
    <w:unhideWhenUsed/>
    <w:uiPriority w:val="39"/>
    <w:pPr>
      <w:spacing w:after="160" w:line="278" w:lineRule="auto"/>
      <w:ind w:left="2100" w:leftChars="1000"/>
      <w:jc w:val="left"/>
    </w:pPr>
    <w:rPr>
      <w:rFonts w:eastAsiaTheme="minorEastAsia"/>
      <w:sz w:val="22"/>
      <w:szCs w:val="24"/>
      <w14:ligatures w14:val="standardContextual"/>
    </w:rPr>
  </w:style>
  <w:style w:type="paragraph" w:styleId="26">
    <w:name w:val="toc 2"/>
    <w:basedOn w:val="1"/>
    <w:next w:val="1"/>
    <w:autoRedefine/>
    <w:unhideWhenUsed/>
    <w:uiPriority w:val="39"/>
    <w:pPr>
      <w:ind w:left="200" w:leftChars="200"/>
    </w:pPr>
    <w:rPr>
      <w:sz w:val="30"/>
    </w:rPr>
  </w:style>
  <w:style w:type="paragraph" w:styleId="27">
    <w:name w:val="toc 9"/>
    <w:basedOn w:val="1"/>
    <w:next w:val="1"/>
    <w:autoRedefine/>
    <w:unhideWhenUsed/>
    <w:uiPriority w:val="39"/>
    <w:pPr>
      <w:spacing w:after="160" w:line="278" w:lineRule="auto"/>
      <w:ind w:left="3360" w:leftChars="1600"/>
      <w:jc w:val="left"/>
    </w:pPr>
    <w:rPr>
      <w:rFonts w:eastAsiaTheme="minorEastAsia"/>
      <w:sz w:val="22"/>
      <w:szCs w:val="24"/>
      <w14:ligatures w14:val="standardContextual"/>
    </w:rPr>
  </w:style>
  <w:style w:type="paragraph" w:styleId="28">
    <w:name w:val="Title"/>
    <w:basedOn w:val="1"/>
    <w:next w:val="1"/>
    <w:link w:val="4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9">
    <w:name w:val="annotation subject"/>
    <w:basedOn w:val="13"/>
    <w:next w:val="13"/>
    <w:link w:val="50"/>
    <w:semiHidden/>
    <w:unhideWhenUsed/>
    <w:uiPriority w:val="99"/>
    <w:rPr>
      <w:b/>
      <w:bCs/>
    </w:rPr>
  </w:style>
  <w:style w:type="character" w:styleId="32">
    <w:name w:val="FollowedHyperlink"/>
    <w:basedOn w:val="31"/>
    <w:semiHidden/>
    <w:unhideWhenUsed/>
    <w:uiPriority w:val="99"/>
    <w:rPr>
      <w:color w:val="954F72"/>
      <w:u w:val="single"/>
    </w:rPr>
  </w:style>
  <w:style w:type="character" w:styleId="33">
    <w:name w:val="Hyperlink"/>
    <w:basedOn w:val="31"/>
    <w:unhideWhenUsed/>
    <w:uiPriority w:val="99"/>
    <w:rPr>
      <w:color w:val="467886" w:themeColor="hyperlink"/>
      <w:u w:val="single"/>
      <w14:textFill>
        <w14:solidFill>
          <w14:schemeClr w14:val="hlink"/>
        </w14:solidFill>
      </w14:textFill>
    </w:rPr>
  </w:style>
  <w:style w:type="character" w:styleId="34">
    <w:name w:val="annotation reference"/>
    <w:basedOn w:val="31"/>
    <w:semiHidden/>
    <w:unhideWhenUsed/>
    <w:uiPriority w:val="99"/>
    <w:rPr>
      <w:sz w:val="21"/>
      <w:szCs w:val="21"/>
    </w:rPr>
  </w:style>
  <w:style w:type="character" w:customStyle="1" w:styleId="35">
    <w:name w:val="标题 1 字符"/>
    <w:basedOn w:val="31"/>
    <w:link w:val="2"/>
    <w:uiPriority w:val="9"/>
    <w:rPr>
      <w:rFonts w:eastAsia="宋体" w:asciiTheme="majorHAnsi" w:hAnsiTheme="majorHAnsi" w:cstheme="majorBidi"/>
      <w:color w:val="E97132" w:themeColor="accent2"/>
      <w:kern w:val="2"/>
      <w:sz w:val="36"/>
      <w:szCs w:val="48"/>
      <w14:textFill>
        <w14:solidFill>
          <w14:schemeClr w14:val="accent2"/>
        </w14:solidFill>
      </w14:textFill>
    </w:rPr>
  </w:style>
  <w:style w:type="character" w:customStyle="1" w:styleId="36">
    <w:name w:val="标题 2 字符"/>
    <w:basedOn w:val="31"/>
    <w:link w:val="3"/>
    <w:uiPriority w:val="9"/>
    <w:rPr>
      <w:rFonts w:eastAsia="宋体" w:asciiTheme="majorHAnsi" w:hAnsiTheme="majorHAnsi" w:cstheme="majorBidi"/>
      <w:b/>
      <w:color w:val="196B24" w:themeColor="accent3"/>
      <w:kern w:val="2"/>
      <w:sz w:val="32"/>
      <w:szCs w:val="40"/>
      <w14:textFill>
        <w14:solidFill>
          <w14:schemeClr w14:val="accent3"/>
        </w14:solidFill>
      </w14:textFill>
    </w:rPr>
  </w:style>
  <w:style w:type="character" w:customStyle="1" w:styleId="37">
    <w:name w:val="标题 3 字符"/>
    <w:basedOn w:val="31"/>
    <w:link w:val="4"/>
    <w:uiPriority w:val="9"/>
    <w:rPr>
      <w:rFonts w:eastAsia="宋体" w:asciiTheme="majorHAnsi" w:hAnsiTheme="majorHAnsi" w:cstheme="majorBidi"/>
      <w:b/>
      <w:color w:val="0F9ED5" w:themeColor="accent4"/>
      <w:kern w:val="2"/>
      <w:sz w:val="30"/>
      <w:szCs w:val="32"/>
      <w14:textFill>
        <w14:solidFill>
          <w14:schemeClr w14:val="accent4"/>
        </w14:solidFill>
      </w14:textFill>
    </w:rPr>
  </w:style>
  <w:style w:type="character" w:customStyle="1" w:styleId="38">
    <w:name w:val="标题 4 字符"/>
    <w:basedOn w:val="31"/>
    <w:link w:val="5"/>
    <w:uiPriority w:val="9"/>
    <w:rPr>
      <w:rFonts w:eastAsia="宋体" w:cstheme="majorBidi"/>
      <w:color w:val="104862" w:themeColor="accent1" w:themeShade="BF"/>
      <w:kern w:val="2"/>
      <w:sz w:val="28"/>
      <w:szCs w:val="28"/>
    </w:rPr>
  </w:style>
  <w:style w:type="character" w:customStyle="1" w:styleId="39">
    <w:name w:val="标题 5 字符"/>
    <w:basedOn w:val="31"/>
    <w:link w:val="6"/>
    <w:semiHidden/>
    <w:uiPriority w:val="9"/>
    <w:rPr>
      <w:rFonts w:cstheme="majorBidi"/>
      <w:color w:val="104862" w:themeColor="accent1" w:themeShade="BF"/>
      <w:sz w:val="24"/>
      <w:szCs w:val="24"/>
    </w:rPr>
  </w:style>
  <w:style w:type="character" w:customStyle="1" w:styleId="40">
    <w:name w:val="标题 6 字符"/>
    <w:basedOn w:val="31"/>
    <w:link w:val="7"/>
    <w:semiHidden/>
    <w:uiPriority w:val="9"/>
    <w:rPr>
      <w:rFonts w:cstheme="majorBidi"/>
      <w:b/>
      <w:bCs/>
      <w:color w:val="104862" w:themeColor="accent1" w:themeShade="BF"/>
    </w:rPr>
  </w:style>
  <w:style w:type="character" w:customStyle="1" w:styleId="41">
    <w:name w:val="标题 7 字符"/>
    <w:basedOn w:val="31"/>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2">
    <w:name w:val="标题 8 字符"/>
    <w:basedOn w:val="31"/>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3">
    <w:name w:val="标题 9 字符"/>
    <w:basedOn w:val="31"/>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4">
    <w:name w:val="批注文字 字符"/>
    <w:basedOn w:val="31"/>
    <w:link w:val="13"/>
    <w:semiHidden/>
    <w:uiPriority w:val="99"/>
    <w:rPr>
      <w:rFonts w:eastAsia="宋体"/>
      <w:sz w:val="28"/>
    </w:rPr>
  </w:style>
  <w:style w:type="character" w:customStyle="1" w:styleId="45">
    <w:name w:val="批注框文本 字符"/>
    <w:basedOn w:val="31"/>
    <w:link w:val="19"/>
    <w:semiHidden/>
    <w:uiPriority w:val="99"/>
    <w:rPr>
      <w:rFonts w:eastAsia="宋体"/>
      <w:sz w:val="18"/>
      <w:szCs w:val="18"/>
    </w:rPr>
  </w:style>
  <w:style w:type="character" w:customStyle="1" w:styleId="46">
    <w:name w:val="页脚 字符"/>
    <w:basedOn w:val="31"/>
    <w:link w:val="20"/>
    <w:uiPriority w:val="99"/>
    <w:rPr>
      <w:rFonts w:eastAsia="宋体"/>
      <w:sz w:val="18"/>
      <w:szCs w:val="18"/>
    </w:rPr>
  </w:style>
  <w:style w:type="character" w:customStyle="1" w:styleId="47">
    <w:name w:val="页眉 字符"/>
    <w:basedOn w:val="31"/>
    <w:link w:val="21"/>
    <w:qFormat/>
    <w:uiPriority w:val="99"/>
    <w:rPr>
      <w:rFonts w:eastAsia="宋体"/>
      <w:sz w:val="18"/>
      <w:szCs w:val="18"/>
    </w:rPr>
  </w:style>
  <w:style w:type="character" w:customStyle="1" w:styleId="48">
    <w:name w:val="副标题 字符"/>
    <w:basedOn w:val="31"/>
    <w:link w:val="2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49">
    <w:name w:val="标题 字符"/>
    <w:basedOn w:val="31"/>
    <w:link w:val="28"/>
    <w:uiPriority w:val="10"/>
    <w:rPr>
      <w:rFonts w:asciiTheme="majorHAnsi" w:hAnsiTheme="majorHAnsi" w:eastAsiaTheme="majorEastAsia" w:cstheme="majorBidi"/>
      <w:spacing w:val="-10"/>
      <w:kern w:val="28"/>
      <w:sz w:val="56"/>
      <w:szCs w:val="56"/>
    </w:rPr>
  </w:style>
  <w:style w:type="character" w:customStyle="1" w:styleId="50">
    <w:name w:val="批注主题 字符"/>
    <w:basedOn w:val="44"/>
    <w:link w:val="29"/>
    <w:semiHidden/>
    <w:uiPriority w:val="99"/>
    <w:rPr>
      <w:rFonts w:eastAsia="宋体"/>
      <w:b/>
      <w:bCs/>
      <w:sz w:val="28"/>
    </w:rPr>
  </w:style>
  <w:style w:type="paragraph" w:styleId="51">
    <w:name w:val="Quote"/>
    <w:basedOn w:val="1"/>
    <w:next w:val="1"/>
    <w:link w:val="5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52">
    <w:name w:val="引用 字符"/>
    <w:basedOn w:val="31"/>
    <w:link w:val="51"/>
    <w:uiPriority w:val="29"/>
    <w:rPr>
      <w:i/>
      <w:iCs/>
      <w:color w:val="404040" w:themeColor="text1" w:themeTint="BF"/>
      <w14:textFill>
        <w14:solidFill>
          <w14:schemeClr w14:val="tx1">
            <w14:lumMod w14:val="75000"/>
            <w14:lumOff w14:val="25000"/>
          </w14:schemeClr>
        </w14:solidFill>
      </w14:textFill>
    </w:rPr>
  </w:style>
  <w:style w:type="paragraph" w:styleId="53">
    <w:name w:val="List Paragraph"/>
    <w:basedOn w:val="1"/>
    <w:qFormat/>
    <w:uiPriority w:val="34"/>
    <w:pPr>
      <w:ind w:left="720"/>
      <w:contextualSpacing/>
    </w:pPr>
  </w:style>
  <w:style w:type="character" w:customStyle="1" w:styleId="54">
    <w:name w:val="明显强调1"/>
    <w:basedOn w:val="31"/>
    <w:qFormat/>
    <w:uiPriority w:val="21"/>
    <w:rPr>
      <w:i/>
      <w:iCs/>
      <w:color w:val="104862" w:themeColor="accent1" w:themeShade="BF"/>
    </w:rPr>
  </w:style>
  <w:style w:type="paragraph" w:styleId="55">
    <w:name w:val="Intense Quote"/>
    <w:basedOn w:val="1"/>
    <w:next w:val="1"/>
    <w:link w:val="5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6">
    <w:name w:val="明显引用 字符"/>
    <w:basedOn w:val="31"/>
    <w:link w:val="55"/>
    <w:uiPriority w:val="30"/>
    <w:rPr>
      <w:i/>
      <w:iCs/>
      <w:color w:val="104862" w:themeColor="accent1" w:themeShade="BF"/>
    </w:rPr>
  </w:style>
  <w:style w:type="character" w:customStyle="1" w:styleId="57">
    <w:name w:val="明显参考1"/>
    <w:basedOn w:val="31"/>
    <w:qFormat/>
    <w:uiPriority w:val="32"/>
    <w:rPr>
      <w:b/>
      <w:bCs/>
      <w:smallCaps/>
      <w:color w:val="104862" w:themeColor="accent1" w:themeShade="BF"/>
      <w:spacing w:val="5"/>
    </w:rPr>
  </w:style>
  <w:style w:type="character" w:customStyle="1" w:styleId="58">
    <w:name w:val="表头 Char"/>
    <w:link w:val="59"/>
    <w:uiPriority w:val="0"/>
    <w:rPr>
      <w:rFonts w:eastAsia="黑体"/>
      <w:b/>
      <w:sz w:val="32"/>
      <w:szCs w:val="21"/>
    </w:rPr>
  </w:style>
  <w:style w:type="paragraph" w:customStyle="1" w:styleId="59">
    <w:name w:val="表头"/>
    <w:basedOn w:val="1"/>
    <w:link w:val="58"/>
    <w:qFormat/>
    <w:uiPriority w:val="0"/>
    <w:pPr>
      <w:jc w:val="left"/>
      <w:outlineLvl w:val="4"/>
    </w:pPr>
    <w:rPr>
      <w:rFonts w:eastAsia="黑体"/>
      <w:b/>
      <w:sz w:val="32"/>
      <w:szCs w:val="21"/>
    </w:rPr>
  </w:style>
  <w:style w:type="paragraph" w:customStyle="1" w:styleId="60">
    <w:name w:val="表格"/>
    <w:link w:val="61"/>
    <w:qFormat/>
    <w:uiPriority w:val="0"/>
    <w:pPr>
      <w:spacing w:line="280" w:lineRule="exact"/>
      <w:jc w:val="center"/>
    </w:pPr>
    <w:rPr>
      <w:rFonts w:ascii="Times New Roman" w:hAnsi="Times New Roman" w:eastAsia="仿宋_GB2312" w:cs="Times New Roman"/>
      <w:sz w:val="21"/>
      <w:lang w:val="en-US" w:eastAsia="zh-CN" w:bidi="ar-SA"/>
    </w:rPr>
  </w:style>
  <w:style w:type="character" w:customStyle="1" w:styleId="61">
    <w:name w:val="表格 Char Char"/>
    <w:link w:val="60"/>
    <w:uiPriority w:val="0"/>
    <w:rPr>
      <w:rFonts w:ascii="Times New Roman" w:hAnsi="Times New Roman" w:eastAsia="仿宋_GB2312" w:cs="Times New Roman"/>
      <w:kern w:val="0"/>
      <w:szCs w:val="20"/>
    </w:rPr>
  </w:style>
  <w:style w:type="character" w:customStyle="1" w:styleId="62">
    <w:name w:val="未处理的提及1"/>
    <w:basedOn w:val="31"/>
    <w:semiHidden/>
    <w:unhideWhenUsed/>
    <w:uiPriority w:val="99"/>
    <w:rPr>
      <w:color w:val="605E5C"/>
      <w:shd w:val="clear" w:color="auto" w:fill="E1DFDD"/>
    </w:rPr>
  </w:style>
  <w:style w:type="table" w:customStyle="1" w:styleId="63">
    <w:name w:val="Table Normal"/>
    <w:semiHidden/>
    <w:unhideWhenUsed/>
    <w:qFormat/>
    <w:uiPriority w:val="2"/>
    <w:pPr>
      <w:widowControl w:val="0"/>
    </w:pPr>
    <w:rPr>
      <w:sz w:val="22"/>
      <w:szCs w:val="22"/>
      <w:lang w:eastAsia="en-US"/>
    </w:rPr>
    <w:tblPr>
      <w:tblCellMar>
        <w:top w:w="0" w:type="dxa"/>
        <w:left w:w="0" w:type="dxa"/>
        <w:bottom w:w="0" w:type="dxa"/>
        <w:right w:w="0" w:type="dxa"/>
      </w:tblCellMar>
    </w:tblPr>
  </w:style>
  <w:style w:type="character" w:customStyle="1" w:styleId="64">
    <w:name w:val="正文文本 字符"/>
    <w:basedOn w:val="31"/>
    <w:link w:val="14"/>
    <w:uiPriority w:val="1"/>
    <w:rPr>
      <w:rFonts w:ascii="宋体" w:hAnsi="宋体" w:eastAsia="宋体"/>
      <w:i/>
      <w:sz w:val="28"/>
      <w:szCs w:val="28"/>
      <w:lang w:eastAsia="en-US"/>
    </w:rPr>
  </w:style>
  <w:style w:type="paragraph" w:customStyle="1" w:styleId="65">
    <w:name w:val="Table Paragraph"/>
    <w:basedOn w:val="1"/>
    <w:qFormat/>
    <w:uiPriority w:val="1"/>
    <w:pPr>
      <w:spacing w:line="240" w:lineRule="auto"/>
      <w:jc w:val="left"/>
    </w:pPr>
    <w:rPr>
      <w:rFonts w:eastAsiaTheme="minorEastAsia"/>
      <w:kern w:val="0"/>
      <w:sz w:val="22"/>
      <w:lang w:eastAsia="en-US"/>
    </w:rPr>
  </w:style>
  <w:style w:type="character" w:customStyle="1" w:styleId="66">
    <w:name w:val="注释标题 字符"/>
    <w:basedOn w:val="31"/>
    <w:link w:val="12"/>
    <w:uiPriority w:val="99"/>
    <w:rPr>
      <w:rFonts w:ascii="Times New Roman" w:hAnsi="Times New Roman" w:eastAsia="宋体" w:cs="Times New Roman"/>
      <w:kern w:val="2"/>
      <w:sz w:val="24"/>
      <w:szCs w:val="24"/>
    </w:rPr>
  </w:style>
  <w:style w:type="paragraph" w:customStyle="1" w:styleId="67">
    <w:name w:val="封面工程名"/>
    <w:basedOn w:val="1"/>
    <w:qFormat/>
    <w:uiPriority w:val="0"/>
    <w:pPr>
      <w:adjustRightInd w:val="0"/>
      <w:snapToGrid w:val="0"/>
      <w:spacing w:line="288" w:lineRule="auto"/>
      <w:jc w:val="center"/>
    </w:pPr>
    <w:rPr>
      <w:rFonts w:ascii="Times New Roman" w:hAnsi="Times New Roman" w:cs="Times New Roman"/>
      <w:b/>
      <w:sz w:val="52"/>
      <w:szCs w:val="42"/>
    </w:rPr>
  </w:style>
  <w:style w:type="paragraph" w:customStyle="1" w:styleId="68">
    <w:name w:val="“送审稿”“报批稿”"/>
    <w:basedOn w:val="1"/>
    <w:qFormat/>
    <w:uiPriority w:val="0"/>
    <w:pPr>
      <w:adjustRightInd w:val="0"/>
      <w:snapToGrid w:val="0"/>
      <w:spacing w:line="288" w:lineRule="auto"/>
      <w:jc w:val="center"/>
    </w:pPr>
    <w:rPr>
      <w:rFonts w:ascii="Times New Roman" w:hAnsi="Times New Roman" w:cs="Times New Roman"/>
      <w:b/>
      <w:sz w:val="44"/>
      <w:szCs w:val="42"/>
    </w:rPr>
  </w:style>
  <w:style w:type="paragraph" w:customStyle="1" w:styleId="69">
    <w:name w:val="封面公司名及日期"/>
    <w:basedOn w:val="1"/>
    <w:qFormat/>
    <w:uiPriority w:val="0"/>
    <w:pPr>
      <w:adjustRightInd w:val="0"/>
      <w:snapToGrid w:val="0"/>
      <w:spacing w:line="288" w:lineRule="auto"/>
      <w:jc w:val="center"/>
    </w:pPr>
    <w:rPr>
      <w:rFonts w:ascii="Times New Roman" w:hAnsi="Times New Roman" w:cs="Times New Roman"/>
      <w:b/>
      <w:sz w:val="36"/>
      <w:szCs w:val="42"/>
    </w:rPr>
  </w:style>
  <w:style w:type="paragraph" w:customStyle="1" w:styleId="70">
    <w:name w:val="责任页"/>
    <w:basedOn w:val="1"/>
    <w:qFormat/>
    <w:uiPriority w:val="0"/>
    <w:pPr>
      <w:adjustRightInd w:val="0"/>
      <w:snapToGrid w:val="0"/>
      <w:spacing w:beforeLines="50" w:afterLines="50" w:line="288" w:lineRule="auto"/>
      <w:ind w:firstLine="723" w:firstLineChars="200"/>
    </w:pPr>
    <w:rPr>
      <w:rFonts w:ascii="Times New Roman" w:hAnsi="Times New Roman" w:cs="Times New Roman"/>
      <w:b/>
      <w:sz w:val="36"/>
      <w:szCs w:val="36"/>
    </w:rPr>
  </w:style>
  <w:style w:type="character" w:customStyle="1" w:styleId="71">
    <w:name w:val="日期 字符"/>
    <w:basedOn w:val="31"/>
    <w:link w:val="18"/>
    <w:semiHidden/>
    <w:uiPriority w:val="99"/>
    <w:rPr>
      <w:rFonts w:eastAsia="宋体"/>
      <w:kern w:val="2"/>
      <w:sz w:val="28"/>
      <w:szCs w:val="22"/>
    </w:rPr>
  </w:style>
  <w:style w:type="paragraph" w:customStyle="1" w:styleId="72">
    <w:name w:val="msonormal"/>
    <w:basedOn w:val="1"/>
    <w:uiPriority w:val="0"/>
    <w:pPr>
      <w:widowControl/>
      <w:spacing w:before="100" w:beforeAutospacing="1" w:after="100" w:afterAutospacing="1" w:line="240" w:lineRule="auto"/>
      <w:jc w:val="left"/>
    </w:pPr>
    <w:rPr>
      <w:rFonts w:ascii="宋体" w:hAnsi="宋体" w:cs="宋体"/>
      <w:kern w:val="0"/>
      <w:sz w:val="24"/>
      <w:szCs w:val="24"/>
    </w:rPr>
  </w:style>
  <w:style w:type="paragraph" w:customStyle="1" w:styleId="73">
    <w:name w:val="font5"/>
    <w:basedOn w:val="1"/>
    <w:uiPriority w:val="0"/>
    <w:pPr>
      <w:widowControl/>
      <w:spacing w:before="100" w:beforeAutospacing="1" w:after="100" w:afterAutospacing="1" w:line="240" w:lineRule="auto"/>
      <w:jc w:val="left"/>
    </w:pPr>
    <w:rPr>
      <w:rFonts w:ascii="宋体" w:hAnsi="宋体" w:cs="宋体"/>
      <w:kern w:val="0"/>
      <w:sz w:val="18"/>
      <w:szCs w:val="18"/>
    </w:rPr>
  </w:style>
  <w:style w:type="paragraph" w:customStyle="1" w:styleId="74">
    <w:name w:val="font6"/>
    <w:basedOn w:val="1"/>
    <w:uiPriority w:val="0"/>
    <w:pPr>
      <w:widowControl/>
      <w:spacing w:before="100" w:beforeAutospacing="1" w:after="100" w:afterAutospacing="1" w:line="240" w:lineRule="auto"/>
      <w:jc w:val="left"/>
    </w:pPr>
    <w:rPr>
      <w:rFonts w:ascii="宋体" w:hAnsi="宋体" w:cs="宋体"/>
      <w:kern w:val="0"/>
      <w:sz w:val="22"/>
    </w:rPr>
  </w:style>
  <w:style w:type="paragraph" w:customStyle="1" w:styleId="75">
    <w:name w:val="font7"/>
    <w:basedOn w:val="1"/>
    <w:uiPriority w:val="0"/>
    <w:pPr>
      <w:widowControl/>
      <w:spacing w:before="100" w:beforeAutospacing="1" w:after="100" w:afterAutospacing="1" w:line="240" w:lineRule="auto"/>
      <w:jc w:val="left"/>
    </w:pPr>
    <w:rPr>
      <w:rFonts w:ascii="宋体" w:hAnsi="宋体" w:cs="宋体"/>
      <w:kern w:val="0"/>
      <w:sz w:val="22"/>
    </w:rPr>
  </w:style>
  <w:style w:type="paragraph" w:customStyle="1" w:styleId="76">
    <w:name w:val="xl68"/>
    <w:basedOn w:val="1"/>
    <w:uiPriority w:val="0"/>
    <w:pPr>
      <w:widowControl/>
      <w:spacing w:before="100" w:beforeAutospacing="1" w:after="100" w:afterAutospacing="1" w:line="240" w:lineRule="auto"/>
      <w:jc w:val="left"/>
    </w:pPr>
    <w:rPr>
      <w:rFonts w:ascii="宋体" w:hAnsi="宋体" w:cs="宋体"/>
      <w:kern w:val="0"/>
      <w:sz w:val="24"/>
      <w:szCs w:val="24"/>
    </w:rPr>
  </w:style>
  <w:style w:type="paragraph" w:customStyle="1" w:styleId="7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b/>
      <w:bCs/>
      <w:kern w:val="0"/>
      <w:sz w:val="24"/>
      <w:szCs w:val="24"/>
    </w:rPr>
  </w:style>
  <w:style w:type="paragraph" w:customStyle="1" w:styleId="78">
    <w:name w:val="xl70"/>
    <w:basedOn w:val="1"/>
    <w:uiPriority w:val="0"/>
    <w:pPr>
      <w:widowControl/>
      <w:spacing w:before="100" w:beforeAutospacing="1" w:after="100" w:afterAutospacing="1" w:line="240" w:lineRule="auto"/>
      <w:jc w:val="center"/>
    </w:pPr>
    <w:rPr>
      <w:rFonts w:ascii="宋体" w:hAnsi="宋体" w:cs="宋体"/>
      <w:b/>
      <w:bCs/>
      <w:kern w:val="0"/>
      <w:sz w:val="24"/>
      <w:szCs w:val="24"/>
    </w:rPr>
  </w:style>
  <w:style w:type="paragraph" w:customStyle="1" w:styleId="7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4"/>
      <w:szCs w:val="24"/>
    </w:rPr>
  </w:style>
  <w:style w:type="paragraph" w:customStyle="1" w:styleId="8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4"/>
      <w:szCs w:val="24"/>
    </w:rPr>
  </w:style>
  <w:style w:type="paragraph" w:customStyle="1" w:styleId="8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4"/>
      <w:szCs w:val="24"/>
    </w:rPr>
  </w:style>
  <w:style w:type="paragraph" w:customStyle="1" w:styleId="8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83">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b/>
      <w:bCs/>
      <w:kern w:val="0"/>
      <w:sz w:val="24"/>
      <w:szCs w:val="24"/>
    </w:rPr>
  </w:style>
  <w:style w:type="paragraph" w:customStyle="1" w:styleId="8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85">
    <w:name w:val="xl77"/>
    <w:basedOn w:val="1"/>
    <w:uiPriority w:val="0"/>
    <w:pPr>
      <w:widowControl/>
      <w:spacing w:before="100" w:beforeAutospacing="1" w:after="100" w:afterAutospacing="1" w:line="240" w:lineRule="auto"/>
      <w:jc w:val="left"/>
    </w:pPr>
    <w:rPr>
      <w:rFonts w:ascii="宋体" w:hAnsi="宋体" w:cs="宋体"/>
      <w:b/>
      <w:bCs/>
      <w:kern w:val="0"/>
      <w:sz w:val="24"/>
      <w:szCs w:val="24"/>
    </w:rPr>
  </w:style>
  <w:style w:type="paragraph" w:customStyle="1" w:styleId="8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87">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24"/>
      <w:szCs w:val="24"/>
    </w:rPr>
  </w:style>
  <w:style w:type="paragraph" w:customStyle="1" w:styleId="8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0"/>
      <w:szCs w:val="20"/>
    </w:rPr>
  </w:style>
  <w:style w:type="paragraph" w:customStyle="1" w:styleId="89">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kern w:val="0"/>
      <w:sz w:val="24"/>
      <w:szCs w:val="24"/>
    </w:rPr>
  </w:style>
  <w:style w:type="paragraph" w:customStyle="1" w:styleId="90">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24"/>
      <w:szCs w:val="24"/>
    </w:rPr>
  </w:style>
  <w:style w:type="paragraph" w:customStyle="1" w:styleId="9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0"/>
      <w:szCs w:val="20"/>
    </w:rPr>
  </w:style>
  <w:style w:type="paragraph" w:customStyle="1" w:styleId="9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4"/>
      <w:szCs w:val="24"/>
    </w:rPr>
  </w:style>
  <w:style w:type="paragraph" w:customStyle="1" w:styleId="93">
    <w:name w:val="xl8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94">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95">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20"/>
      <w:szCs w:val="20"/>
    </w:rPr>
  </w:style>
  <w:style w:type="paragraph" w:customStyle="1" w:styleId="96">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4"/>
      <w:szCs w:val="24"/>
    </w:rPr>
  </w:style>
  <w:style w:type="paragraph" w:customStyle="1" w:styleId="97">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98">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4"/>
      <w:szCs w:val="24"/>
    </w:rPr>
  </w:style>
  <w:style w:type="paragraph" w:customStyle="1" w:styleId="99">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0"/>
      <w:szCs w:val="20"/>
    </w:rPr>
  </w:style>
  <w:style w:type="paragraph" w:customStyle="1" w:styleId="100">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101">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24"/>
      <w:szCs w:val="24"/>
    </w:rPr>
  </w:style>
  <w:style w:type="paragraph" w:customStyle="1" w:styleId="102">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103">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104">
    <w:name w:val="xl9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top"/>
    </w:pPr>
    <w:rPr>
      <w:rFonts w:ascii="宋体" w:hAnsi="宋体" w:cs="宋体"/>
      <w:kern w:val="0"/>
      <w:sz w:val="24"/>
      <w:szCs w:val="24"/>
    </w:rPr>
  </w:style>
  <w:style w:type="paragraph" w:customStyle="1" w:styleId="105">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kern w:val="0"/>
      <w:sz w:val="24"/>
      <w:szCs w:val="24"/>
    </w:rPr>
  </w:style>
  <w:style w:type="paragraph" w:customStyle="1" w:styleId="106">
    <w:name w:val="xl98"/>
    <w:basedOn w:val="1"/>
    <w:uiPriority w:val="0"/>
    <w:pPr>
      <w:widowControl/>
      <w:spacing w:before="100" w:beforeAutospacing="1" w:after="100" w:afterAutospacing="1" w:line="240" w:lineRule="auto"/>
      <w:jc w:val="left"/>
      <w:textAlignment w:val="top"/>
    </w:pPr>
    <w:rPr>
      <w:rFonts w:ascii="宋体" w:hAnsi="宋体" w:cs="宋体"/>
      <w:kern w:val="0"/>
      <w:sz w:val="24"/>
      <w:szCs w:val="24"/>
    </w:rPr>
  </w:style>
  <w:style w:type="paragraph" w:customStyle="1" w:styleId="107">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cs="宋体"/>
      <w:b/>
      <w:bCs/>
      <w:kern w:val="0"/>
      <w:sz w:val="20"/>
      <w:szCs w:val="20"/>
    </w:rPr>
  </w:style>
  <w:style w:type="paragraph" w:customStyle="1" w:styleId="108">
    <w:name w:val="xl10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cs="宋体"/>
      <w:kern w:val="0"/>
      <w:sz w:val="20"/>
      <w:szCs w:val="20"/>
    </w:rPr>
  </w:style>
  <w:style w:type="paragraph" w:customStyle="1" w:styleId="109">
    <w:name w:val="xl101"/>
    <w:basedOn w:val="1"/>
    <w:uiPriority w:val="0"/>
    <w:pPr>
      <w:widowControl/>
      <w:spacing w:before="100" w:beforeAutospacing="1" w:after="100" w:afterAutospacing="1" w:line="240" w:lineRule="auto"/>
      <w:jc w:val="center"/>
    </w:pPr>
    <w:rPr>
      <w:rFonts w:ascii="宋体" w:hAnsi="宋体" w:cs="宋体"/>
      <w:kern w:val="0"/>
      <w:sz w:val="24"/>
      <w:szCs w:val="24"/>
    </w:rPr>
  </w:style>
  <w:style w:type="paragraph" w:customStyle="1" w:styleId="110">
    <w:name w:val="xl102"/>
    <w:basedOn w:val="1"/>
    <w:uiPriority w:val="0"/>
    <w:pPr>
      <w:widowControl/>
      <w:spacing w:before="100" w:beforeAutospacing="1" w:after="100" w:afterAutospacing="1" w:line="240" w:lineRule="auto"/>
    </w:pPr>
    <w:rPr>
      <w:rFonts w:ascii="宋体" w:hAnsi="宋体" w:cs="宋体"/>
      <w:kern w:val="0"/>
      <w:sz w:val="24"/>
      <w:szCs w:val="24"/>
    </w:rPr>
  </w:style>
  <w:style w:type="paragraph" w:customStyle="1" w:styleId="111">
    <w:name w:val="xl103"/>
    <w:basedOn w:val="1"/>
    <w:uiPriority w:val="0"/>
    <w:pPr>
      <w:widowControl/>
      <w:spacing w:before="100" w:beforeAutospacing="1" w:after="100" w:afterAutospacing="1" w:line="240" w:lineRule="auto"/>
      <w:jc w:val="left"/>
    </w:pPr>
    <w:rPr>
      <w:rFonts w:ascii="宋体" w:hAnsi="宋体" w:cs="宋体"/>
      <w:kern w:val="0"/>
      <w:sz w:val="24"/>
      <w:szCs w:val="24"/>
    </w:rPr>
  </w:style>
  <w:style w:type="paragraph" w:customStyle="1" w:styleId="112">
    <w:name w:val="xl104"/>
    <w:basedOn w:val="1"/>
    <w:uiPriority w:val="0"/>
    <w:pPr>
      <w:widowControl/>
      <w:spacing w:before="100" w:beforeAutospacing="1" w:after="100" w:afterAutospacing="1" w:line="240" w:lineRule="auto"/>
      <w:jc w:val="center"/>
    </w:pPr>
    <w:rPr>
      <w:rFonts w:ascii="宋体" w:hAnsi="宋体" w:cs="宋体"/>
      <w:kern w:val="0"/>
      <w:sz w:val="24"/>
      <w:szCs w:val="24"/>
    </w:rPr>
  </w:style>
  <w:style w:type="paragraph" w:customStyle="1" w:styleId="113">
    <w:name w:val="xl105"/>
    <w:basedOn w:val="1"/>
    <w:uiPriority w:val="0"/>
    <w:pPr>
      <w:widowControl/>
      <w:spacing w:before="100" w:beforeAutospacing="1" w:after="100" w:afterAutospacing="1" w:line="240" w:lineRule="auto"/>
      <w:jc w:val="center"/>
    </w:pPr>
    <w:rPr>
      <w:rFonts w:ascii="方正小标宋简体" w:hAnsi="宋体" w:eastAsia="方正小标宋简体" w:cs="宋体"/>
      <w:b/>
      <w:bCs/>
      <w:kern w:val="0"/>
      <w:szCs w:val="28"/>
    </w:rPr>
  </w:style>
  <w:style w:type="paragraph" w:customStyle="1" w:styleId="114">
    <w:name w:val="xl106"/>
    <w:basedOn w:val="1"/>
    <w:uiPriority w:val="0"/>
    <w:pPr>
      <w:widowControl/>
      <w:spacing w:before="100" w:beforeAutospacing="1" w:after="100" w:afterAutospacing="1" w:line="240" w:lineRule="auto"/>
      <w:jc w:val="left"/>
    </w:pPr>
    <w:rPr>
      <w:rFonts w:ascii="方正小标宋简体" w:hAnsi="宋体" w:eastAsia="方正小标宋简体" w:cs="宋体"/>
      <w:b/>
      <w:bCs/>
      <w:kern w:val="0"/>
      <w:szCs w:val="28"/>
    </w:rPr>
  </w:style>
  <w:style w:type="paragraph" w:customStyle="1" w:styleId="115">
    <w:name w:val="font0"/>
    <w:basedOn w:val="1"/>
    <w:uiPriority w:val="0"/>
    <w:pPr>
      <w:widowControl/>
      <w:spacing w:before="100" w:beforeAutospacing="1" w:after="100" w:afterAutospacing="1" w:line="240" w:lineRule="auto"/>
      <w:jc w:val="left"/>
    </w:pPr>
    <w:rPr>
      <w:rFonts w:ascii="宋体" w:hAnsi="宋体" w:cs="宋体"/>
      <w:color w:val="000000"/>
      <w:kern w:val="0"/>
      <w:sz w:val="22"/>
    </w:rPr>
  </w:style>
  <w:style w:type="paragraph" w:customStyle="1" w:styleId="116">
    <w:name w:val="font1"/>
    <w:basedOn w:val="1"/>
    <w:uiPriority w:val="0"/>
    <w:pPr>
      <w:widowControl/>
      <w:spacing w:before="100" w:beforeAutospacing="1" w:after="100" w:afterAutospacing="1" w:line="240" w:lineRule="auto"/>
      <w:jc w:val="left"/>
    </w:pPr>
    <w:rPr>
      <w:rFonts w:ascii="宋体" w:hAnsi="宋体" w:cs="宋体"/>
      <w:color w:val="000000"/>
      <w:kern w:val="0"/>
      <w:sz w:val="22"/>
    </w:rPr>
  </w:style>
  <w:style w:type="paragraph" w:customStyle="1" w:styleId="117">
    <w:name w:val="font2"/>
    <w:basedOn w:val="1"/>
    <w:uiPriority w:val="0"/>
    <w:pPr>
      <w:widowControl/>
      <w:spacing w:before="100" w:beforeAutospacing="1" w:after="100" w:afterAutospacing="1" w:line="240" w:lineRule="auto"/>
      <w:jc w:val="left"/>
    </w:pPr>
    <w:rPr>
      <w:rFonts w:ascii="宋体" w:hAnsi="宋体" w:cs="宋体"/>
      <w:b/>
      <w:bCs/>
      <w:color w:val="000000"/>
      <w:kern w:val="0"/>
      <w:sz w:val="22"/>
    </w:rPr>
  </w:style>
  <w:style w:type="paragraph" w:customStyle="1" w:styleId="118">
    <w:name w:val="font3"/>
    <w:basedOn w:val="1"/>
    <w:uiPriority w:val="0"/>
    <w:pPr>
      <w:widowControl/>
      <w:spacing w:before="100" w:beforeAutospacing="1" w:after="100" w:afterAutospacing="1" w:line="240" w:lineRule="auto"/>
      <w:jc w:val="left"/>
    </w:pPr>
    <w:rPr>
      <w:rFonts w:ascii="宋体" w:hAnsi="宋体" w:cs="宋体"/>
      <w:color w:val="000000"/>
      <w:kern w:val="0"/>
      <w:sz w:val="22"/>
    </w:rPr>
  </w:style>
  <w:style w:type="paragraph" w:customStyle="1" w:styleId="119">
    <w:name w:val="font4"/>
    <w:basedOn w:val="1"/>
    <w:uiPriority w:val="0"/>
    <w:pPr>
      <w:widowControl/>
      <w:spacing w:before="100" w:beforeAutospacing="1" w:after="100" w:afterAutospacing="1" w:line="240" w:lineRule="auto"/>
      <w:jc w:val="left"/>
    </w:pPr>
    <w:rPr>
      <w:rFonts w:ascii="宋体" w:hAnsi="宋体" w:cs="宋体"/>
      <w:b/>
      <w:bCs/>
      <w:color w:val="000000"/>
      <w:kern w:val="0"/>
      <w:sz w:val="22"/>
    </w:rPr>
  </w:style>
  <w:style w:type="paragraph" w:customStyle="1" w:styleId="120">
    <w:name w:val="font8"/>
    <w:basedOn w:val="1"/>
    <w:uiPriority w:val="0"/>
    <w:pPr>
      <w:widowControl/>
      <w:spacing w:before="100" w:beforeAutospacing="1" w:after="100" w:afterAutospacing="1" w:line="240" w:lineRule="auto"/>
      <w:jc w:val="left"/>
    </w:pPr>
    <w:rPr>
      <w:rFonts w:ascii="宋体" w:hAnsi="宋体" w:cs="宋体"/>
      <w:color w:val="000000"/>
      <w:kern w:val="0"/>
      <w:sz w:val="22"/>
    </w:rPr>
  </w:style>
  <w:style w:type="paragraph" w:customStyle="1" w:styleId="121">
    <w:name w:val="font9"/>
    <w:basedOn w:val="1"/>
    <w:uiPriority w:val="0"/>
    <w:pPr>
      <w:widowControl/>
      <w:spacing w:before="100" w:beforeAutospacing="1" w:after="100" w:afterAutospacing="1" w:line="240" w:lineRule="auto"/>
      <w:jc w:val="left"/>
    </w:pPr>
    <w:rPr>
      <w:rFonts w:ascii="宋体" w:hAnsi="宋体" w:cs="宋体"/>
      <w:b/>
      <w:bCs/>
      <w:color w:val="000000"/>
      <w:kern w:val="0"/>
      <w:sz w:val="20"/>
      <w:szCs w:val="20"/>
    </w:rPr>
  </w:style>
  <w:style w:type="paragraph" w:customStyle="1" w:styleId="122">
    <w:name w:val="font10"/>
    <w:basedOn w:val="1"/>
    <w:uiPriority w:val="0"/>
    <w:pPr>
      <w:widowControl/>
      <w:spacing w:before="100" w:beforeAutospacing="1" w:after="100" w:afterAutospacing="1" w:line="240" w:lineRule="auto"/>
      <w:jc w:val="left"/>
    </w:pPr>
    <w:rPr>
      <w:rFonts w:ascii="宋体" w:hAnsi="宋体" w:cs="宋体"/>
      <w:color w:val="000000"/>
      <w:kern w:val="0"/>
      <w:sz w:val="22"/>
      <w:vertAlign w:val="superscript"/>
    </w:rPr>
  </w:style>
  <w:style w:type="paragraph" w:customStyle="1" w:styleId="123">
    <w:name w:val="et2"/>
    <w:basedOn w:val="1"/>
    <w:uiPriority w:val="0"/>
    <w:pPr>
      <w:widowControl/>
      <w:spacing w:before="100" w:beforeAutospacing="1" w:after="100" w:afterAutospacing="1" w:line="240" w:lineRule="auto"/>
      <w:jc w:val="center"/>
    </w:pPr>
    <w:rPr>
      <w:rFonts w:ascii="宋体" w:hAnsi="宋体" w:cs="宋体"/>
      <w:color w:val="000000"/>
      <w:kern w:val="0"/>
      <w:sz w:val="24"/>
      <w:szCs w:val="24"/>
    </w:rPr>
  </w:style>
  <w:style w:type="paragraph" w:customStyle="1" w:styleId="124">
    <w:name w:val="et3"/>
    <w:basedOn w:val="1"/>
    <w:uiPriority w:val="0"/>
    <w:pPr>
      <w:widowControl/>
      <w:spacing w:before="100" w:beforeAutospacing="1" w:after="100" w:afterAutospacing="1" w:line="240" w:lineRule="auto"/>
    </w:pPr>
    <w:rPr>
      <w:rFonts w:ascii="宋体" w:hAnsi="宋体" w:cs="宋体"/>
      <w:color w:val="000000"/>
      <w:kern w:val="0"/>
      <w:sz w:val="24"/>
      <w:szCs w:val="24"/>
    </w:rPr>
  </w:style>
  <w:style w:type="paragraph" w:customStyle="1" w:styleId="125">
    <w:name w:val="et4"/>
    <w:basedOn w:val="1"/>
    <w:uiPriority w:val="0"/>
    <w:pPr>
      <w:widowControl/>
      <w:spacing w:before="100" w:beforeAutospacing="1" w:after="100" w:afterAutospacing="1" w:line="240" w:lineRule="auto"/>
      <w:jc w:val="left"/>
    </w:pPr>
    <w:rPr>
      <w:rFonts w:ascii="宋体" w:hAnsi="宋体" w:cs="宋体"/>
      <w:color w:val="000000"/>
      <w:kern w:val="0"/>
      <w:sz w:val="24"/>
      <w:szCs w:val="24"/>
    </w:rPr>
  </w:style>
  <w:style w:type="paragraph" w:customStyle="1" w:styleId="126">
    <w:name w:val="et5"/>
    <w:basedOn w:val="1"/>
    <w:uiPriority w:val="0"/>
    <w:pPr>
      <w:widowControl/>
      <w:spacing w:before="100" w:beforeAutospacing="1" w:after="100" w:afterAutospacing="1" w:line="240" w:lineRule="auto"/>
      <w:jc w:val="center"/>
    </w:pPr>
    <w:rPr>
      <w:rFonts w:ascii="宋体" w:hAnsi="宋体" w:cs="宋体"/>
      <w:color w:val="000000"/>
      <w:kern w:val="0"/>
      <w:sz w:val="24"/>
      <w:szCs w:val="24"/>
    </w:rPr>
  </w:style>
  <w:style w:type="paragraph" w:customStyle="1" w:styleId="127">
    <w:name w:val="et6"/>
    <w:basedOn w:val="1"/>
    <w:uiPriority w:val="0"/>
    <w:pPr>
      <w:widowControl/>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28">
    <w:name w:val="et7"/>
    <w:basedOn w:val="1"/>
    <w:uiPriority w:val="0"/>
    <w:pPr>
      <w:widowControl/>
      <w:spacing w:before="100" w:beforeAutospacing="1" w:after="100" w:afterAutospacing="1" w:line="240" w:lineRule="auto"/>
      <w:jc w:val="left"/>
    </w:pPr>
    <w:rPr>
      <w:rFonts w:ascii="宋体" w:hAnsi="宋体" w:cs="宋体"/>
      <w:b/>
      <w:bCs/>
      <w:color w:val="000000"/>
      <w:kern w:val="0"/>
      <w:sz w:val="24"/>
      <w:szCs w:val="24"/>
    </w:rPr>
  </w:style>
  <w:style w:type="paragraph" w:customStyle="1" w:styleId="129">
    <w:name w:val="et8"/>
    <w:basedOn w:val="1"/>
    <w:uiPriority w:val="0"/>
    <w:pPr>
      <w:widowControl/>
      <w:spacing w:before="100" w:beforeAutospacing="1" w:after="100" w:afterAutospacing="1" w:line="240" w:lineRule="auto"/>
      <w:jc w:val="left"/>
    </w:pPr>
    <w:rPr>
      <w:rFonts w:ascii="宋体" w:hAnsi="宋体" w:cs="宋体"/>
      <w:color w:val="000000"/>
      <w:kern w:val="0"/>
      <w:sz w:val="24"/>
      <w:szCs w:val="24"/>
    </w:rPr>
  </w:style>
  <w:style w:type="paragraph" w:customStyle="1" w:styleId="130">
    <w:name w:val="et9"/>
    <w:basedOn w:val="1"/>
    <w:uiPriority w:val="0"/>
    <w:pPr>
      <w:widowControl/>
      <w:spacing w:before="100" w:beforeAutospacing="1" w:after="100" w:afterAutospacing="1" w:line="240" w:lineRule="auto"/>
      <w:jc w:val="left"/>
      <w:textAlignment w:val="top"/>
    </w:pPr>
    <w:rPr>
      <w:rFonts w:ascii="宋体" w:hAnsi="宋体" w:cs="宋体"/>
      <w:color w:val="000000"/>
      <w:kern w:val="0"/>
      <w:sz w:val="24"/>
      <w:szCs w:val="24"/>
    </w:rPr>
  </w:style>
  <w:style w:type="paragraph" w:customStyle="1" w:styleId="131">
    <w:name w:val="et10"/>
    <w:basedOn w:val="1"/>
    <w:uiPriority w:val="0"/>
    <w:pPr>
      <w:widowControl/>
      <w:spacing w:before="100" w:beforeAutospacing="1" w:after="100" w:afterAutospacing="1" w:line="240" w:lineRule="auto"/>
      <w:jc w:val="left"/>
    </w:pPr>
    <w:rPr>
      <w:rFonts w:ascii="宋体" w:hAnsi="宋体" w:cs="宋体"/>
      <w:b/>
      <w:bCs/>
      <w:color w:val="000000"/>
      <w:kern w:val="0"/>
      <w:sz w:val="24"/>
      <w:szCs w:val="24"/>
    </w:rPr>
  </w:style>
  <w:style w:type="paragraph" w:customStyle="1" w:styleId="132">
    <w:name w:val="et11"/>
    <w:basedOn w:val="1"/>
    <w:uiPriority w:val="0"/>
    <w:pPr>
      <w:widowControl/>
      <w:spacing w:before="100" w:beforeAutospacing="1" w:after="100" w:afterAutospacing="1" w:line="240" w:lineRule="auto"/>
      <w:jc w:val="center"/>
    </w:pPr>
    <w:rPr>
      <w:rFonts w:ascii="方正小标宋简体" w:hAnsi="宋体" w:eastAsia="方正小标宋简体" w:cs="宋体"/>
      <w:b/>
      <w:bCs/>
      <w:color w:val="000000"/>
      <w:kern w:val="0"/>
      <w:szCs w:val="28"/>
    </w:rPr>
  </w:style>
  <w:style w:type="paragraph" w:customStyle="1" w:styleId="133">
    <w:name w:val="et12"/>
    <w:basedOn w:val="1"/>
    <w:uiPriority w:val="0"/>
    <w:pPr>
      <w:widowControl/>
      <w:spacing w:before="100" w:beforeAutospacing="1" w:after="100" w:afterAutospacing="1" w:line="240" w:lineRule="auto"/>
      <w:jc w:val="left"/>
    </w:pPr>
    <w:rPr>
      <w:rFonts w:ascii="方正小标宋简体" w:hAnsi="宋体" w:eastAsia="方正小标宋简体" w:cs="宋体"/>
      <w:b/>
      <w:bCs/>
      <w:color w:val="000000"/>
      <w:kern w:val="0"/>
      <w:szCs w:val="28"/>
    </w:rPr>
  </w:style>
  <w:style w:type="paragraph" w:customStyle="1" w:styleId="134">
    <w:name w:val="et1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35">
    <w:name w:val="et1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36">
    <w:name w:val="et1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37">
    <w:name w:val="et1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38">
    <w:name w:val="et1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b/>
      <w:bCs/>
      <w:color w:val="000000"/>
      <w:kern w:val="0"/>
      <w:sz w:val="24"/>
      <w:szCs w:val="24"/>
    </w:rPr>
  </w:style>
  <w:style w:type="paragraph" w:customStyle="1" w:styleId="139">
    <w:name w:val="et1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b/>
      <w:bCs/>
      <w:color w:val="000000"/>
      <w:kern w:val="0"/>
      <w:sz w:val="24"/>
      <w:szCs w:val="24"/>
    </w:rPr>
  </w:style>
  <w:style w:type="paragraph" w:customStyle="1" w:styleId="140">
    <w:name w:val="et1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4"/>
      <w:szCs w:val="24"/>
    </w:rPr>
  </w:style>
  <w:style w:type="paragraph" w:customStyle="1" w:styleId="141">
    <w:name w:val="et2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42">
    <w:name w:val="et2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43">
    <w:name w:val="et2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44">
    <w:name w:val="et2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pPr>
    <w:rPr>
      <w:rFonts w:ascii="宋体" w:hAnsi="宋体" w:cs="宋体"/>
      <w:color w:val="000000"/>
      <w:kern w:val="0"/>
      <w:sz w:val="24"/>
      <w:szCs w:val="24"/>
    </w:rPr>
  </w:style>
  <w:style w:type="paragraph" w:customStyle="1" w:styleId="145">
    <w:name w:val="et2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4"/>
      <w:szCs w:val="24"/>
    </w:rPr>
  </w:style>
  <w:style w:type="paragraph" w:customStyle="1" w:styleId="146">
    <w:name w:val="et2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47">
    <w:name w:val="et2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48">
    <w:name w:val="et2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4"/>
      <w:szCs w:val="24"/>
    </w:rPr>
  </w:style>
  <w:style w:type="paragraph" w:customStyle="1" w:styleId="149">
    <w:name w:val="et2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50">
    <w:name w:val="et2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0"/>
      <w:szCs w:val="20"/>
    </w:rPr>
  </w:style>
  <w:style w:type="paragraph" w:customStyle="1" w:styleId="151">
    <w:name w:val="et3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0"/>
      <w:szCs w:val="20"/>
    </w:rPr>
  </w:style>
  <w:style w:type="paragraph" w:customStyle="1" w:styleId="152">
    <w:name w:val="et3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0"/>
      <w:szCs w:val="20"/>
    </w:rPr>
  </w:style>
  <w:style w:type="paragraph" w:customStyle="1" w:styleId="153">
    <w:name w:val="et3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54">
    <w:name w:val="et3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55">
    <w:name w:val="et3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56">
    <w:name w:val="et3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57">
    <w:name w:val="et3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0"/>
      <w:szCs w:val="20"/>
    </w:rPr>
  </w:style>
  <w:style w:type="paragraph" w:customStyle="1" w:styleId="158">
    <w:name w:val="et3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59">
    <w:name w:val="et3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60">
    <w:name w:val="et3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61">
    <w:name w:val="et4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4"/>
      <w:szCs w:val="24"/>
    </w:rPr>
  </w:style>
  <w:style w:type="paragraph" w:customStyle="1" w:styleId="162">
    <w:name w:val="et4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4"/>
      <w:szCs w:val="24"/>
    </w:rPr>
  </w:style>
  <w:style w:type="paragraph" w:customStyle="1" w:styleId="163">
    <w:name w:val="et4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64">
    <w:name w:val="et4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65">
    <w:name w:val="et44"/>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textAlignment w:val="top"/>
    </w:pPr>
    <w:rPr>
      <w:rFonts w:ascii="宋体" w:hAnsi="宋体" w:cs="宋体"/>
      <w:color w:val="000000"/>
      <w:kern w:val="0"/>
      <w:sz w:val="24"/>
      <w:szCs w:val="24"/>
    </w:rPr>
  </w:style>
  <w:style w:type="paragraph" w:customStyle="1" w:styleId="166">
    <w:name w:val="et4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color w:val="000000"/>
      <w:kern w:val="0"/>
      <w:sz w:val="24"/>
      <w:szCs w:val="24"/>
    </w:rPr>
  </w:style>
  <w:style w:type="paragraph" w:customStyle="1" w:styleId="167">
    <w:name w:val="et4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68">
    <w:name w:val="et4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0"/>
      <w:szCs w:val="20"/>
    </w:rPr>
  </w:style>
  <w:style w:type="paragraph" w:customStyle="1" w:styleId="169">
    <w:name w:val="et4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b/>
      <w:bCs/>
      <w:color w:val="000000"/>
      <w:kern w:val="0"/>
      <w:sz w:val="24"/>
      <w:szCs w:val="24"/>
    </w:rPr>
  </w:style>
  <w:style w:type="paragraph" w:customStyle="1" w:styleId="170">
    <w:name w:val="et4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71">
    <w:name w:val="et5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pPr>
    <w:rPr>
      <w:rFonts w:ascii="宋体" w:hAnsi="宋体" w:cs="宋体"/>
      <w:b/>
      <w:bCs/>
      <w:color w:val="000000"/>
      <w:kern w:val="0"/>
      <w:sz w:val="24"/>
      <w:szCs w:val="24"/>
    </w:rPr>
  </w:style>
  <w:style w:type="paragraph" w:customStyle="1" w:styleId="172">
    <w:name w:val="et5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b/>
      <w:bCs/>
      <w:color w:val="000000"/>
      <w:kern w:val="0"/>
      <w:sz w:val="24"/>
      <w:szCs w:val="24"/>
    </w:rPr>
  </w:style>
  <w:style w:type="paragraph" w:customStyle="1" w:styleId="173">
    <w:name w:val="et5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left"/>
    </w:pPr>
    <w:rPr>
      <w:rFonts w:ascii="宋体" w:hAnsi="宋体" w:cs="宋体"/>
      <w:color w:val="000000"/>
      <w:kern w:val="0"/>
      <w:sz w:val="20"/>
      <w:szCs w:val="20"/>
    </w:rPr>
  </w:style>
  <w:style w:type="character" w:customStyle="1" w:styleId="174">
    <w:name w:val="font11"/>
    <w:basedOn w:val="31"/>
    <w:uiPriority w:val="0"/>
    <w:rPr>
      <w:rFonts w:hint="eastAsia" w:ascii="宋体" w:hAnsi="宋体" w:eastAsia="宋体"/>
      <w:color w:val="000000"/>
      <w:sz w:val="22"/>
      <w:szCs w:val="22"/>
      <w:u w:val="none"/>
    </w:rPr>
  </w:style>
  <w:style w:type="character" w:customStyle="1" w:styleId="175">
    <w:name w:val="font101"/>
    <w:basedOn w:val="31"/>
    <w:uiPriority w:val="0"/>
    <w:rPr>
      <w:rFonts w:hint="eastAsia" w:ascii="宋体" w:hAnsi="宋体" w:eastAsia="宋体"/>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9BC337-CA63-49AB-9A50-8FB72ACD5F15}">
  <ds:schemaRefs/>
</ds:datastoreItem>
</file>

<file path=docProps/app.xml><?xml version="1.0" encoding="utf-8"?>
<Properties xmlns="http://schemas.openxmlformats.org/officeDocument/2006/extended-properties" xmlns:vt="http://schemas.openxmlformats.org/officeDocument/2006/docPropsVTypes">
  <Template>Normal</Template>
  <Pages>108</Pages>
  <Words>1683</Words>
  <Characters>1827</Characters>
  <Lines>421</Lines>
  <Paragraphs>118</Paragraphs>
  <TotalTime>3746</TotalTime>
  <ScaleCrop>false</ScaleCrop>
  <LinksUpToDate>false</LinksUpToDate>
  <CharactersWithSpaces>1936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2025-11-07T00:16:00Z</dcterms:created>
  <dc:creator>PC</dc:creator>
  <cp:lastModifiedBy>晴天</cp:lastModifiedBy>
  <cp:lastPrinted>2025-12-14T14:25:00Z</cp:lastPrinted>
  <dcterms:modified xsi:type="dcterms:W3CDTF">2026-06-15T06:51:35Z</dcterms:modified>
  <cp:revision>464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eyJoZGlkIjoiMmVhYTM0MTJlZWJmNzA3YWU1MWQyNDhhZWRlNmQ5YWMiLCJ1c2VySWQiOiI4MjIxOTIwNzkifQ==</vt:lpwstr>
  </property>
  <property fmtid="{D5CDD505-2E9C-101B-9397-08002B2CF9AE}" pid="3" name="KSOProductBuildVer">
    <vt:lpwstr>2052-12.1.0.26895</vt:lpwstr>
  </property>
  <property fmtid="{D5CDD505-2E9C-101B-9397-08002B2CF9AE}" pid="4" name="ICV">
    <vt:lpwstr>F690E7C634894FA3BE5528ABB8F76414_13</vt:lpwstr>
  </property>
</Properties>
</file>