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7E8978">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黑体" w:hAnsi="黑体" w:eastAsia="黑体" w:cs="黑体"/>
          <w:sz w:val="32"/>
          <w:szCs w:val="32"/>
          <w:lang w:val="en-US" w:eastAsia="zh-CN"/>
        </w:rPr>
      </w:pPr>
      <w:bookmarkStart w:id="0" w:name="_GoBack"/>
      <w:bookmarkEnd w:id="0"/>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14:paraId="73EAEAC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eastAsia="zh-CN"/>
        </w:rPr>
      </w:pPr>
    </w:p>
    <w:p w14:paraId="6AF0D83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长汀县</w:t>
      </w:r>
      <w:r>
        <w:rPr>
          <w:rFonts w:hint="eastAsia" w:ascii="方正小标宋简体" w:hAnsi="方正小标宋简体" w:eastAsia="方正小标宋简体" w:cs="方正小标宋简体"/>
          <w:sz w:val="44"/>
          <w:szCs w:val="44"/>
          <w:lang w:val="en-US" w:eastAsia="zh-CN"/>
        </w:rPr>
        <w:t>2026年粮食烘干中心（点）</w:t>
      </w:r>
    </w:p>
    <w:p w14:paraId="7CFE63A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en-US" w:eastAsia="zh-CN"/>
        </w:rPr>
        <w:t>建设实施方案</w:t>
      </w:r>
    </w:p>
    <w:p w14:paraId="1E7193F2">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黑体" w:hAnsi="黑体" w:eastAsia="黑体" w:cs="黑体"/>
          <w:sz w:val="36"/>
          <w:szCs w:val="36"/>
          <w:lang w:eastAsia="zh-CN"/>
        </w:rPr>
      </w:pPr>
    </w:p>
    <w:p w14:paraId="08E1261E">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i w:val="0"/>
          <w:iCs w:val="0"/>
          <w:caps w:val="0"/>
          <w:color w:val="333333"/>
          <w:spacing w:val="0"/>
          <w:sz w:val="32"/>
          <w:szCs w:val="32"/>
          <w:lang w:val="en-US" w:eastAsia="zh-CN"/>
        </w:rPr>
      </w:pPr>
      <w:r>
        <w:rPr>
          <w:rFonts w:hint="eastAsia" w:ascii="宋体" w:hAnsi="宋体" w:eastAsia="宋体" w:cs="宋体"/>
          <w:i w:val="0"/>
          <w:iCs w:val="0"/>
          <w:caps w:val="0"/>
          <w:color w:val="333333"/>
          <w:spacing w:val="0"/>
          <w:sz w:val="24"/>
          <w:szCs w:val="24"/>
          <w:lang w:val="en-US" w:eastAsia="zh-CN"/>
        </w:rPr>
        <w:t xml:space="preserve">    </w:t>
      </w:r>
      <w:r>
        <w:rPr>
          <w:rFonts w:hint="eastAsia" w:ascii="仿宋_GB2312" w:hAnsi="仿宋_GB2312" w:eastAsia="仿宋_GB2312" w:cs="仿宋_GB2312"/>
          <w:i w:val="0"/>
          <w:iCs w:val="0"/>
          <w:caps w:val="0"/>
          <w:color w:val="333333"/>
          <w:spacing w:val="0"/>
          <w:sz w:val="32"/>
          <w:szCs w:val="32"/>
          <w:lang w:val="en-US" w:eastAsia="zh-CN"/>
        </w:rPr>
        <w:t xml:space="preserve"> 根据农业农村部等9部委印发的《加快补上粮油产地烘干能力短板行动方案》（农机发</w:t>
      </w:r>
      <w:r>
        <w:rPr>
          <w:rFonts w:hint="eastAsia" w:ascii="仿宋_GB2312" w:hAnsi="仿宋_GB2312" w:eastAsia="仿宋_GB2312" w:cs="仿宋_GB2312"/>
          <w:i w:val="0"/>
          <w:iCs w:val="0"/>
          <w:caps w:val="0"/>
          <w:color w:val="333333"/>
          <w:spacing w:val="0"/>
          <w:sz w:val="32"/>
          <w:szCs w:val="32"/>
        </w:rPr>
        <w:t>〔202</w:t>
      </w:r>
      <w:r>
        <w:rPr>
          <w:rFonts w:hint="default" w:ascii="仿宋_GB2312" w:hAnsi="仿宋_GB2312" w:eastAsia="仿宋_GB2312" w:cs="仿宋_GB2312"/>
          <w:i w:val="0"/>
          <w:iCs w:val="0"/>
          <w:caps w:val="0"/>
          <w:color w:val="333333"/>
          <w:spacing w:val="0"/>
          <w:sz w:val="32"/>
          <w:szCs w:val="32"/>
          <w:lang w:val="en-US"/>
        </w:rPr>
        <w:t>6</w:t>
      </w:r>
      <w:r>
        <w:rPr>
          <w:rFonts w:hint="eastAsia" w:ascii="仿宋_GB2312" w:hAnsi="仿宋_GB2312" w:eastAsia="仿宋_GB2312" w:cs="仿宋_GB2312"/>
          <w:i w:val="0"/>
          <w:iCs w:val="0"/>
          <w:caps w:val="0"/>
          <w:color w:val="333333"/>
          <w:spacing w:val="0"/>
          <w:sz w:val="32"/>
          <w:szCs w:val="32"/>
        </w:rPr>
        <w:t>〕</w:t>
      </w:r>
      <w:r>
        <w:rPr>
          <w:rFonts w:hint="eastAsia" w:ascii="CESI仿宋-GB2312" w:hAnsi="CESI仿宋-GB2312" w:eastAsia="CESI仿宋-GB2312" w:cs="CESI仿宋-GB2312"/>
          <w:i w:val="0"/>
          <w:iCs w:val="0"/>
          <w:caps w:val="0"/>
          <w:color w:val="333333"/>
          <w:spacing w:val="0"/>
          <w:sz w:val="32"/>
          <w:szCs w:val="32"/>
          <w:lang w:val="en-US" w:eastAsia="zh-CN"/>
        </w:rPr>
        <w:t>2号</w:t>
      </w:r>
      <w:r>
        <w:rPr>
          <w:rFonts w:hint="eastAsia" w:ascii="仿宋_GB2312" w:hAnsi="仿宋_GB2312" w:eastAsia="仿宋_GB2312" w:cs="仿宋_GB2312"/>
          <w:i w:val="0"/>
          <w:iCs w:val="0"/>
          <w:caps w:val="0"/>
          <w:color w:val="333333"/>
          <w:spacing w:val="0"/>
          <w:sz w:val="32"/>
          <w:szCs w:val="32"/>
          <w:lang w:val="en-US" w:eastAsia="zh-CN"/>
        </w:rPr>
        <w:t>）和《福建省农业农村厅 福建省财政厅关于农机购置补贴资金用于粮食产地烘干能力建设有关事项的通知》（闽农机</w:t>
      </w:r>
      <w:r>
        <w:rPr>
          <w:rFonts w:hint="eastAsia" w:ascii="仿宋_GB2312" w:hAnsi="仿宋_GB2312" w:eastAsia="仿宋_GB2312" w:cs="仿宋_GB2312"/>
          <w:i w:val="0"/>
          <w:iCs w:val="0"/>
          <w:caps w:val="0"/>
          <w:color w:val="333333"/>
          <w:spacing w:val="0"/>
          <w:sz w:val="32"/>
          <w:szCs w:val="32"/>
        </w:rPr>
        <w:t>〔2024〕</w:t>
      </w:r>
      <w:r>
        <w:rPr>
          <w:rFonts w:hint="eastAsia" w:ascii="CESI仿宋-GB2312" w:hAnsi="CESI仿宋-GB2312" w:eastAsia="CESI仿宋-GB2312" w:cs="CESI仿宋-GB2312"/>
          <w:i w:val="0"/>
          <w:iCs w:val="0"/>
          <w:caps w:val="0"/>
          <w:color w:val="333333"/>
          <w:spacing w:val="0"/>
          <w:sz w:val="32"/>
          <w:szCs w:val="32"/>
          <w:lang w:val="en-US" w:eastAsia="zh-CN"/>
        </w:rPr>
        <w:t>6号</w:t>
      </w:r>
      <w:r>
        <w:rPr>
          <w:rFonts w:hint="eastAsia" w:ascii="仿宋_GB2312" w:hAnsi="仿宋_GB2312" w:eastAsia="仿宋_GB2312" w:cs="仿宋_GB2312"/>
          <w:i w:val="0"/>
          <w:iCs w:val="0"/>
          <w:caps w:val="0"/>
          <w:color w:val="333333"/>
          <w:spacing w:val="0"/>
          <w:sz w:val="32"/>
          <w:szCs w:val="32"/>
          <w:lang w:val="en-US" w:eastAsia="zh-CN"/>
        </w:rPr>
        <w:t>）精神，为发挥农机购置与应用补贴政策引领带动作用，稳步提升我县粮油烘干能力，现制定2026年县粮食烘干中心（点）建设实施方案如下：</w:t>
      </w:r>
    </w:p>
    <w:p w14:paraId="5886058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一、目标任务</w:t>
      </w:r>
    </w:p>
    <w:p w14:paraId="10708D4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坚持市场主导、政府扶持，科学规划、统筹推进，规范引领、科技支撑，绿色发展、保障安全的基本原则，进一步</w:t>
      </w:r>
      <w:r>
        <w:rPr>
          <w:rFonts w:hint="eastAsia" w:ascii="仿宋_GB2312" w:hAnsi="仿宋_GB2312" w:eastAsia="仿宋_GB2312" w:cs="仿宋_GB2312"/>
          <w:sz w:val="32"/>
          <w:szCs w:val="32"/>
        </w:rPr>
        <w:t>推广</w:t>
      </w:r>
      <w:r>
        <w:rPr>
          <w:rFonts w:hint="eastAsia" w:ascii="仿宋_GB2312" w:hAnsi="仿宋_GB2312" w:eastAsia="仿宋_GB2312" w:cs="仿宋_GB2312"/>
          <w:sz w:val="32"/>
          <w:szCs w:val="32"/>
          <w:lang w:eastAsia="zh-CN"/>
        </w:rPr>
        <w:t>绿色智能</w:t>
      </w:r>
      <w:r>
        <w:rPr>
          <w:rFonts w:hint="eastAsia" w:ascii="仿宋_GB2312" w:hAnsi="仿宋_GB2312" w:eastAsia="仿宋_GB2312" w:cs="仿宋_GB2312"/>
          <w:sz w:val="32"/>
          <w:szCs w:val="32"/>
        </w:rPr>
        <w:t>烘干设备</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建设或改造提升老旧烘干设施设备，</w:t>
      </w:r>
      <w:r>
        <w:rPr>
          <w:rFonts w:hint="eastAsia" w:ascii="仿宋_GB2312" w:hAnsi="仿宋_GB2312" w:eastAsia="仿宋_GB2312" w:cs="仿宋_GB2312"/>
          <w:sz w:val="32"/>
          <w:szCs w:val="32"/>
        </w:rPr>
        <w:t>全面补上烘干设施装备短板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优化我县粮食烘干能力布局，</w:t>
      </w:r>
      <w:r>
        <w:rPr>
          <w:rFonts w:hint="eastAsia" w:ascii="仿宋_GB2312" w:hAnsi="仿宋_GB2312" w:eastAsia="仿宋_GB2312" w:cs="仿宋_GB2312"/>
          <w:sz w:val="32"/>
          <w:szCs w:val="32"/>
          <w:lang w:eastAsia="zh-CN"/>
        </w:rPr>
        <w:t>构建烘干中心与烘干点相结合的粮食产地烘干体系，力争“十五五”时期我县粮食</w:t>
      </w:r>
      <w:r>
        <w:rPr>
          <w:rFonts w:hint="eastAsia" w:ascii="仿宋_GB2312" w:hAnsi="仿宋_GB2312" w:eastAsia="仿宋_GB2312" w:cs="仿宋_GB2312"/>
          <w:sz w:val="32"/>
          <w:szCs w:val="32"/>
        </w:rPr>
        <w:t>烘干能力</w:t>
      </w:r>
      <w:r>
        <w:rPr>
          <w:rFonts w:hint="eastAsia" w:ascii="仿宋_GB2312" w:hAnsi="仿宋_GB2312" w:eastAsia="仿宋_GB2312" w:cs="仿宋_GB2312"/>
          <w:sz w:val="32"/>
          <w:szCs w:val="32"/>
          <w:lang w:eastAsia="zh-CN"/>
        </w:rPr>
        <w:t>得到全面有效提升</w:t>
      </w:r>
      <w:r>
        <w:rPr>
          <w:rFonts w:hint="eastAsia" w:ascii="仿宋_GB2312" w:hAnsi="仿宋_GB2312" w:eastAsia="仿宋_GB2312" w:cs="仿宋_GB2312"/>
          <w:sz w:val="32"/>
          <w:szCs w:val="32"/>
          <w:lang w:val="en-US" w:eastAsia="zh-CN"/>
        </w:rPr>
        <w:t>。今年我县新建4个烘干中心（点），</w:t>
      </w:r>
      <w:r>
        <w:rPr>
          <w:rFonts w:hint="eastAsia" w:ascii="仿宋_GB2312" w:hAnsi="仿宋_GB2312" w:eastAsia="仿宋_GB2312" w:cs="仿宋_GB2312"/>
          <w:sz w:val="32"/>
          <w:szCs w:val="32"/>
          <w:lang w:eastAsia="zh-CN"/>
        </w:rPr>
        <w:t>年底全县烘干能力达</w:t>
      </w:r>
      <w:r>
        <w:rPr>
          <w:rFonts w:hint="eastAsia" w:ascii="仿宋_GB2312" w:hAnsi="仿宋_GB2312" w:eastAsia="仿宋_GB2312" w:cs="仿宋_GB2312"/>
          <w:sz w:val="32"/>
          <w:szCs w:val="32"/>
          <w:lang w:val="en-US" w:eastAsia="zh-CN"/>
        </w:rPr>
        <w:t>98%以上，为增强农业防灾救灾能力、确保粮食稳产保供提供有力支撑。</w:t>
      </w:r>
    </w:p>
    <w:p w14:paraId="49BEE17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二、总体要求</w:t>
      </w:r>
    </w:p>
    <w:p w14:paraId="0728F3E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3" w:firstLineChars="200"/>
        <w:jc w:val="left"/>
        <w:textAlignment w:val="auto"/>
        <w:rPr>
          <w:rFonts w:hint="eastAsia" w:ascii="仿宋_GB2312" w:hAnsi="仿宋_GB2312" w:eastAsia="仿宋_GB2312" w:cs="仿宋_GB2312"/>
          <w:sz w:val="32"/>
          <w:szCs w:val="32"/>
        </w:rPr>
      </w:pPr>
      <w:r>
        <w:rPr>
          <w:rFonts w:hint="eastAsia" w:ascii="国标楷体-GB/T 2312" w:hAnsi="国标楷体-GB/T 2312" w:eastAsia="国标楷体-GB/T 2312" w:cs="国标楷体-GB/T 2312"/>
          <w:b/>
          <w:bCs/>
          <w:sz w:val="32"/>
          <w:szCs w:val="32"/>
          <w:lang w:val="en-US" w:eastAsia="zh-CN"/>
        </w:rPr>
        <w:t>1、</w:t>
      </w:r>
      <w:r>
        <w:rPr>
          <w:rFonts w:hint="eastAsia" w:ascii="国标楷体-GB/T 2312" w:hAnsi="国标楷体-GB/T 2312" w:eastAsia="国标楷体-GB/T 2312" w:cs="国标楷体-GB/T 2312"/>
          <w:b/>
          <w:bCs/>
          <w:sz w:val="32"/>
          <w:szCs w:val="32"/>
        </w:rPr>
        <w:t>布局建设一批标准化粮食烘干中心(点)。</w:t>
      </w:r>
      <w:r>
        <w:rPr>
          <w:rFonts w:hint="eastAsia" w:ascii="仿宋_GB2312" w:hAnsi="仿宋_GB2312" w:eastAsia="仿宋_GB2312" w:cs="仿宋_GB2312"/>
          <w:sz w:val="32"/>
          <w:szCs w:val="32"/>
        </w:rPr>
        <w:t>按服务面积300-500亩布局烘干点，按服务面积1500-2000亩和 5000亩以上两种规模布局烘干中心,建成烘干</w:t>
      </w:r>
      <w:r>
        <w:rPr>
          <w:rFonts w:hint="eastAsia" w:ascii="仿宋_GB2312" w:hAnsi="仿宋_GB2312" w:eastAsia="仿宋_GB2312" w:cs="仿宋_GB2312"/>
          <w:sz w:val="32"/>
          <w:szCs w:val="32"/>
          <w:lang w:eastAsia="zh-CN"/>
        </w:rPr>
        <w:t>中心</w:t>
      </w:r>
      <w:r>
        <w:rPr>
          <w:rFonts w:hint="eastAsia" w:ascii="仿宋_GB2312" w:hAnsi="仿宋_GB2312" w:eastAsia="仿宋_GB2312" w:cs="仿宋_GB2312"/>
          <w:sz w:val="32"/>
          <w:szCs w:val="32"/>
        </w:rPr>
        <w:t>与烘干</w:t>
      </w:r>
      <w:r>
        <w:rPr>
          <w:rFonts w:hint="eastAsia" w:ascii="仿宋_GB2312" w:hAnsi="仿宋_GB2312" w:eastAsia="仿宋_GB2312" w:cs="仿宋_GB2312"/>
          <w:sz w:val="32"/>
          <w:szCs w:val="32"/>
          <w:lang w:eastAsia="zh-CN"/>
        </w:rPr>
        <w:t>点</w:t>
      </w:r>
      <w:r>
        <w:rPr>
          <w:rFonts w:hint="eastAsia" w:ascii="仿宋_GB2312" w:hAnsi="仿宋_GB2312" w:eastAsia="仿宋_GB2312" w:cs="仿宋_GB2312"/>
          <w:sz w:val="32"/>
          <w:szCs w:val="32"/>
        </w:rPr>
        <w:t>相结合的粮食产地烘干体系。烘干点主要完成单一烘干作业，建设内容包括粮食烘干机和配套的清选机、皮带输送机、提升机、除尘系统以及烘干厂区房等，批次处理量50吨以下。烘干中心除烘干作业外，还应具备一定的产地仓储能力，建设内容包括粮食烘干机和配套的清选机、烘前仓、烘后仓、皮带输送机、提升机、除尘系统、仓储设施以及烘干厂区房等，批次处理量50吨以上。</w:t>
      </w:r>
    </w:p>
    <w:p w14:paraId="712CD3D4">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sz w:val="32"/>
          <w:szCs w:val="32"/>
        </w:rPr>
      </w:pPr>
      <w:r>
        <w:rPr>
          <w:rFonts w:hint="eastAsia" w:ascii="国标楷体-GB/T 2312" w:hAnsi="国标楷体-GB/T 2312" w:eastAsia="国标楷体-GB/T 2312" w:cs="国标楷体-GB/T 2312"/>
          <w:b/>
          <w:bCs/>
          <w:sz w:val="32"/>
          <w:szCs w:val="32"/>
          <w:lang w:val="en-US" w:eastAsia="zh-CN"/>
        </w:rPr>
        <w:t>2、</w:t>
      </w:r>
      <w:r>
        <w:rPr>
          <w:rFonts w:hint="eastAsia" w:ascii="国标楷体-GB/T 2312" w:hAnsi="国标楷体-GB/T 2312" w:eastAsia="国标楷体-GB/T 2312" w:cs="国标楷体-GB/T 2312"/>
          <w:b/>
          <w:bCs/>
          <w:sz w:val="32"/>
          <w:szCs w:val="32"/>
        </w:rPr>
        <w:t>推广应用一批先进适用烘干设备。</w:t>
      </w:r>
      <w:r>
        <w:rPr>
          <w:rFonts w:hint="eastAsia" w:ascii="仿宋_GB2312" w:hAnsi="仿宋_GB2312" w:eastAsia="仿宋_GB2312" w:cs="仿宋_GB2312"/>
          <w:sz w:val="32"/>
          <w:szCs w:val="32"/>
        </w:rPr>
        <w:t>充分发挥农机购置与应用补贴政策作用，推广应用烘干设备及配套设施装备。粮食烘干中心(点)重点推广应用粮食烘干成套设施装备，水稻重点推广应用循环式谷物烘干机，杂交水稻种子重点推广应用平床式谷物烘干机</w:t>
      </w:r>
      <w:r>
        <w:rPr>
          <w:rFonts w:hint="eastAsia" w:ascii="仿宋_GB2312" w:hAnsi="仿宋_GB2312" w:eastAsia="仿宋_GB2312" w:cs="仿宋_GB2312"/>
          <w:sz w:val="32"/>
          <w:szCs w:val="32"/>
          <w:lang w:eastAsia="zh-CN"/>
        </w:rPr>
        <w:t>。</w:t>
      </w:r>
    </w:p>
    <w:p w14:paraId="3952026F">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sz w:val="32"/>
          <w:szCs w:val="32"/>
        </w:rPr>
      </w:pPr>
      <w:r>
        <w:rPr>
          <w:rFonts w:hint="eastAsia" w:ascii="国标楷体-GB/T 2312" w:hAnsi="国标楷体-GB/T 2312" w:eastAsia="国标楷体-GB/T 2312" w:cs="国标楷体-GB/T 2312"/>
          <w:b/>
          <w:bCs/>
          <w:sz w:val="32"/>
          <w:szCs w:val="32"/>
          <w:lang w:val="en-US" w:eastAsia="zh-CN"/>
        </w:rPr>
        <w:t>3、</w:t>
      </w:r>
      <w:r>
        <w:rPr>
          <w:rFonts w:hint="eastAsia" w:ascii="国标楷体-GB/T 2312" w:hAnsi="国标楷体-GB/T 2312" w:eastAsia="国标楷体-GB/T 2312" w:cs="国标楷体-GB/T 2312"/>
          <w:b/>
          <w:bCs/>
          <w:sz w:val="32"/>
          <w:szCs w:val="32"/>
        </w:rPr>
        <w:t>改造提升一批老旧烘干设施装备。</w:t>
      </w:r>
      <w:r>
        <w:rPr>
          <w:rFonts w:hint="eastAsia" w:ascii="仿宋_GB2312" w:hAnsi="仿宋_GB2312" w:eastAsia="仿宋_GB2312" w:cs="仿宋_GB2312"/>
          <w:sz w:val="32"/>
          <w:szCs w:val="32"/>
        </w:rPr>
        <w:t>推进环保节能升级改造，因地制宜采用热泵、电加热、生物质燃料、天然气和太阳能等热源替代燃煤热源，开发创新利用自然空气、太阳能的新型粮食烘储一体化技术，加快与烘干储粮设施配套的环保型清理、输送、除尘设备和多功能粮情测控装置的推广应用。推进智能化升级，加快信息化技术与烘干储粮设施装备相融合，推广烘干作业量自动计量、水分在线测量、烘干机作业情况信息化监测等技术。</w:t>
      </w:r>
    </w:p>
    <w:p w14:paraId="5ECBD25C">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default" w:ascii="国标楷体-GB/T 2312" w:hAnsi="国标楷体-GB/T 2312" w:eastAsia="国标楷体-GB/T 2312" w:cs="国标楷体-GB/T 2312"/>
          <w:b/>
          <w:bCs/>
          <w:sz w:val="32"/>
          <w:szCs w:val="32"/>
        </w:rPr>
      </w:pPr>
      <w:r>
        <w:rPr>
          <w:rFonts w:hint="eastAsia" w:ascii="国标楷体-GB/T 2312" w:hAnsi="国标楷体-GB/T 2312" w:eastAsia="国标楷体-GB/T 2312" w:cs="国标楷体-GB/T 2312"/>
          <w:b/>
          <w:bCs/>
          <w:sz w:val="32"/>
          <w:szCs w:val="32"/>
          <w:lang w:val="en-US" w:eastAsia="zh-CN"/>
        </w:rPr>
        <w:t>4、增强烘干作业服务能力。</w:t>
      </w:r>
      <w:r>
        <w:rPr>
          <w:rFonts w:hint="eastAsia" w:ascii="仿宋_GB2312" w:hAnsi="仿宋_GB2312" w:eastAsia="仿宋_GB2312" w:cs="仿宋_GB2312"/>
          <w:sz w:val="32"/>
          <w:szCs w:val="32"/>
          <w:lang w:val="en-US" w:eastAsia="zh-CN"/>
        </w:rPr>
        <w:t>引导新型农业服务主体和经营主体建设粮食产后烘干及仓储服务设施，创新服务机制，提升设备共享与服务能力。培育发展“全程机械化+综合农事服务”等粮食产地烘干社会化服务新模式、新业态。将具备条件的烘干服务组织列入农机应急作业服务体系，鼓励其按照平时和应急结合的原则积极承担应急救灾任务，探索灾害性天气下的烘干服务模式，提高烘干应急保障能力。</w:t>
      </w:r>
    </w:p>
    <w:p w14:paraId="5F1A499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b w:val="0"/>
          <w:bCs w:val="0"/>
          <w:color w:val="auto"/>
          <w:sz w:val="32"/>
          <w:szCs w:val="32"/>
          <w:lang w:eastAsia="zh-CN"/>
        </w:rPr>
      </w:pPr>
      <w:r>
        <w:rPr>
          <w:rFonts w:hint="eastAsia" w:ascii="黑体" w:hAnsi="黑体" w:eastAsia="黑体" w:cs="黑体"/>
          <w:b w:val="0"/>
          <w:bCs w:val="0"/>
          <w:color w:val="auto"/>
          <w:sz w:val="32"/>
          <w:szCs w:val="32"/>
          <w:lang w:eastAsia="zh-CN"/>
        </w:rPr>
        <w:t>三、建设内容及补贴标准</w:t>
      </w:r>
    </w:p>
    <w:p w14:paraId="1F138CF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12" w:firstLineChars="200"/>
        <w:jc w:val="left"/>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spacing w:val="-7"/>
          <w:sz w:val="32"/>
          <w:szCs w:val="32"/>
        </w:rPr>
        <w:t>对标准化粮食烘干中心(点)</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5"/>
          <w:sz w:val="32"/>
          <w:szCs w:val="32"/>
        </w:rPr>
        <w:t>新购置的烘干成套设施装备给予购置补贴，烘干成套设施装备包</w:t>
      </w:r>
      <w:r>
        <w:rPr>
          <w:rFonts w:hint="eastAsia" w:ascii="仿宋_GB2312" w:hAnsi="仿宋_GB2312" w:eastAsia="仿宋_GB2312" w:cs="仿宋_GB2312"/>
          <w:spacing w:val="-1"/>
          <w:sz w:val="32"/>
          <w:szCs w:val="32"/>
        </w:rPr>
        <w:t>括粮食烘干机</w:t>
      </w:r>
      <w:r>
        <w:rPr>
          <w:rFonts w:hint="eastAsia" w:ascii="仿宋_GB2312" w:hAnsi="仿宋_GB2312" w:eastAsia="仿宋_GB2312" w:cs="仿宋_GB2312"/>
          <w:spacing w:val="-1"/>
          <w:sz w:val="32"/>
          <w:szCs w:val="32"/>
          <w:lang w:eastAsia="zh-CN"/>
        </w:rPr>
        <w:t>、热源设备、</w:t>
      </w:r>
      <w:r>
        <w:rPr>
          <w:rFonts w:hint="eastAsia" w:ascii="仿宋_GB2312" w:hAnsi="仿宋_GB2312" w:eastAsia="仿宋_GB2312" w:cs="仿宋_GB2312"/>
          <w:spacing w:val="-1"/>
          <w:sz w:val="32"/>
          <w:szCs w:val="32"/>
        </w:rPr>
        <w:t>清</w:t>
      </w:r>
      <w:r>
        <w:rPr>
          <w:rFonts w:hint="eastAsia" w:ascii="仿宋_GB2312" w:hAnsi="仿宋_GB2312" w:eastAsia="仿宋_GB2312" w:cs="仿宋_GB2312"/>
          <w:spacing w:val="-1"/>
          <w:sz w:val="32"/>
          <w:szCs w:val="32"/>
          <w:lang w:eastAsia="zh-CN"/>
        </w:rPr>
        <w:t>选</w:t>
      </w:r>
      <w:r>
        <w:rPr>
          <w:rFonts w:hint="eastAsia" w:ascii="仿宋_GB2312" w:hAnsi="仿宋_GB2312" w:eastAsia="仿宋_GB2312" w:cs="仿宋_GB2312"/>
          <w:spacing w:val="-1"/>
          <w:sz w:val="32"/>
          <w:szCs w:val="32"/>
        </w:rPr>
        <w:t>机、</w:t>
      </w:r>
      <w:r>
        <w:rPr>
          <w:rFonts w:hint="eastAsia" w:ascii="仿宋_GB2312" w:hAnsi="仿宋_GB2312" w:eastAsia="仿宋_GB2312" w:cs="仿宋_GB2312"/>
          <w:spacing w:val="-1"/>
          <w:sz w:val="32"/>
          <w:szCs w:val="32"/>
          <w:lang w:eastAsia="zh-CN"/>
        </w:rPr>
        <w:t>烘前仓、烘后仓、</w:t>
      </w:r>
      <w:r>
        <w:rPr>
          <w:rFonts w:hint="eastAsia" w:ascii="仿宋_GB2312" w:hAnsi="仿宋_GB2312" w:eastAsia="仿宋_GB2312" w:cs="仿宋_GB2312"/>
          <w:spacing w:val="-1"/>
          <w:sz w:val="32"/>
          <w:szCs w:val="32"/>
        </w:rPr>
        <w:t>输送机</w:t>
      </w:r>
      <w:r>
        <w:rPr>
          <w:rFonts w:hint="eastAsia" w:ascii="仿宋_GB2312" w:hAnsi="仿宋_GB2312" w:eastAsia="仿宋_GB2312" w:cs="仿宋_GB2312"/>
          <w:spacing w:val="-1"/>
          <w:sz w:val="32"/>
          <w:szCs w:val="32"/>
          <w:lang w:eastAsia="zh-CN"/>
        </w:rPr>
        <w:t>、提升机、数字化管理</w:t>
      </w:r>
      <w:r>
        <w:rPr>
          <w:rFonts w:hint="eastAsia" w:ascii="仿宋_GB2312" w:hAnsi="仿宋_GB2312" w:eastAsia="仿宋_GB2312" w:cs="仿宋_GB2312"/>
          <w:spacing w:val="-1"/>
          <w:sz w:val="32"/>
          <w:szCs w:val="32"/>
        </w:rPr>
        <w:t>等</w:t>
      </w:r>
      <w:r>
        <w:rPr>
          <w:rFonts w:hint="eastAsia" w:ascii="仿宋_GB2312" w:hAnsi="仿宋_GB2312" w:eastAsia="仿宋_GB2312" w:cs="仿宋_GB2312"/>
          <w:spacing w:val="-1"/>
          <w:sz w:val="32"/>
          <w:szCs w:val="32"/>
          <w:lang w:eastAsia="zh-CN"/>
        </w:rPr>
        <w:t>烘干设施；对</w:t>
      </w:r>
      <w:r>
        <w:rPr>
          <w:rFonts w:hint="eastAsia" w:ascii="仿宋_GB2312" w:hAnsi="仿宋_GB2312" w:eastAsia="仿宋_GB2312" w:cs="仿宋_GB2312"/>
          <w:spacing w:val="-1"/>
          <w:sz w:val="32"/>
          <w:szCs w:val="32"/>
        </w:rPr>
        <w:t>烘干</w:t>
      </w:r>
      <w:r>
        <w:rPr>
          <w:rFonts w:hint="eastAsia" w:ascii="仿宋_GB2312" w:hAnsi="仿宋_GB2312" w:eastAsia="仿宋_GB2312" w:cs="仿宋_GB2312"/>
          <w:spacing w:val="-1"/>
          <w:sz w:val="32"/>
          <w:szCs w:val="32"/>
          <w:lang w:eastAsia="zh-CN"/>
        </w:rPr>
        <w:t>成</w:t>
      </w:r>
      <w:r>
        <w:rPr>
          <w:rFonts w:hint="eastAsia" w:ascii="仿宋_GB2312" w:hAnsi="仿宋_GB2312" w:eastAsia="仿宋_GB2312" w:cs="仿宋_GB2312"/>
          <w:spacing w:val="-1"/>
          <w:sz w:val="32"/>
          <w:szCs w:val="32"/>
        </w:rPr>
        <w:t>套</w:t>
      </w:r>
      <w:r>
        <w:rPr>
          <w:rFonts w:hint="eastAsia" w:ascii="仿宋_GB2312" w:hAnsi="仿宋_GB2312" w:eastAsia="仿宋_GB2312" w:cs="仿宋_GB2312"/>
          <w:spacing w:val="-1"/>
          <w:sz w:val="32"/>
          <w:szCs w:val="32"/>
          <w:lang w:eastAsia="zh-CN"/>
        </w:rPr>
        <w:t>附属设施给予购置补贴，附属设施包括</w:t>
      </w:r>
      <w:r>
        <w:rPr>
          <w:rFonts w:hint="eastAsia" w:ascii="仿宋_GB2312" w:hAnsi="仿宋_GB2312" w:eastAsia="仿宋_GB2312" w:cs="仿宋_GB2312"/>
          <w:spacing w:val="-2"/>
          <w:sz w:val="32"/>
          <w:szCs w:val="32"/>
        </w:rPr>
        <w:t>烘干厂区房、</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14"/>
          <w:sz w:val="32"/>
          <w:szCs w:val="32"/>
        </w:rPr>
        <w:t>除尘室</w:t>
      </w:r>
      <w:r>
        <w:rPr>
          <w:rFonts w:hint="eastAsia" w:ascii="仿宋_GB2312" w:hAnsi="仿宋_GB2312" w:eastAsia="仿宋_GB2312" w:cs="仿宋_GB2312"/>
          <w:spacing w:val="14"/>
          <w:sz w:val="32"/>
          <w:szCs w:val="32"/>
          <w:lang w:eastAsia="zh-CN"/>
        </w:rPr>
        <w:t>、除尘设备、金属储粮筒仓</w:t>
      </w:r>
      <w:r>
        <w:rPr>
          <w:rFonts w:hint="eastAsia" w:ascii="仿宋_GB2312" w:hAnsi="仿宋_GB2312" w:eastAsia="仿宋_GB2312" w:cs="仿宋_GB2312"/>
          <w:spacing w:val="14"/>
          <w:sz w:val="32"/>
          <w:szCs w:val="32"/>
        </w:rPr>
        <w:t>等附属设施</w:t>
      </w:r>
      <w:r>
        <w:rPr>
          <w:rFonts w:hint="eastAsia" w:ascii="仿宋_GB2312" w:hAnsi="仿宋_GB2312" w:eastAsia="仿宋_GB2312" w:cs="仿宋_GB2312"/>
          <w:spacing w:val="14"/>
          <w:sz w:val="32"/>
          <w:szCs w:val="32"/>
          <w:lang w:eastAsia="zh-CN"/>
        </w:rPr>
        <w:t>。</w:t>
      </w:r>
    </w:p>
    <w:p w14:paraId="417D26C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i w:val="0"/>
          <w:iCs w:val="0"/>
          <w:caps w:val="0"/>
          <w:color w:val="333333"/>
          <w:spacing w:val="0"/>
          <w:sz w:val="32"/>
          <w:szCs w:val="32"/>
          <w:lang w:eastAsia="zh-CN"/>
        </w:rPr>
      </w:pPr>
      <w:r>
        <w:rPr>
          <w:rFonts w:hint="eastAsia" w:ascii="仿宋_GB2312" w:hAnsi="仿宋_GB2312" w:eastAsia="仿宋_GB2312" w:cs="仿宋_GB2312"/>
          <w:b w:val="0"/>
          <w:bCs w:val="0"/>
          <w:color w:val="auto"/>
          <w:sz w:val="32"/>
          <w:szCs w:val="32"/>
          <w:lang w:eastAsia="zh-CN"/>
        </w:rPr>
        <w:t>具体实施补贴标准及要求详见</w:t>
      </w:r>
      <w:r>
        <w:rPr>
          <w:rFonts w:hint="eastAsia" w:ascii="仿宋_GB2312" w:hAnsi="仿宋_GB2312" w:eastAsia="仿宋_GB2312" w:cs="仿宋_GB2312"/>
          <w:i w:val="0"/>
          <w:iCs w:val="0"/>
          <w:caps w:val="0"/>
          <w:color w:val="333333"/>
          <w:spacing w:val="0"/>
          <w:sz w:val="32"/>
          <w:szCs w:val="32"/>
        </w:rPr>
        <w:t>《福建省农业农村厅 福建省财政厅关于农机购置补贴资金用于粮食产地烘干能力建设有关事项的通知》（闽农机〔2024〕6号）</w:t>
      </w:r>
      <w:r>
        <w:rPr>
          <w:rFonts w:hint="eastAsia" w:ascii="仿宋_GB2312" w:hAnsi="仿宋_GB2312" w:eastAsia="仿宋_GB2312" w:cs="仿宋_GB2312"/>
          <w:i w:val="0"/>
          <w:iCs w:val="0"/>
          <w:caps w:val="0"/>
          <w:color w:val="333333"/>
          <w:spacing w:val="0"/>
          <w:sz w:val="32"/>
          <w:szCs w:val="32"/>
          <w:lang w:eastAsia="zh-CN"/>
        </w:rPr>
        <w:t>。</w:t>
      </w:r>
    </w:p>
    <w:p w14:paraId="7D17518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、操作程序</w:t>
      </w:r>
    </w:p>
    <w:p w14:paraId="6AC53D8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补贴实行先购后补、县级结算、直补到卡(账)的方式，具体操作程序为：</w:t>
      </w:r>
    </w:p>
    <w:p w14:paraId="205894E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国标楷体-GB/T 2312" w:hAnsi="国标楷体-GB/T 2312" w:eastAsia="国标楷体-GB/T 2312" w:cs="国标楷体-GB/T 2312"/>
          <w:b/>
          <w:bCs/>
          <w:sz w:val="32"/>
          <w:szCs w:val="32"/>
          <w:lang w:eastAsia="zh-CN"/>
        </w:rPr>
        <w:t>（一）</w:t>
      </w:r>
      <w:r>
        <w:rPr>
          <w:rFonts w:hint="eastAsia" w:ascii="国标楷体-GB/T 2312" w:hAnsi="国标楷体-GB/T 2312" w:eastAsia="国标楷体-GB/T 2312" w:cs="国标楷体-GB/T 2312"/>
          <w:b/>
          <w:bCs/>
          <w:sz w:val="32"/>
          <w:szCs w:val="32"/>
        </w:rPr>
        <w:t>确定对象。</w:t>
      </w:r>
      <w:r>
        <w:rPr>
          <w:rFonts w:hint="eastAsia" w:ascii="仿宋_GB2312" w:hAnsi="仿宋_GB2312" w:eastAsia="仿宋_GB2312" w:cs="仿宋_GB2312"/>
          <w:sz w:val="32"/>
          <w:szCs w:val="32"/>
        </w:rPr>
        <w:t>对照</w:t>
      </w:r>
      <w:r>
        <w:rPr>
          <w:rFonts w:hint="eastAsia" w:ascii="仿宋_GB2312" w:hAnsi="仿宋_GB2312" w:eastAsia="仿宋_GB2312" w:cs="仿宋_GB2312"/>
          <w:sz w:val="32"/>
          <w:szCs w:val="32"/>
          <w:lang w:eastAsia="zh-CN"/>
        </w:rPr>
        <w:t>上</w:t>
      </w:r>
      <w:r>
        <w:rPr>
          <w:rFonts w:hint="eastAsia" w:ascii="仿宋_GB2312" w:hAnsi="仿宋_GB2312" w:eastAsia="仿宋_GB2312" w:cs="仿宋_GB2312"/>
          <w:sz w:val="32"/>
          <w:szCs w:val="32"/>
        </w:rPr>
        <w:t>级下达目标任务，综合考虑</w:t>
      </w:r>
      <w:r>
        <w:rPr>
          <w:rFonts w:hint="eastAsia" w:ascii="仿宋_GB2312" w:hAnsi="仿宋_GB2312" w:eastAsia="仿宋_GB2312" w:cs="仿宋_GB2312"/>
          <w:sz w:val="32"/>
          <w:szCs w:val="32"/>
          <w:lang w:eastAsia="zh-CN"/>
        </w:rPr>
        <w:t>我县</w:t>
      </w:r>
      <w:r>
        <w:rPr>
          <w:rFonts w:hint="eastAsia" w:ascii="仿宋_GB2312" w:hAnsi="仿宋_GB2312" w:eastAsia="仿宋_GB2312" w:cs="仿宋_GB2312"/>
          <w:sz w:val="32"/>
          <w:szCs w:val="32"/>
        </w:rPr>
        <w:t>水稻种植分布和产量等布局确定当地拟建设的烘干中心(点)。</w:t>
      </w:r>
    </w:p>
    <w:p w14:paraId="2F7343B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国标楷体-GB/T 2312" w:hAnsi="国标楷体-GB/T 2312" w:eastAsia="国标楷体-GB/T 2312" w:cs="国标楷体-GB/T 2312"/>
          <w:b/>
          <w:bCs/>
          <w:sz w:val="32"/>
          <w:szCs w:val="32"/>
          <w:lang w:eastAsia="zh-CN"/>
        </w:rPr>
        <w:t>（二）</w:t>
      </w:r>
      <w:r>
        <w:rPr>
          <w:rFonts w:hint="eastAsia" w:ascii="国标楷体-GB/T 2312" w:hAnsi="国标楷体-GB/T 2312" w:eastAsia="国标楷体-GB/T 2312" w:cs="国标楷体-GB/T 2312"/>
          <w:b/>
          <w:bCs/>
          <w:sz w:val="32"/>
          <w:szCs w:val="32"/>
        </w:rPr>
        <w:t>申请补贴。</w:t>
      </w:r>
      <w:r>
        <w:rPr>
          <w:rFonts w:hint="eastAsia" w:ascii="仿宋_GB2312" w:hAnsi="仿宋_GB2312" w:eastAsia="仿宋_GB2312" w:cs="仿宋_GB2312"/>
          <w:sz w:val="32"/>
          <w:szCs w:val="32"/>
        </w:rPr>
        <w:t>建设主体对照标准要求购置烘干成套设施装备。投入使用后，建设主体持本人身份证件(农业生产经营组织持法定代表人身份证件和工商营业执照)、购机税控发票、银行卡(折)、烘干厂区房用地凭证资料、烘干中心(点)照片等资料，向县级农机化主管部门提出补贴申请，并填写《福建省标准化粮食烘干中心(点)烘干成套设施装备补贴申请表》</w:t>
      </w:r>
      <w:r>
        <w:rPr>
          <w:rFonts w:hint="eastAsia" w:ascii="仿宋_GB2312" w:hAnsi="仿宋_GB2312" w:eastAsia="仿宋_GB2312" w:cs="仿宋_GB2312"/>
          <w:sz w:val="32"/>
          <w:szCs w:val="32"/>
          <w:lang w:val="en-US" w:eastAsia="zh-CN"/>
        </w:rPr>
        <w:t>。</w:t>
      </w:r>
    </w:p>
    <w:p w14:paraId="2401603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国标楷体-GB/T 2312" w:hAnsi="国标楷体-GB/T 2312" w:eastAsia="国标楷体-GB/T 2312" w:cs="国标楷体-GB/T 2312"/>
          <w:b/>
          <w:bCs/>
          <w:sz w:val="32"/>
          <w:szCs w:val="32"/>
          <w:lang w:eastAsia="zh-CN"/>
        </w:rPr>
        <w:t>（三）</w:t>
      </w:r>
      <w:r>
        <w:rPr>
          <w:rFonts w:hint="eastAsia" w:ascii="国标楷体-GB/T 2312" w:hAnsi="国标楷体-GB/T 2312" w:eastAsia="国标楷体-GB/T 2312" w:cs="国标楷体-GB/T 2312"/>
          <w:b/>
          <w:bCs/>
          <w:sz w:val="32"/>
          <w:szCs w:val="32"/>
        </w:rPr>
        <w:t>受理审核。</w:t>
      </w:r>
      <w:r>
        <w:rPr>
          <w:rFonts w:hint="eastAsia" w:ascii="仿宋_GB2312" w:hAnsi="仿宋_GB2312" w:eastAsia="仿宋_GB2312" w:cs="仿宋_GB2312"/>
          <w:sz w:val="32"/>
          <w:szCs w:val="32"/>
        </w:rPr>
        <w:t>县级农机化主管部门通过福建省农机购置补贴申请办理服务系统受理补贴申请，审核补贴申请材料，组织两名以上工作人员现场核实验收，填写《福建省标准化粮食烘干中心(点)烘干成套设施装备补贴核实验收表》。有条件的可委托有资质的第三方机构现场验收，提供技术支撑。</w:t>
      </w:r>
    </w:p>
    <w:p w14:paraId="160D18C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国标楷体-GB/T 2312" w:hAnsi="国标楷体-GB/T 2312" w:eastAsia="国标楷体-GB/T 2312" w:cs="国标楷体-GB/T 2312"/>
          <w:b/>
          <w:bCs/>
          <w:sz w:val="32"/>
          <w:szCs w:val="32"/>
          <w:lang w:eastAsia="zh-CN"/>
        </w:rPr>
        <w:t>（四）</w:t>
      </w:r>
      <w:r>
        <w:rPr>
          <w:rFonts w:hint="eastAsia" w:ascii="国标楷体-GB/T 2312" w:hAnsi="国标楷体-GB/T 2312" w:eastAsia="国标楷体-GB/T 2312" w:cs="国标楷体-GB/T 2312"/>
          <w:b/>
          <w:bCs/>
          <w:sz w:val="32"/>
          <w:szCs w:val="32"/>
        </w:rPr>
        <w:t>公示信息</w:t>
      </w:r>
      <w:r>
        <w:rPr>
          <w:rFonts w:hint="eastAsia" w:ascii="仿宋_GB2312" w:hAnsi="仿宋_GB2312" w:eastAsia="仿宋_GB2312" w:cs="仿宋_GB2312"/>
          <w:sz w:val="32"/>
          <w:szCs w:val="32"/>
        </w:rPr>
        <w:t>。县级农机化主管部门通过县级农机购置补贴信息公开专栏公示补贴申请信息，公示期为5个工作日。</w:t>
      </w:r>
    </w:p>
    <w:p w14:paraId="0BB56FD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国标楷体-GB/T 2312" w:hAnsi="国标楷体-GB/T 2312" w:eastAsia="国标楷体-GB/T 2312" w:cs="国标楷体-GB/T 2312"/>
          <w:b/>
          <w:bCs/>
          <w:sz w:val="32"/>
          <w:szCs w:val="32"/>
          <w:lang w:eastAsia="zh-CN"/>
        </w:rPr>
        <w:t>（五）</w:t>
      </w:r>
      <w:r>
        <w:rPr>
          <w:rFonts w:hint="eastAsia" w:ascii="国标楷体-GB/T 2312" w:hAnsi="国标楷体-GB/T 2312" w:eastAsia="国标楷体-GB/T 2312" w:cs="国标楷体-GB/T 2312"/>
          <w:b/>
          <w:bCs/>
          <w:sz w:val="32"/>
          <w:szCs w:val="32"/>
        </w:rPr>
        <w:t>兑付资金。</w:t>
      </w:r>
      <w:r>
        <w:rPr>
          <w:rFonts w:hint="eastAsia" w:ascii="仿宋_GB2312" w:hAnsi="仿宋_GB2312" w:eastAsia="仿宋_GB2312" w:cs="仿宋_GB2312"/>
          <w:sz w:val="32"/>
          <w:szCs w:val="32"/>
        </w:rPr>
        <w:t>公示无异议后，按照农机购置补贴有关程序要求兑付补贴资金、公开并留存资料。</w:t>
      </w:r>
    </w:p>
    <w:p w14:paraId="125FE09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五、落实保障措施</w:t>
      </w:r>
    </w:p>
    <w:p w14:paraId="3E0226EE">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i w:val="0"/>
          <w:iCs w:val="0"/>
          <w:caps w:val="0"/>
          <w:color w:val="333333"/>
          <w:spacing w:val="0"/>
          <w:sz w:val="32"/>
          <w:szCs w:val="32"/>
          <w:lang w:val="en-US" w:eastAsia="zh-CN"/>
        </w:rPr>
      </w:pPr>
      <w:r>
        <w:rPr>
          <w:rFonts w:hint="eastAsia" w:ascii="国标楷体-GB/T 2312" w:hAnsi="国标楷体-GB/T 2312" w:eastAsia="国标楷体-GB/T 2312" w:cs="国标楷体-GB/T 2312"/>
          <w:b/>
          <w:bCs/>
          <w:sz w:val="32"/>
          <w:szCs w:val="32"/>
          <w:lang w:val="en-US" w:eastAsia="zh-CN"/>
        </w:rPr>
        <w:t>一要加强组织领导。</w:t>
      </w:r>
      <w:r>
        <w:rPr>
          <w:rFonts w:hint="eastAsia" w:ascii="仿宋_GB2312" w:hAnsi="仿宋_GB2312" w:eastAsia="仿宋_GB2312" w:cs="仿宋_GB2312"/>
          <w:sz w:val="32"/>
          <w:szCs w:val="32"/>
          <w:lang w:val="en-US" w:eastAsia="zh-CN"/>
        </w:rPr>
        <w:t>为保证粮食烘干中心建设工作顺利开展实施，经研究成立长汀县粮食烘干中心（点）建设验收小组。验收小组由曾艳（县农业机械推广站站长）任组长，段琳（县农业机械推广站副站长）任副组长，赖燕萍、吴联荣、吴海龙及烘干中心（点）所在乡镇农机站站长任成员。</w:t>
      </w:r>
      <w:r>
        <w:rPr>
          <w:rFonts w:hint="eastAsia" w:ascii="国标楷体-GB/T 2312" w:hAnsi="国标楷体-GB/T 2312" w:eastAsia="国标楷体-GB/T 2312" w:cs="国标楷体-GB/T 2312"/>
          <w:b/>
          <w:bCs/>
          <w:sz w:val="32"/>
          <w:szCs w:val="32"/>
          <w:lang w:val="en-US" w:eastAsia="zh-CN"/>
        </w:rPr>
        <w:t>二要强化政策支持。</w:t>
      </w:r>
      <w:r>
        <w:rPr>
          <w:rFonts w:hint="eastAsia" w:ascii="仿宋_GB2312" w:hAnsi="仿宋_GB2312" w:eastAsia="仿宋_GB2312" w:cs="仿宋_GB2312"/>
          <w:sz w:val="32"/>
          <w:szCs w:val="32"/>
          <w:lang w:val="en-US" w:eastAsia="zh-CN"/>
        </w:rPr>
        <w:t>做好政策解读和宣传，吸引符合要求的主体积极参与项目实施。落实</w:t>
      </w:r>
      <w:r>
        <w:rPr>
          <w:rFonts w:hint="eastAsia" w:ascii="仿宋_GB2312" w:hAnsi="仿宋_GB2312" w:eastAsia="仿宋_GB2312" w:cs="仿宋_GB2312"/>
          <w:i w:val="0"/>
          <w:iCs w:val="0"/>
          <w:caps w:val="0"/>
          <w:color w:val="333333"/>
          <w:spacing w:val="0"/>
          <w:sz w:val="32"/>
          <w:szCs w:val="32"/>
        </w:rPr>
        <w:t>《福建省农业农村厅 福建省财政厅关于农机购置补贴资金用于粮食产地烘干能力建设有关事项的通知》（闽农机〔2024〕6号）</w:t>
      </w:r>
      <w:r>
        <w:rPr>
          <w:rFonts w:hint="eastAsia" w:ascii="仿宋_GB2312" w:hAnsi="仿宋_GB2312" w:eastAsia="仿宋_GB2312" w:cs="仿宋_GB2312"/>
          <w:i w:val="0"/>
          <w:iCs w:val="0"/>
          <w:caps w:val="0"/>
          <w:color w:val="333333"/>
          <w:spacing w:val="0"/>
          <w:sz w:val="32"/>
          <w:szCs w:val="32"/>
          <w:lang w:eastAsia="zh-CN"/>
        </w:rPr>
        <w:t>要求，对</w:t>
      </w:r>
      <w:r>
        <w:rPr>
          <w:rFonts w:hint="eastAsia" w:ascii="仿宋_GB2312" w:hAnsi="仿宋_GB2312" w:eastAsia="仿宋_GB2312" w:cs="仿宋_GB2312"/>
          <w:i w:val="0"/>
          <w:iCs w:val="0"/>
          <w:caps w:val="0"/>
          <w:color w:val="333333"/>
          <w:spacing w:val="0"/>
          <w:sz w:val="32"/>
          <w:szCs w:val="32"/>
          <w:lang w:val="en-US" w:eastAsia="zh-CN"/>
        </w:rPr>
        <w:t>2026年新建、改造提升的标准化粮食烘干中心（点）给予补助。县级农机化主管部门要及时受理补贴申请，项目建成后，及时组织核验、公示、提交结算材料，协调财政部门按有关程序和要求及时拨付资金。</w:t>
      </w:r>
      <w:r>
        <w:rPr>
          <w:rFonts w:hint="eastAsia" w:ascii="国标楷体-GB/T 2312" w:hAnsi="国标楷体-GB/T 2312" w:eastAsia="国标楷体-GB/T 2312" w:cs="国标楷体-GB/T 2312"/>
          <w:b/>
          <w:bCs/>
          <w:i w:val="0"/>
          <w:iCs w:val="0"/>
          <w:caps w:val="0"/>
          <w:color w:val="333333"/>
          <w:spacing w:val="0"/>
          <w:sz w:val="32"/>
          <w:szCs w:val="32"/>
          <w:lang w:val="en-US" w:eastAsia="zh-CN"/>
        </w:rPr>
        <w:t>三要做好跟踪指导。</w:t>
      </w:r>
      <w:r>
        <w:rPr>
          <w:rFonts w:hint="eastAsia" w:ascii="仿宋_GB2312" w:hAnsi="仿宋_GB2312" w:eastAsia="仿宋_GB2312" w:cs="仿宋_GB2312"/>
          <w:i w:val="0"/>
          <w:iCs w:val="0"/>
          <w:caps w:val="0"/>
          <w:color w:val="333333"/>
          <w:spacing w:val="0"/>
          <w:sz w:val="32"/>
          <w:szCs w:val="32"/>
          <w:lang w:val="en-US" w:eastAsia="zh-CN"/>
        </w:rPr>
        <w:t>县级农机化主管部门要对照任务和申报情况，及时了解烘干中心（点）建设进展、存在问题等，协同推进粮食烘干中心（点）按序时进度完成开工、投产及验收工作。</w:t>
      </w:r>
    </w:p>
    <w:p w14:paraId="31447D4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i w:val="0"/>
          <w:iCs w:val="0"/>
          <w:caps w:val="0"/>
          <w:color w:val="333333"/>
          <w:spacing w:val="0"/>
          <w:sz w:val="32"/>
          <w:szCs w:val="32"/>
          <w:lang w:val="en-US" w:eastAsia="zh-CN"/>
        </w:rPr>
      </w:pPr>
    </w:p>
    <w:p w14:paraId="55681733">
      <w:pPr>
        <w:keepNext w:val="0"/>
        <w:keepLines w:val="0"/>
        <w:pageBreakBefore w:val="0"/>
        <w:widowControl w:val="0"/>
        <w:kinsoku/>
        <w:wordWrap/>
        <w:overflowPunct/>
        <w:topLinePunct w:val="0"/>
        <w:autoSpaceDE/>
        <w:autoSpaceDN/>
        <w:bidi w:val="0"/>
        <w:adjustRightInd/>
        <w:snapToGrid/>
        <w:spacing w:line="600" w:lineRule="exact"/>
        <w:ind w:firstLine="1600" w:firstLineChars="500"/>
        <w:jc w:val="left"/>
        <w:textAlignment w:val="auto"/>
        <w:rPr>
          <w:rFonts w:hint="eastAsia" w:ascii="仿宋_GB2312" w:hAnsi="仿宋_GB2312" w:eastAsia="仿宋_GB2312" w:cs="仿宋_GB2312"/>
          <w:i w:val="0"/>
          <w:iCs w:val="0"/>
          <w:caps w:val="0"/>
          <w:color w:val="333333"/>
          <w:spacing w:val="0"/>
          <w:sz w:val="32"/>
          <w:szCs w:val="32"/>
          <w:lang w:val="en-US" w:eastAsia="zh-CN"/>
        </w:rPr>
      </w:pPr>
    </w:p>
    <w:p w14:paraId="0A4FD98C">
      <w:pPr>
        <w:keepNext w:val="0"/>
        <w:keepLines w:val="0"/>
        <w:pageBreakBefore w:val="0"/>
        <w:widowControl w:val="0"/>
        <w:kinsoku/>
        <w:wordWrap/>
        <w:overflowPunct/>
        <w:topLinePunct w:val="0"/>
        <w:autoSpaceDE/>
        <w:autoSpaceDN/>
        <w:bidi w:val="0"/>
        <w:adjustRightInd/>
        <w:snapToGrid/>
        <w:spacing w:line="600" w:lineRule="exact"/>
        <w:ind w:firstLine="1600" w:firstLineChars="500"/>
        <w:jc w:val="left"/>
        <w:textAlignment w:val="auto"/>
        <w:rPr>
          <w:rFonts w:hint="eastAsia" w:ascii="仿宋_GB2312" w:hAnsi="仿宋_GB2312" w:eastAsia="仿宋_GB2312" w:cs="仿宋_GB2312"/>
          <w:i w:val="0"/>
          <w:iCs w:val="0"/>
          <w:caps w:val="0"/>
          <w:color w:val="333333"/>
          <w:spacing w:val="0"/>
          <w:sz w:val="32"/>
          <w:szCs w:val="32"/>
          <w:lang w:val="en-US" w:eastAsia="zh-CN"/>
        </w:rPr>
      </w:pPr>
    </w:p>
    <w:p w14:paraId="1A9C905B">
      <w:pPr>
        <w:keepNext w:val="0"/>
        <w:keepLines w:val="0"/>
        <w:pageBreakBefore w:val="0"/>
        <w:widowControl w:val="0"/>
        <w:kinsoku/>
        <w:wordWrap/>
        <w:overflowPunct/>
        <w:topLinePunct w:val="0"/>
        <w:autoSpaceDE/>
        <w:autoSpaceDN/>
        <w:bidi w:val="0"/>
        <w:adjustRightInd/>
        <w:snapToGrid/>
        <w:spacing w:line="600" w:lineRule="exact"/>
        <w:ind w:firstLine="1600" w:firstLineChars="500"/>
        <w:jc w:val="left"/>
        <w:textAlignment w:val="auto"/>
        <w:rPr>
          <w:rFonts w:hint="eastAsia" w:ascii="仿宋_GB2312" w:hAnsi="仿宋_GB2312" w:eastAsia="仿宋_GB2312" w:cs="仿宋_GB2312"/>
          <w:i w:val="0"/>
          <w:iCs w:val="0"/>
          <w:caps w:val="0"/>
          <w:color w:val="333333"/>
          <w:spacing w:val="0"/>
          <w:sz w:val="32"/>
          <w:szCs w:val="32"/>
          <w:lang w:val="en-US" w:eastAsia="zh-CN"/>
        </w:rPr>
      </w:pPr>
    </w:p>
    <w:p w14:paraId="42859D81">
      <w:pPr>
        <w:keepNext w:val="0"/>
        <w:keepLines w:val="0"/>
        <w:pageBreakBefore w:val="0"/>
        <w:widowControl w:val="0"/>
        <w:kinsoku/>
        <w:wordWrap/>
        <w:overflowPunct/>
        <w:topLinePunct w:val="0"/>
        <w:autoSpaceDE/>
        <w:autoSpaceDN/>
        <w:bidi w:val="0"/>
        <w:adjustRightInd/>
        <w:snapToGrid/>
        <w:spacing w:line="600" w:lineRule="exact"/>
        <w:ind w:firstLine="1600" w:firstLineChars="500"/>
        <w:jc w:val="left"/>
        <w:textAlignment w:val="auto"/>
        <w:rPr>
          <w:rFonts w:hint="eastAsia" w:ascii="仿宋_GB2312" w:hAnsi="仿宋_GB2312" w:eastAsia="仿宋_GB2312" w:cs="仿宋_GB2312"/>
          <w:i w:val="0"/>
          <w:iCs w:val="0"/>
          <w:caps w:val="0"/>
          <w:color w:val="333333"/>
          <w:spacing w:val="0"/>
          <w:sz w:val="32"/>
          <w:szCs w:val="32"/>
          <w:lang w:val="en-US" w:eastAsia="zh-CN"/>
        </w:rPr>
      </w:pPr>
    </w:p>
    <w:p w14:paraId="276821A8">
      <w:pPr>
        <w:keepNext w:val="0"/>
        <w:keepLines w:val="0"/>
        <w:pageBreakBefore w:val="0"/>
        <w:widowControl w:val="0"/>
        <w:kinsoku/>
        <w:wordWrap/>
        <w:overflowPunct/>
        <w:topLinePunct w:val="0"/>
        <w:autoSpaceDE/>
        <w:autoSpaceDN/>
        <w:bidi w:val="0"/>
        <w:adjustRightInd/>
        <w:snapToGrid/>
        <w:spacing w:line="600" w:lineRule="exact"/>
        <w:ind w:firstLine="1600" w:firstLineChars="500"/>
        <w:jc w:val="left"/>
        <w:textAlignment w:val="auto"/>
        <w:rPr>
          <w:rFonts w:hint="eastAsia" w:ascii="仿宋_GB2312" w:hAnsi="仿宋_GB2312" w:eastAsia="仿宋_GB2312" w:cs="仿宋_GB2312"/>
          <w:i w:val="0"/>
          <w:iCs w:val="0"/>
          <w:caps w:val="0"/>
          <w:color w:val="333333"/>
          <w:spacing w:val="0"/>
          <w:sz w:val="32"/>
          <w:szCs w:val="32"/>
          <w:lang w:val="en-US" w:eastAsia="zh-CN"/>
        </w:rPr>
      </w:pPr>
    </w:p>
    <w:p w14:paraId="61985C9B">
      <w:pPr>
        <w:keepNext w:val="0"/>
        <w:keepLines w:val="0"/>
        <w:pageBreakBefore w:val="0"/>
        <w:widowControl w:val="0"/>
        <w:kinsoku/>
        <w:wordWrap/>
        <w:overflowPunct/>
        <w:topLinePunct w:val="0"/>
        <w:autoSpaceDE/>
        <w:autoSpaceDN/>
        <w:bidi w:val="0"/>
        <w:adjustRightInd/>
        <w:snapToGrid/>
        <w:spacing w:line="600" w:lineRule="exact"/>
        <w:ind w:firstLine="1600" w:firstLineChars="500"/>
        <w:jc w:val="left"/>
        <w:textAlignment w:val="auto"/>
        <w:rPr>
          <w:rFonts w:hint="eastAsia" w:ascii="仿宋_GB2312" w:hAnsi="仿宋_GB2312" w:eastAsia="仿宋_GB2312" w:cs="仿宋_GB2312"/>
          <w:i w:val="0"/>
          <w:iCs w:val="0"/>
          <w:caps w:val="0"/>
          <w:color w:val="333333"/>
          <w:spacing w:val="0"/>
          <w:sz w:val="32"/>
          <w:szCs w:val="32"/>
          <w:lang w:val="en-US" w:eastAsia="zh-CN"/>
        </w:rPr>
      </w:pPr>
    </w:p>
    <w:p w14:paraId="5C874E02">
      <w:pPr>
        <w:keepNext w:val="0"/>
        <w:keepLines w:val="0"/>
        <w:pageBreakBefore w:val="0"/>
        <w:widowControl w:val="0"/>
        <w:kinsoku/>
        <w:wordWrap/>
        <w:overflowPunct/>
        <w:topLinePunct w:val="0"/>
        <w:autoSpaceDE/>
        <w:autoSpaceDN/>
        <w:bidi w:val="0"/>
        <w:adjustRightInd/>
        <w:snapToGrid/>
        <w:spacing w:line="600" w:lineRule="exact"/>
        <w:ind w:firstLine="1600" w:firstLineChars="500"/>
        <w:jc w:val="left"/>
        <w:textAlignment w:val="auto"/>
        <w:rPr>
          <w:rFonts w:hint="eastAsia" w:ascii="仿宋_GB2312" w:hAnsi="仿宋_GB2312" w:eastAsia="仿宋_GB2312" w:cs="仿宋_GB2312"/>
          <w:i w:val="0"/>
          <w:iCs w:val="0"/>
          <w:caps w:val="0"/>
          <w:color w:val="333333"/>
          <w:spacing w:val="0"/>
          <w:sz w:val="32"/>
          <w:szCs w:val="32"/>
          <w:lang w:val="en-US" w:eastAsia="zh-CN"/>
        </w:rPr>
      </w:pPr>
    </w:p>
    <w:p w14:paraId="7CE1BDA9">
      <w:pPr>
        <w:keepNext w:val="0"/>
        <w:keepLines w:val="0"/>
        <w:pageBreakBefore w:val="0"/>
        <w:widowControl w:val="0"/>
        <w:kinsoku/>
        <w:wordWrap/>
        <w:overflowPunct/>
        <w:topLinePunct w:val="0"/>
        <w:autoSpaceDE/>
        <w:autoSpaceDN/>
        <w:bidi w:val="0"/>
        <w:adjustRightInd/>
        <w:snapToGrid/>
        <w:spacing w:line="600" w:lineRule="exact"/>
        <w:ind w:firstLine="1600" w:firstLineChars="500"/>
        <w:jc w:val="left"/>
        <w:textAlignment w:val="auto"/>
        <w:rPr>
          <w:rFonts w:hint="eastAsia" w:ascii="仿宋_GB2312" w:hAnsi="仿宋_GB2312" w:eastAsia="仿宋_GB2312" w:cs="仿宋_GB2312"/>
          <w:i w:val="0"/>
          <w:iCs w:val="0"/>
          <w:caps w:val="0"/>
          <w:color w:val="333333"/>
          <w:spacing w:val="0"/>
          <w:sz w:val="32"/>
          <w:szCs w:val="32"/>
          <w:lang w:val="en-US" w:eastAsia="zh-CN"/>
        </w:rPr>
      </w:pPr>
    </w:p>
    <w:p w14:paraId="4C68AC50">
      <w:pPr>
        <w:keepNext w:val="0"/>
        <w:keepLines w:val="0"/>
        <w:pageBreakBefore w:val="0"/>
        <w:widowControl w:val="0"/>
        <w:kinsoku/>
        <w:wordWrap/>
        <w:overflowPunct/>
        <w:topLinePunct w:val="0"/>
        <w:autoSpaceDE/>
        <w:autoSpaceDN/>
        <w:bidi w:val="0"/>
        <w:adjustRightInd/>
        <w:snapToGrid/>
        <w:spacing w:line="600" w:lineRule="exact"/>
        <w:ind w:firstLine="1600" w:firstLineChars="500"/>
        <w:jc w:val="left"/>
        <w:textAlignment w:val="auto"/>
        <w:rPr>
          <w:rFonts w:hint="eastAsia" w:ascii="仿宋_GB2312" w:hAnsi="仿宋_GB2312" w:eastAsia="仿宋_GB2312" w:cs="仿宋_GB2312"/>
          <w:i w:val="0"/>
          <w:iCs w:val="0"/>
          <w:caps w:val="0"/>
          <w:color w:val="333333"/>
          <w:spacing w:val="0"/>
          <w:sz w:val="32"/>
          <w:szCs w:val="32"/>
          <w:lang w:val="en-US" w:eastAsia="zh-CN"/>
        </w:rPr>
      </w:pPr>
    </w:p>
    <w:p w14:paraId="5BC1F757">
      <w:pPr>
        <w:keepNext w:val="0"/>
        <w:keepLines w:val="0"/>
        <w:pageBreakBefore w:val="0"/>
        <w:widowControl w:val="0"/>
        <w:kinsoku/>
        <w:wordWrap/>
        <w:overflowPunct/>
        <w:topLinePunct w:val="0"/>
        <w:autoSpaceDE/>
        <w:autoSpaceDN/>
        <w:bidi w:val="0"/>
        <w:adjustRightInd/>
        <w:snapToGrid/>
        <w:spacing w:line="600" w:lineRule="exact"/>
        <w:ind w:firstLine="1600" w:firstLineChars="500"/>
        <w:jc w:val="left"/>
        <w:textAlignment w:val="auto"/>
        <w:rPr>
          <w:rFonts w:hint="eastAsia" w:ascii="仿宋_GB2312" w:hAnsi="仿宋_GB2312" w:eastAsia="仿宋_GB2312" w:cs="仿宋_GB2312"/>
          <w:i w:val="0"/>
          <w:iCs w:val="0"/>
          <w:caps w:val="0"/>
          <w:color w:val="333333"/>
          <w:spacing w:val="0"/>
          <w:sz w:val="32"/>
          <w:szCs w:val="32"/>
          <w:lang w:val="en-US" w:eastAsia="zh-CN"/>
        </w:rPr>
      </w:pPr>
    </w:p>
    <w:p w14:paraId="27A837AD">
      <w:pPr>
        <w:keepNext w:val="0"/>
        <w:keepLines w:val="0"/>
        <w:pageBreakBefore w:val="0"/>
        <w:widowControl w:val="0"/>
        <w:kinsoku/>
        <w:wordWrap/>
        <w:overflowPunct/>
        <w:topLinePunct w:val="0"/>
        <w:autoSpaceDE/>
        <w:autoSpaceDN/>
        <w:bidi w:val="0"/>
        <w:adjustRightInd/>
        <w:snapToGrid/>
        <w:spacing w:line="600" w:lineRule="exact"/>
        <w:ind w:firstLine="1600" w:firstLineChars="500"/>
        <w:jc w:val="left"/>
        <w:textAlignment w:val="auto"/>
        <w:rPr>
          <w:rFonts w:hint="eastAsia" w:ascii="仿宋_GB2312" w:hAnsi="仿宋_GB2312" w:eastAsia="仿宋_GB2312" w:cs="仿宋_GB2312"/>
          <w:i w:val="0"/>
          <w:iCs w:val="0"/>
          <w:caps w:val="0"/>
          <w:color w:val="333333"/>
          <w:spacing w:val="0"/>
          <w:sz w:val="32"/>
          <w:szCs w:val="32"/>
          <w:lang w:val="en-US" w:eastAsia="zh-CN"/>
        </w:rPr>
      </w:pPr>
    </w:p>
    <w:p w14:paraId="41533614">
      <w:pPr>
        <w:keepNext w:val="0"/>
        <w:keepLines w:val="0"/>
        <w:pageBreakBefore w:val="0"/>
        <w:widowControl w:val="0"/>
        <w:kinsoku/>
        <w:wordWrap/>
        <w:overflowPunct/>
        <w:topLinePunct w:val="0"/>
        <w:autoSpaceDE/>
        <w:autoSpaceDN/>
        <w:bidi w:val="0"/>
        <w:adjustRightInd/>
        <w:snapToGrid/>
        <w:spacing w:line="600" w:lineRule="exact"/>
        <w:ind w:firstLine="1600" w:firstLineChars="500"/>
        <w:jc w:val="left"/>
        <w:textAlignment w:val="auto"/>
        <w:rPr>
          <w:rFonts w:hint="eastAsia" w:ascii="仿宋_GB2312" w:hAnsi="仿宋_GB2312" w:eastAsia="仿宋_GB2312" w:cs="仿宋_GB2312"/>
          <w:i w:val="0"/>
          <w:iCs w:val="0"/>
          <w:caps w:val="0"/>
          <w:color w:val="333333"/>
          <w:spacing w:val="0"/>
          <w:sz w:val="32"/>
          <w:szCs w:val="32"/>
          <w:lang w:val="en-US" w:eastAsia="zh-CN"/>
        </w:rPr>
      </w:pPr>
    </w:p>
    <w:p w14:paraId="1E7C5652">
      <w:pPr>
        <w:keepNext w:val="0"/>
        <w:keepLines w:val="0"/>
        <w:pageBreakBefore w:val="0"/>
        <w:widowControl w:val="0"/>
        <w:kinsoku/>
        <w:wordWrap/>
        <w:overflowPunct/>
        <w:topLinePunct w:val="0"/>
        <w:autoSpaceDE/>
        <w:autoSpaceDN/>
        <w:bidi w:val="0"/>
        <w:adjustRightInd/>
        <w:snapToGrid/>
        <w:spacing w:line="600" w:lineRule="exact"/>
        <w:ind w:firstLine="1600" w:firstLineChars="500"/>
        <w:jc w:val="left"/>
        <w:textAlignment w:val="auto"/>
        <w:rPr>
          <w:rFonts w:hint="eastAsia" w:ascii="仿宋_GB2312" w:hAnsi="仿宋_GB2312" w:eastAsia="仿宋_GB2312" w:cs="仿宋_GB2312"/>
          <w:i w:val="0"/>
          <w:iCs w:val="0"/>
          <w:caps w:val="0"/>
          <w:color w:val="333333"/>
          <w:spacing w:val="0"/>
          <w:sz w:val="32"/>
          <w:szCs w:val="32"/>
          <w:lang w:val="en-US" w:eastAsia="zh-CN"/>
        </w:rPr>
      </w:pPr>
    </w:p>
    <w:p w14:paraId="357BFA6A">
      <w:pPr>
        <w:keepNext w:val="0"/>
        <w:keepLines w:val="0"/>
        <w:pageBreakBefore w:val="0"/>
        <w:widowControl w:val="0"/>
        <w:kinsoku/>
        <w:wordWrap/>
        <w:overflowPunct/>
        <w:topLinePunct w:val="0"/>
        <w:autoSpaceDE/>
        <w:autoSpaceDN/>
        <w:bidi w:val="0"/>
        <w:adjustRightInd/>
        <w:snapToGrid/>
        <w:spacing w:line="600" w:lineRule="exact"/>
        <w:ind w:firstLine="1600" w:firstLineChars="500"/>
        <w:jc w:val="left"/>
        <w:textAlignment w:val="auto"/>
        <w:rPr>
          <w:rFonts w:hint="eastAsia" w:ascii="仿宋_GB2312" w:hAnsi="仿宋_GB2312" w:eastAsia="仿宋_GB2312" w:cs="仿宋_GB2312"/>
          <w:i w:val="0"/>
          <w:iCs w:val="0"/>
          <w:caps w:val="0"/>
          <w:color w:val="333333"/>
          <w:spacing w:val="0"/>
          <w:sz w:val="32"/>
          <w:szCs w:val="32"/>
          <w:lang w:val="en-US" w:eastAsia="zh-CN"/>
        </w:rPr>
      </w:pPr>
    </w:p>
    <w:p w14:paraId="6BC34696">
      <w:pPr>
        <w:keepNext w:val="0"/>
        <w:keepLines w:val="0"/>
        <w:pageBreakBefore w:val="0"/>
        <w:widowControl w:val="0"/>
        <w:kinsoku/>
        <w:wordWrap/>
        <w:overflowPunct/>
        <w:topLinePunct w:val="0"/>
        <w:autoSpaceDE/>
        <w:autoSpaceDN/>
        <w:bidi w:val="0"/>
        <w:adjustRightInd/>
        <w:snapToGrid/>
        <w:spacing w:line="600" w:lineRule="exact"/>
        <w:ind w:firstLine="1600" w:firstLineChars="500"/>
        <w:jc w:val="left"/>
        <w:textAlignment w:val="auto"/>
        <w:rPr>
          <w:rFonts w:hint="eastAsia" w:ascii="仿宋_GB2312" w:hAnsi="仿宋_GB2312" w:eastAsia="仿宋_GB2312" w:cs="仿宋_GB2312"/>
          <w:i w:val="0"/>
          <w:iCs w:val="0"/>
          <w:caps w:val="0"/>
          <w:color w:val="333333"/>
          <w:spacing w:val="0"/>
          <w:sz w:val="32"/>
          <w:szCs w:val="32"/>
          <w:lang w:val="en-US" w:eastAsia="zh-CN"/>
        </w:rPr>
      </w:pPr>
    </w:p>
    <w:p w14:paraId="66840D88">
      <w:pPr>
        <w:keepNext w:val="0"/>
        <w:keepLines w:val="0"/>
        <w:pageBreakBefore w:val="0"/>
        <w:widowControl w:val="0"/>
        <w:kinsoku/>
        <w:wordWrap/>
        <w:overflowPunct/>
        <w:topLinePunct w:val="0"/>
        <w:autoSpaceDE/>
        <w:autoSpaceDN/>
        <w:bidi w:val="0"/>
        <w:adjustRightInd/>
        <w:snapToGrid/>
        <w:spacing w:line="600" w:lineRule="exact"/>
        <w:ind w:firstLine="1600" w:firstLineChars="500"/>
        <w:jc w:val="left"/>
        <w:textAlignment w:val="auto"/>
        <w:rPr>
          <w:rFonts w:hint="eastAsia" w:ascii="仿宋_GB2312" w:hAnsi="仿宋_GB2312" w:eastAsia="仿宋_GB2312" w:cs="仿宋_GB2312"/>
          <w:i w:val="0"/>
          <w:iCs w:val="0"/>
          <w:caps w:val="0"/>
          <w:color w:val="333333"/>
          <w:spacing w:val="0"/>
          <w:sz w:val="32"/>
          <w:szCs w:val="32"/>
          <w:lang w:val="en-US" w:eastAsia="zh-CN"/>
        </w:rPr>
      </w:pPr>
    </w:p>
    <w:p w14:paraId="68A9171C">
      <w:pPr>
        <w:keepNext w:val="0"/>
        <w:keepLines w:val="0"/>
        <w:pageBreakBefore w:val="0"/>
        <w:widowControl w:val="0"/>
        <w:kinsoku/>
        <w:wordWrap/>
        <w:overflowPunct/>
        <w:topLinePunct w:val="0"/>
        <w:autoSpaceDE/>
        <w:autoSpaceDN/>
        <w:bidi w:val="0"/>
        <w:adjustRightInd/>
        <w:snapToGrid/>
        <w:spacing w:line="600" w:lineRule="exact"/>
        <w:ind w:firstLine="1600" w:firstLineChars="500"/>
        <w:jc w:val="left"/>
        <w:textAlignment w:val="auto"/>
        <w:rPr>
          <w:rFonts w:hint="eastAsia" w:ascii="仿宋_GB2312" w:hAnsi="仿宋_GB2312" w:eastAsia="仿宋_GB2312" w:cs="仿宋_GB2312"/>
          <w:i w:val="0"/>
          <w:iCs w:val="0"/>
          <w:caps w:val="0"/>
          <w:color w:val="333333"/>
          <w:spacing w:val="0"/>
          <w:sz w:val="32"/>
          <w:szCs w:val="32"/>
          <w:lang w:val="en-US" w:eastAsia="zh-CN"/>
        </w:rPr>
      </w:pPr>
    </w:p>
    <w:p w14:paraId="132DCE2B">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i w:val="0"/>
          <w:iCs w:val="0"/>
          <w:caps w:val="0"/>
          <w:color w:val="333333"/>
          <w:spacing w:val="0"/>
          <w:sz w:val="32"/>
          <w:szCs w:val="32"/>
          <w:lang w:val="en-US" w:eastAsia="zh-CN"/>
        </w:rPr>
      </w:pPr>
    </w:p>
    <w:p w14:paraId="6141F1E1">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黑体" w:hAnsi="黑体" w:eastAsia="黑体" w:cs="黑体"/>
          <w:sz w:val="32"/>
          <w:szCs w:val="32"/>
          <w:lang w:val="en-US" w:eastAsia="zh-CN"/>
        </w:rPr>
      </w:pPr>
      <w:r>
        <w:rPr>
          <w:rFonts w:hint="eastAsia" w:ascii="宋体" w:hAnsi="宋体" w:eastAsia="宋体" w:cs="宋体"/>
          <w:i w:val="0"/>
          <w:iCs w:val="0"/>
          <w:caps w:val="0"/>
          <w:color w:val="333333"/>
          <w:spacing w:val="0"/>
          <w:sz w:val="24"/>
          <w:szCs w:val="24"/>
        </w:rPr>
        <w:t xml:space="preserve"> </w:t>
      </w: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14:paraId="01E8B8E9">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黑体" w:hAnsi="黑体" w:eastAsia="黑体" w:cs="黑体"/>
          <w:sz w:val="32"/>
          <w:szCs w:val="32"/>
          <w:lang w:val="en-US" w:eastAsia="zh-CN"/>
        </w:rPr>
      </w:pPr>
    </w:p>
    <w:p w14:paraId="5734A57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2026年长汀县标准化粮食烘干中心（点）</w:t>
      </w:r>
    </w:p>
    <w:p w14:paraId="172E5FC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建设申报表</w:t>
      </w:r>
    </w:p>
    <w:p w14:paraId="4C74490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00" w:lineRule="atLeast"/>
        <w:ind w:right="0"/>
        <w:jc w:val="both"/>
        <w:textAlignment w:val="auto"/>
        <w:rPr>
          <w:sz w:val="24"/>
          <w:szCs w:val="24"/>
        </w:rPr>
      </w:pPr>
      <w:r>
        <w:rPr>
          <w:rFonts w:hint="eastAsia" w:ascii="宋体" w:hAnsi="宋体" w:eastAsia="宋体" w:cs="宋体"/>
          <w:i w:val="0"/>
          <w:iCs w:val="0"/>
          <w:caps w:val="0"/>
          <w:color w:val="333333"/>
          <w:spacing w:val="0"/>
          <w:sz w:val="24"/>
          <w:szCs w:val="24"/>
        </w:rPr>
        <w:t xml:space="preserve">                                                              日期：   </w:t>
      </w:r>
      <w:r>
        <w:rPr>
          <w:rFonts w:hint="eastAsia" w:ascii="宋体" w:hAnsi="宋体" w:eastAsia="宋体" w:cs="宋体"/>
          <w:i w:val="0"/>
          <w:iCs w:val="0"/>
          <w:caps w:val="0"/>
          <w:color w:val="333333"/>
          <w:spacing w:val="0"/>
          <w:sz w:val="24"/>
          <w:szCs w:val="24"/>
          <w:lang w:val="en-US" w:eastAsia="zh-CN"/>
        </w:rPr>
        <w:t xml:space="preserve">  </w:t>
      </w:r>
      <w:r>
        <w:rPr>
          <w:rFonts w:hint="eastAsia" w:ascii="宋体" w:hAnsi="宋体" w:eastAsia="宋体" w:cs="宋体"/>
          <w:i w:val="0"/>
          <w:iCs w:val="0"/>
          <w:caps w:val="0"/>
          <w:color w:val="333333"/>
          <w:spacing w:val="0"/>
          <w:sz w:val="24"/>
          <w:szCs w:val="24"/>
        </w:rPr>
        <w:t>年 </w:t>
      </w:r>
      <w:r>
        <w:rPr>
          <w:rFonts w:hint="eastAsia" w:ascii="宋体" w:hAnsi="宋体" w:eastAsia="宋体" w:cs="宋体"/>
          <w:i w:val="0"/>
          <w:iCs w:val="0"/>
          <w:caps w:val="0"/>
          <w:color w:val="333333"/>
          <w:spacing w:val="0"/>
          <w:sz w:val="24"/>
          <w:szCs w:val="24"/>
          <w:lang w:val="en-US" w:eastAsia="zh-CN"/>
        </w:rPr>
        <w:t xml:space="preserve"> </w:t>
      </w:r>
      <w:r>
        <w:rPr>
          <w:rFonts w:hint="eastAsia" w:ascii="宋体" w:hAnsi="宋体" w:eastAsia="宋体" w:cs="宋体"/>
          <w:i w:val="0"/>
          <w:iCs w:val="0"/>
          <w:caps w:val="0"/>
          <w:color w:val="333333"/>
          <w:spacing w:val="0"/>
          <w:sz w:val="24"/>
          <w:szCs w:val="24"/>
        </w:rPr>
        <w:t xml:space="preserve"> 月  </w:t>
      </w:r>
      <w:r>
        <w:rPr>
          <w:rFonts w:hint="eastAsia" w:ascii="宋体" w:hAnsi="宋体" w:eastAsia="宋体" w:cs="宋体"/>
          <w:i w:val="0"/>
          <w:iCs w:val="0"/>
          <w:caps w:val="0"/>
          <w:color w:val="333333"/>
          <w:spacing w:val="0"/>
          <w:sz w:val="24"/>
          <w:szCs w:val="24"/>
          <w:lang w:val="en-US" w:eastAsia="zh-CN"/>
        </w:rPr>
        <w:t xml:space="preserve"> </w:t>
      </w:r>
      <w:r>
        <w:rPr>
          <w:rFonts w:hint="eastAsia" w:ascii="宋体" w:hAnsi="宋体" w:eastAsia="宋体" w:cs="宋体"/>
          <w:i w:val="0"/>
          <w:iCs w:val="0"/>
          <w:caps w:val="0"/>
          <w:color w:val="333333"/>
          <w:spacing w:val="0"/>
          <w:sz w:val="24"/>
          <w:szCs w:val="24"/>
        </w:rPr>
        <w:t>日</w:t>
      </w:r>
    </w:p>
    <w:tbl>
      <w:tblPr>
        <w:tblStyle w:val="7"/>
        <w:tblW w:w="8794"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801"/>
        <w:gridCol w:w="1144"/>
        <w:gridCol w:w="1668"/>
        <w:gridCol w:w="327"/>
        <w:gridCol w:w="1026"/>
        <w:gridCol w:w="294"/>
        <w:gridCol w:w="1058"/>
        <w:gridCol w:w="1476"/>
      </w:tblGrid>
      <w:tr w14:paraId="07EE1BC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843" w:hRule="atLeast"/>
          <w:jc w:val="center"/>
        </w:trPr>
        <w:tc>
          <w:tcPr>
            <w:tcW w:w="2945"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794EB2AD">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0" w:line="480" w:lineRule="atLeast"/>
              <w:ind w:left="0" w:right="0"/>
              <w:jc w:val="center"/>
              <w:rPr>
                <w:sz w:val="24"/>
                <w:szCs w:val="24"/>
              </w:rPr>
            </w:pPr>
            <w:r>
              <w:rPr>
                <w:sz w:val="24"/>
                <w:szCs w:val="24"/>
              </w:rPr>
              <w:t>申报人</w:t>
            </w:r>
          </w:p>
        </w:tc>
        <w:tc>
          <w:tcPr>
            <w:tcW w:w="1995" w:type="dxa"/>
            <w:gridSpan w:val="2"/>
            <w:tcBorders>
              <w:top w:val="single" w:color="000000" w:sz="8" w:space="0"/>
              <w:left w:val="nil"/>
              <w:bottom w:val="single" w:color="000000" w:sz="8" w:space="0"/>
              <w:right w:val="single" w:color="000000" w:sz="8" w:space="0"/>
            </w:tcBorders>
            <w:shd w:val="clear" w:color="auto" w:fill="auto"/>
            <w:vAlign w:val="center"/>
          </w:tcPr>
          <w:p w14:paraId="6DBEB382">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0" w:line="480" w:lineRule="atLeast"/>
              <w:ind w:left="0" w:right="0"/>
              <w:jc w:val="center"/>
              <w:rPr>
                <w:sz w:val="24"/>
                <w:szCs w:val="24"/>
              </w:rPr>
            </w:pPr>
            <w:r>
              <w:rPr>
                <w:rFonts w:ascii="Arial" w:hAnsi="Arial" w:cs="Arial"/>
                <w:sz w:val="24"/>
                <w:szCs w:val="24"/>
              </w:rPr>
              <w:t> </w:t>
            </w:r>
          </w:p>
        </w:tc>
        <w:tc>
          <w:tcPr>
            <w:tcW w:w="1320" w:type="dxa"/>
            <w:gridSpan w:val="2"/>
            <w:tcBorders>
              <w:top w:val="single" w:color="000000" w:sz="8" w:space="0"/>
              <w:left w:val="nil"/>
              <w:bottom w:val="single" w:color="000000" w:sz="8" w:space="0"/>
              <w:right w:val="single" w:color="000000" w:sz="8" w:space="0"/>
            </w:tcBorders>
            <w:shd w:val="clear" w:color="auto" w:fill="auto"/>
            <w:vAlign w:val="center"/>
          </w:tcPr>
          <w:p w14:paraId="5446D3CD">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0" w:line="480" w:lineRule="atLeast"/>
              <w:ind w:left="0" w:right="0"/>
              <w:jc w:val="center"/>
              <w:rPr>
                <w:sz w:val="24"/>
                <w:szCs w:val="24"/>
              </w:rPr>
            </w:pPr>
            <w:r>
              <w:rPr>
                <w:sz w:val="24"/>
                <w:szCs w:val="24"/>
              </w:rPr>
              <w:t>联系电话</w:t>
            </w:r>
          </w:p>
        </w:tc>
        <w:tc>
          <w:tcPr>
            <w:tcW w:w="2534" w:type="dxa"/>
            <w:gridSpan w:val="2"/>
            <w:tcBorders>
              <w:top w:val="single" w:color="000000" w:sz="8" w:space="0"/>
              <w:left w:val="nil"/>
              <w:bottom w:val="single" w:color="000000" w:sz="8" w:space="0"/>
              <w:right w:val="single" w:color="000000" w:sz="8" w:space="0"/>
            </w:tcBorders>
            <w:shd w:val="clear" w:color="auto" w:fill="auto"/>
            <w:vAlign w:val="center"/>
          </w:tcPr>
          <w:p w14:paraId="1E5DA418">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0" w:line="480" w:lineRule="atLeast"/>
              <w:ind w:left="0" w:right="0"/>
              <w:jc w:val="center"/>
              <w:rPr>
                <w:sz w:val="24"/>
                <w:szCs w:val="24"/>
              </w:rPr>
            </w:pPr>
            <w:r>
              <w:rPr>
                <w:rFonts w:hint="default" w:ascii="Arial" w:hAnsi="Arial" w:cs="Arial"/>
                <w:sz w:val="24"/>
                <w:szCs w:val="24"/>
              </w:rPr>
              <w:t> </w:t>
            </w:r>
          </w:p>
        </w:tc>
      </w:tr>
      <w:tr w14:paraId="059D8B7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54" w:hRule="atLeast"/>
          <w:jc w:val="center"/>
        </w:trPr>
        <w:tc>
          <w:tcPr>
            <w:tcW w:w="2945" w:type="dxa"/>
            <w:gridSpan w:val="2"/>
            <w:tcBorders>
              <w:top w:val="nil"/>
              <w:left w:val="single" w:color="000000" w:sz="8" w:space="0"/>
              <w:bottom w:val="single" w:color="000000" w:sz="8" w:space="0"/>
              <w:right w:val="single" w:color="000000" w:sz="8" w:space="0"/>
            </w:tcBorders>
            <w:shd w:val="clear" w:color="auto" w:fill="auto"/>
            <w:vAlign w:val="center"/>
          </w:tcPr>
          <w:p w14:paraId="1AE0BB08">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0" w:line="480" w:lineRule="atLeast"/>
              <w:ind w:left="0" w:right="0"/>
              <w:jc w:val="center"/>
              <w:rPr>
                <w:sz w:val="24"/>
                <w:szCs w:val="24"/>
              </w:rPr>
            </w:pPr>
            <w:r>
              <w:rPr>
                <w:sz w:val="24"/>
                <w:szCs w:val="24"/>
              </w:rPr>
              <w:t>法人代码或身份证号码</w:t>
            </w:r>
          </w:p>
        </w:tc>
        <w:tc>
          <w:tcPr>
            <w:tcW w:w="5849" w:type="dxa"/>
            <w:gridSpan w:val="6"/>
            <w:tcBorders>
              <w:top w:val="nil"/>
              <w:left w:val="nil"/>
              <w:bottom w:val="single" w:color="000000" w:sz="8" w:space="0"/>
              <w:right w:val="single" w:color="000000" w:sz="8" w:space="0"/>
            </w:tcBorders>
            <w:shd w:val="clear" w:color="auto" w:fill="auto"/>
            <w:vAlign w:val="center"/>
          </w:tcPr>
          <w:p w14:paraId="11B4B260">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0" w:line="480" w:lineRule="atLeast"/>
              <w:ind w:left="0" w:right="0"/>
              <w:jc w:val="center"/>
              <w:rPr>
                <w:sz w:val="24"/>
                <w:szCs w:val="24"/>
              </w:rPr>
            </w:pPr>
            <w:r>
              <w:rPr>
                <w:rFonts w:hint="default" w:ascii="Arial" w:hAnsi="Arial" w:cs="Arial"/>
                <w:sz w:val="24"/>
                <w:szCs w:val="24"/>
              </w:rPr>
              <w:t> </w:t>
            </w:r>
          </w:p>
        </w:tc>
      </w:tr>
      <w:tr w14:paraId="02A5ECC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62" w:hRule="atLeast"/>
          <w:jc w:val="center"/>
        </w:trPr>
        <w:tc>
          <w:tcPr>
            <w:tcW w:w="8794" w:type="dxa"/>
            <w:gridSpan w:val="8"/>
            <w:tcBorders>
              <w:top w:val="nil"/>
              <w:left w:val="single" w:color="000000" w:sz="8" w:space="0"/>
              <w:bottom w:val="single" w:color="000000" w:sz="8" w:space="0"/>
              <w:right w:val="single" w:color="000000" w:sz="8" w:space="0"/>
            </w:tcBorders>
            <w:shd w:val="clear" w:color="auto" w:fill="auto"/>
            <w:vAlign w:val="center"/>
          </w:tcPr>
          <w:p w14:paraId="23FE8161">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0" w:line="480" w:lineRule="atLeast"/>
              <w:ind w:left="0" w:right="0"/>
              <w:jc w:val="center"/>
              <w:rPr>
                <w:sz w:val="24"/>
                <w:szCs w:val="24"/>
              </w:rPr>
            </w:pPr>
            <w:r>
              <w:rPr>
                <w:sz w:val="24"/>
                <w:szCs w:val="24"/>
              </w:rPr>
              <w:t>申报建设标准化粮食烘干中心（点）情况描述</w:t>
            </w:r>
          </w:p>
        </w:tc>
      </w:tr>
      <w:tr w14:paraId="5D756AA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327" w:hRule="atLeast"/>
          <w:jc w:val="center"/>
        </w:trPr>
        <w:tc>
          <w:tcPr>
            <w:tcW w:w="1801" w:type="dxa"/>
            <w:tcBorders>
              <w:top w:val="nil"/>
              <w:left w:val="single" w:color="000000" w:sz="8" w:space="0"/>
              <w:bottom w:val="single" w:color="000000" w:sz="8" w:space="0"/>
              <w:right w:val="single" w:color="000000" w:sz="8" w:space="0"/>
            </w:tcBorders>
            <w:shd w:val="clear" w:color="auto" w:fill="auto"/>
            <w:vAlign w:val="center"/>
          </w:tcPr>
          <w:p w14:paraId="6207852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1" w:after="0" w:afterAutospacing="0" w:line="380" w:lineRule="exact"/>
              <w:ind w:left="0" w:right="0"/>
              <w:jc w:val="center"/>
              <w:textAlignment w:val="auto"/>
              <w:rPr>
                <w:sz w:val="24"/>
                <w:szCs w:val="24"/>
              </w:rPr>
            </w:pPr>
            <w:r>
              <w:rPr>
                <w:sz w:val="24"/>
                <w:szCs w:val="24"/>
              </w:rPr>
              <w:t>具体建设地点（乡镇、行政村、自然村）</w:t>
            </w:r>
          </w:p>
        </w:tc>
        <w:tc>
          <w:tcPr>
            <w:tcW w:w="1144" w:type="dxa"/>
            <w:tcBorders>
              <w:top w:val="nil"/>
              <w:left w:val="nil"/>
              <w:bottom w:val="single" w:color="000000" w:sz="8" w:space="0"/>
              <w:right w:val="single" w:color="000000" w:sz="8" w:space="0"/>
            </w:tcBorders>
            <w:shd w:val="clear" w:color="auto" w:fill="auto"/>
            <w:vAlign w:val="center"/>
          </w:tcPr>
          <w:p w14:paraId="275743C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1" w:after="0" w:afterAutospacing="0" w:line="380" w:lineRule="exact"/>
              <w:ind w:left="0" w:right="0"/>
              <w:jc w:val="center"/>
              <w:textAlignment w:val="auto"/>
              <w:rPr>
                <w:sz w:val="24"/>
                <w:szCs w:val="24"/>
              </w:rPr>
            </w:pPr>
            <w:r>
              <w:rPr>
                <w:sz w:val="24"/>
                <w:szCs w:val="24"/>
              </w:rPr>
              <w:t>选址面积（平方米）</w:t>
            </w:r>
          </w:p>
        </w:tc>
        <w:tc>
          <w:tcPr>
            <w:tcW w:w="1668" w:type="dxa"/>
            <w:tcBorders>
              <w:top w:val="nil"/>
              <w:left w:val="nil"/>
              <w:bottom w:val="single" w:color="000000" w:sz="8" w:space="0"/>
              <w:right w:val="single" w:color="000000" w:sz="8" w:space="0"/>
            </w:tcBorders>
            <w:shd w:val="clear" w:color="auto" w:fill="auto"/>
            <w:vAlign w:val="center"/>
          </w:tcPr>
          <w:p w14:paraId="5F3FCD7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1" w:after="0" w:afterAutospacing="0" w:line="380" w:lineRule="exact"/>
              <w:ind w:left="0" w:right="0"/>
              <w:jc w:val="center"/>
              <w:textAlignment w:val="auto"/>
              <w:rPr>
                <w:rFonts w:hint="eastAsia" w:eastAsiaTheme="minorEastAsia"/>
                <w:sz w:val="24"/>
                <w:szCs w:val="24"/>
                <w:lang w:eastAsia="zh-CN"/>
              </w:rPr>
            </w:pPr>
            <w:r>
              <w:rPr>
                <w:sz w:val="24"/>
                <w:szCs w:val="24"/>
              </w:rPr>
              <w:t>服务面积</w:t>
            </w:r>
            <w:r>
              <w:rPr>
                <w:rFonts w:hint="eastAsia"/>
                <w:sz w:val="24"/>
                <w:szCs w:val="24"/>
                <w:lang w:val="en-US" w:eastAsia="zh-CN"/>
              </w:rPr>
              <w:t xml:space="preserve">  </w:t>
            </w:r>
            <w:r>
              <w:rPr>
                <w:rFonts w:hint="eastAsia"/>
                <w:sz w:val="24"/>
                <w:szCs w:val="24"/>
                <w:lang w:eastAsia="zh-CN"/>
              </w:rPr>
              <w:t>（亩）</w:t>
            </w:r>
          </w:p>
        </w:tc>
        <w:tc>
          <w:tcPr>
            <w:tcW w:w="1353" w:type="dxa"/>
            <w:gridSpan w:val="2"/>
            <w:tcBorders>
              <w:top w:val="nil"/>
              <w:left w:val="nil"/>
              <w:bottom w:val="single" w:color="000000" w:sz="8" w:space="0"/>
              <w:right w:val="single" w:color="000000" w:sz="8" w:space="0"/>
            </w:tcBorders>
            <w:shd w:val="clear" w:color="auto" w:fill="auto"/>
            <w:vAlign w:val="center"/>
          </w:tcPr>
          <w:p w14:paraId="0D12518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1" w:after="0" w:afterAutospacing="0" w:line="380" w:lineRule="exact"/>
              <w:ind w:left="0" w:right="0"/>
              <w:jc w:val="center"/>
              <w:textAlignment w:val="auto"/>
              <w:rPr>
                <w:sz w:val="24"/>
                <w:szCs w:val="24"/>
              </w:rPr>
            </w:pPr>
            <w:r>
              <w:rPr>
                <w:sz w:val="24"/>
                <w:szCs w:val="24"/>
              </w:rPr>
              <w:t>烘干批</w:t>
            </w:r>
            <w:r>
              <w:rPr>
                <w:rFonts w:hint="eastAsia"/>
                <w:sz w:val="24"/>
                <w:szCs w:val="24"/>
                <w:lang w:val="en-US" w:eastAsia="zh-CN"/>
              </w:rPr>
              <w:t xml:space="preserve">    </w:t>
            </w:r>
            <w:r>
              <w:rPr>
                <w:sz w:val="24"/>
                <w:szCs w:val="24"/>
              </w:rPr>
              <w:t>处理量</w:t>
            </w:r>
          </w:p>
        </w:tc>
        <w:tc>
          <w:tcPr>
            <w:tcW w:w="1352" w:type="dxa"/>
            <w:gridSpan w:val="2"/>
            <w:tcBorders>
              <w:top w:val="nil"/>
              <w:left w:val="nil"/>
              <w:bottom w:val="single" w:color="000000" w:sz="8" w:space="0"/>
              <w:right w:val="single" w:color="000000" w:sz="8" w:space="0"/>
            </w:tcBorders>
            <w:shd w:val="clear" w:color="auto" w:fill="auto"/>
            <w:vAlign w:val="center"/>
          </w:tcPr>
          <w:p w14:paraId="4FB89A0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1" w:after="0" w:afterAutospacing="0" w:line="380" w:lineRule="exact"/>
              <w:ind w:left="0" w:right="0"/>
              <w:jc w:val="center"/>
              <w:textAlignment w:val="auto"/>
              <w:rPr>
                <w:sz w:val="24"/>
                <w:szCs w:val="24"/>
              </w:rPr>
            </w:pPr>
            <w:r>
              <w:rPr>
                <w:sz w:val="24"/>
                <w:szCs w:val="24"/>
              </w:rPr>
              <w:t>用地落实</w:t>
            </w:r>
            <w:r>
              <w:rPr>
                <w:rFonts w:hint="eastAsia"/>
                <w:sz w:val="24"/>
                <w:szCs w:val="24"/>
                <w:lang w:val="en-US" w:eastAsia="zh-CN"/>
              </w:rPr>
              <w:t xml:space="preserve">  </w:t>
            </w:r>
            <w:r>
              <w:rPr>
                <w:sz w:val="24"/>
                <w:szCs w:val="24"/>
              </w:rPr>
              <w:t>情况</w:t>
            </w:r>
          </w:p>
        </w:tc>
        <w:tc>
          <w:tcPr>
            <w:tcW w:w="1476" w:type="dxa"/>
            <w:tcBorders>
              <w:top w:val="nil"/>
              <w:left w:val="nil"/>
              <w:bottom w:val="single" w:color="000000" w:sz="8" w:space="0"/>
              <w:right w:val="single" w:color="000000" w:sz="8" w:space="0"/>
            </w:tcBorders>
            <w:shd w:val="clear" w:color="auto" w:fill="auto"/>
            <w:vAlign w:val="center"/>
          </w:tcPr>
          <w:p w14:paraId="0CD6827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1" w:after="0" w:afterAutospacing="0" w:line="380" w:lineRule="exact"/>
              <w:ind w:left="0" w:right="0"/>
              <w:jc w:val="center"/>
              <w:textAlignment w:val="auto"/>
              <w:rPr>
                <w:sz w:val="24"/>
                <w:szCs w:val="24"/>
              </w:rPr>
            </w:pPr>
            <w:r>
              <w:rPr>
                <w:sz w:val="24"/>
                <w:szCs w:val="24"/>
              </w:rPr>
              <w:t>备注</w:t>
            </w:r>
          </w:p>
        </w:tc>
      </w:tr>
      <w:tr w14:paraId="46CEE70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058" w:hRule="atLeast"/>
          <w:jc w:val="center"/>
        </w:trPr>
        <w:tc>
          <w:tcPr>
            <w:tcW w:w="1801" w:type="dxa"/>
            <w:tcBorders>
              <w:top w:val="nil"/>
              <w:left w:val="single" w:color="000000" w:sz="8" w:space="0"/>
              <w:bottom w:val="single" w:color="000000" w:sz="8" w:space="0"/>
              <w:right w:val="single" w:color="000000" w:sz="8" w:space="0"/>
            </w:tcBorders>
            <w:shd w:val="clear" w:color="auto" w:fill="auto"/>
            <w:vAlign w:val="center"/>
          </w:tcPr>
          <w:p w14:paraId="32C8A51D">
            <w:pPr>
              <w:keepNext w:val="0"/>
              <w:keepLines w:val="0"/>
              <w:widowControl/>
              <w:suppressLineNumbers w:val="0"/>
              <w:spacing w:before="0" w:beforeAutospacing="0" w:after="0" w:afterAutospacing="0" w:line="480" w:lineRule="atLeast"/>
              <w:ind w:left="0" w:right="0"/>
              <w:jc w:val="left"/>
              <w:rPr>
                <w:sz w:val="24"/>
                <w:szCs w:val="24"/>
              </w:rPr>
            </w:pPr>
            <w:r>
              <w:rPr>
                <w:rFonts w:ascii="宋体" w:hAnsi="宋体" w:eastAsia="宋体" w:cs="宋体"/>
                <w:kern w:val="0"/>
                <w:sz w:val="24"/>
                <w:szCs w:val="24"/>
                <w:lang w:val="en-US" w:eastAsia="zh-CN" w:bidi="ar"/>
              </w:rPr>
              <w:t> </w:t>
            </w:r>
          </w:p>
        </w:tc>
        <w:tc>
          <w:tcPr>
            <w:tcW w:w="1144" w:type="dxa"/>
            <w:tcBorders>
              <w:top w:val="nil"/>
              <w:left w:val="nil"/>
              <w:bottom w:val="single" w:color="000000" w:sz="8" w:space="0"/>
              <w:right w:val="single" w:color="000000" w:sz="8" w:space="0"/>
            </w:tcBorders>
            <w:shd w:val="clear" w:color="auto" w:fill="auto"/>
            <w:vAlign w:val="center"/>
          </w:tcPr>
          <w:p w14:paraId="031E51B5">
            <w:pPr>
              <w:keepNext w:val="0"/>
              <w:keepLines w:val="0"/>
              <w:widowControl/>
              <w:suppressLineNumbers w:val="0"/>
              <w:spacing w:before="0" w:beforeAutospacing="0" w:after="0" w:afterAutospacing="0" w:line="480" w:lineRule="atLeast"/>
              <w:ind w:left="0" w:right="0"/>
              <w:jc w:val="left"/>
              <w:rPr>
                <w:sz w:val="24"/>
                <w:szCs w:val="24"/>
              </w:rPr>
            </w:pPr>
            <w:r>
              <w:rPr>
                <w:rFonts w:ascii="宋体" w:hAnsi="宋体" w:eastAsia="宋体" w:cs="宋体"/>
                <w:kern w:val="0"/>
                <w:sz w:val="24"/>
                <w:szCs w:val="24"/>
                <w:lang w:val="en-US" w:eastAsia="zh-CN" w:bidi="ar"/>
              </w:rPr>
              <w:t> </w:t>
            </w:r>
          </w:p>
        </w:tc>
        <w:tc>
          <w:tcPr>
            <w:tcW w:w="1668" w:type="dxa"/>
            <w:tcBorders>
              <w:top w:val="nil"/>
              <w:left w:val="nil"/>
              <w:bottom w:val="single" w:color="000000" w:sz="8" w:space="0"/>
              <w:right w:val="single" w:color="000000" w:sz="8" w:space="0"/>
            </w:tcBorders>
            <w:shd w:val="clear" w:color="auto" w:fill="auto"/>
            <w:vAlign w:val="center"/>
          </w:tcPr>
          <w:p w14:paraId="710FF4B6">
            <w:pPr>
              <w:keepNext w:val="0"/>
              <w:keepLines w:val="0"/>
              <w:widowControl/>
              <w:suppressLineNumbers w:val="0"/>
              <w:spacing w:before="0" w:beforeAutospacing="0" w:after="0" w:afterAutospacing="0" w:line="480" w:lineRule="atLeast"/>
              <w:ind w:left="0" w:right="0"/>
              <w:jc w:val="left"/>
              <w:rPr>
                <w:sz w:val="24"/>
                <w:szCs w:val="24"/>
              </w:rPr>
            </w:pPr>
            <w:r>
              <w:rPr>
                <w:rFonts w:ascii="宋体" w:hAnsi="宋体" w:eastAsia="宋体" w:cs="宋体"/>
                <w:kern w:val="0"/>
                <w:sz w:val="24"/>
                <w:szCs w:val="24"/>
                <w:lang w:val="en-US" w:eastAsia="zh-CN" w:bidi="ar"/>
              </w:rPr>
              <w:t> </w:t>
            </w:r>
          </w:p>
        </w:tc>
        <w:tc>
          <w:tcPr>
            <w:tcW w:w="1353" w:type="dxa"/>
            <w:gridSpan w:val="2"/>
            <w:tcBorders>
              <w:top w:val="nil"/>
              <w:left w:val="nil"/>
              <w:bottom w:val="single" w:color="000000" w:sz="8" w:space="0"/>
              <w:right w:val="single" w:color="000000" w:sz="8" w:space="0"/>
            </w:tcBorders>
            <w:shd w:val="clear" w:color="auto" w:fill="auto"/>
            <w:vAlign w:val="center"/>
          </w:tcPr>
          <w:p w14:paraId="00980A37">
            <w:pPr>
              <w:keepNext w:val="0"/>
              <w:keepLines w:val="0"/>
              <w:widowControl/>
              <w:suppressLineNumbers w:val="0"/>
              <w:spacing w:before="0" w:beforeAutospacing="0" w:after="0" w:afterAutospacing="0" w:line="480" w:lineRule="atLeast"/>
              <w:ind w:left="0" w:right="0"/>
              <w:jc w:val="left"/>
              <w:rPr>
                <w:sz w:val="24"/>
                <w:szCs w:val="24"/>
              </w:rPr>
            </w:pPr>
            <w:r>
              <w:rPr>
                <w:rFonts w:ascii="宋体" w:hAnsi="宋体" w:eastAsia="宋体" w:cs="宋体"/>
                <w:kern w:val="0"/>
                <w:sz w:val="24"/>
                <w:szCs w:val="24"/>
                <w:lang w:val="en-US" w:eastAsia="zh-CN" w:bidi="ar"/>
              </w:rPr>
              <w:t> </w:t>
            </w:r>
          </w:p>
        </w:tc>
        <w:tc>
          <w:tcPr>
            <w:tcW w:w="1352" w:type="dxa"/>
            <w:gridSpan w:val="2"/>
            <w:tcBorders>
              <w:top w:val="nil"/>
              <w:left w:val="nil"/>
              <w:bottom w:val="single" w:color="000000" w:sz="8" w:space="0"/>
              <w:right w:val="single" w:color="000000" w:sz="8" w:space="0"/>
            </w:tcBorders>
            <w:shd w:val="clear" w:color="auto" w:fill="auto"/>
            <w:vAlign w:val="center"/>
          </w:tcPr>
          <w:p w14:paraId="3282BFA1">
            <w:pPr>
              <w:keepNext w:val="0"/>
              <w:keepLines w:val="0"/>
              <w:widowControl/>
              <w:suppressLineNumbers w:val="0"/>
              <w:spacing w:before="0" w:beforeAutospacing="0" w:after="0" w:afterAutospacing="0" w:line="480" w:lineRule="atLeast"/>
              <w:ind w:left="0" w:right="0"/>
              <w:jc w:val="left"/>
              <w:rPr>
                <w:sz w:val="24"/>
                <w:szCs w:val="24"/>
              </w:rPr>
            </w:pPr>
            <w:r>
              <w:rPr>
                <w:rFonts w:ascii="宋体" w:hAnsi="宋体" w:eastAsia="宋体" w:cs="宋体"/>
                <w:kern w:val="0"/>
                <w:sz w:val="24"/>
                <w:szCs w:val="24"/>
                <w:lang w:val="en-US" w:eastAsia="zh-CN" w:bidi="ar"/>
              </w:rPr>
              <w:t> </w:t>
            </w:r>
          </w:p>
        </w:tc>
        <w:tc>
          <w:tcPr>
            <w:tcW w:w="1476" w:type="dxa"/>
            <w:tcBorders>
              <w:top w:val="nil"/>
              <w:left w:val="nil"/>
              <w:bottom w:val="single" w:color="000000" w:sz="8" w:space="0"/>
              <w:right w:val="single" w:color="000000" w:sz="8" w:space="0"/>
            </w:tcBorders>
            <w:shd w:val="clear" w:color="auto" w:fill="auto"/>
            <w:vAlign w:val="center"/>
          </w:tcPr>
          <w:p w14:paraId="419468AE">
            <w:pPr>
              <w:keepNext w:val="0"/>
              <w:keepLines w:val="0"/>
              <w:widowControl/>
              <w:suppressLineNumbers w:val="0"/>
              <w:spacing w:before="0" w:beforeAutospacing="0" w:after="0" w:afterAutospacing="0" w:line="480" w:lineRule="atLeast"/>
              <w:ind w:left="0" w:right="0"/>
              <w:jc w:val="left"/>
              <w:rPr>
                <w:sz w:val="24"/>
                <w:szCs w:val="24"/>
              </w:rPr>
            </w:pPr>
            <w:r>
              <w:rPr>
                <w:rFonts w:ascii="宋体" w:hAnsi="宋体" w:eastAsia="宋体" w:cs="宋体"/>
                <w:kern w:val="0"/>
                <w:sz w:val="24"/>
                <w:szCs w:val="24"/>
                <w:lang w:val="en-US" w:eastAsia="zh-CN" w:bidi="ar"/>
              </w:rPr>
              <w:t> </w:t>
            </w:r>
          </w:p>
        </w:tc>
      </w:tr>
      <w:tr w14:paraId="39C353E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716" w:hRule="atLeast"/>
          <w:jc w:val="center"/>
        </w:trPr>
        <w:tc>
          <w:tcPr>
            <w:tcW w:w="2945" w:type="dxa"/>
            <w:gridSpan w:val="2"/>
            <w:tcBorders>
              <w:top w:val="nil"/>
              <w:left w:val="single" w:color="000000" w:sz="8" w:space="0"/>
              <w:bottom w:val="single" w:color="000000" w:sz="8" w:space="0"/>
              <w:right w:val="single" w:color="000000" w:sz="8" w:space="0"/>
            </w:tcBorders>
            <w:shd w:val="clear" w:color="auto" w:fill="auto"/>
            <w:vAlign w:val="center"/>
          </w:tcPr>
          <w:p w14:paraId="64CDC05A">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0" w:line="480" w:lineRule="atLeast"/>
              <w:ind w:left="0" w:right="0"/>
              <w:jc w:val="center"/>
              <w:rPr>
                <w:sz w:val="24"/>
                <w:szCs w:val="24"/>
              </w:rPr>
            </w:pPr>
            <w:r>
              <w:rPr>
                <w:sz w:val="24"/>
                <w:szCs w:val="24"/>
              </w:rPr>
              <w:t>申报承诺</w:t>
            </w:r>
          </w:p>
        </w:tc>
        <w:tc>
          <w:tcPr>
            <w:tcW w:w="5849" w:type="dxa"/>
            <w:gridSpan w:val="6"/>
            <w:tcBorders>
              <w:top w:val="nil"/>
              <w:left w:val="nil"/>
              <w:bottom w:val="single" w:color="000000" w:sz="8" w:space="0"/>
              <w:right w:val="single" w:color="000000" w:sz="8" w:space="0"/>
            </w:tcBorders>
            <w:shd w:val="clear" w:color="auto" w:fill="auto"/>
            <w:vAlign w:val="center"/>
          </w:tcPr>
          <w:p w14:paraId="33C8966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1" w:after="0" w:afterAutospacing="0" w:line="480" w:lineRule="exact"/>
              <w:ind w:left="0" w:right="0" w:firstLine="480" w:firstLineChars="200"/>
              <w:jc w:val="left"/>
              <w:textAlignment w:val="auto"/>
              <w:rPr>
                <w:sz w:val="24"/>
                <w:szCs w:val="24"/>
              </w:rPr>
            </w:pPr>
            <w:r>
              <w:rPr>
                <w:sz w:val="24"/>
                <w:szCs w:val="24"/>
              </w:rPr>
              <w:t>对申报材料的真实性负责，承担烘干中心（点）建设的主体责任。</w:t>
            </w:r>
          </w:p>
          <w:p w14:paraId="27736ED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1" w:after="0" w:afterAutospacing="0" w:line="480" w:lineRule="exact"/>
              <w:ind w:left="2873" w:leftChars="1368" w:right="0" w:firstLine="0" w:firstLineChars="0"/>
              <w:jc w:val="left"/>
              <w:textAlignment w:val="auto"/>
              <w:rPr>
                <w:sz w:val="24"/>
                <w:szCs w:val="24"/>
              </w:rPr>
            </w:pPr>
            <w:r>
              <w:rPr>
                <w:sz w:val="24"/>
                <w:szCs w:val="24"/>
              </w:rPr>
              <w:t>盖章、签字：</w:t>
            </w:r>
            <w:r>
              <w:rPr>
                <w:rFonts w:hint="eastAsia"/>
                <w:sz w:val="24"/>
                <w:szCs w:val="24"/>
                <w:lang w:val="en-US" w:eastAsia="zh-CN"/>
              </w:rPr>
              <w:t xml:space="preserve">      </w:t>
            </w:r>
            <w:r>
              <w:rPr>
                <w:sz w:val="24"/>
                <w:szCs w:val="24"/>
              </w:rPr>
              <w:t>年    月   日</w:t>
            </w:r>
            <w:r>
              <w:rPr>
                <w:rFonts w:hint="default" w:ascii="Arial" w:hAnsi="Arial" w:cs="Arial"/>
                <w:sz w:val="24"/>
                <w:szCs w:val="24"/>
              </w:rPr>
              <w:t> </w:t>
            </w:r>
          </w:p>
        </w:tc>
      </w:tr>
      <w:tr w14:paraId="1A0A252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58" w:hRule="atLeast"/>
          <w:jc w:val="center"/>
        </w:trPr>
        <w:tc>
          <w:tcPr>
            <w:tcW w:w="8794" w:type="dxa"/>
            <w:gridSpan w:val="8"/>
            <w:tcBorders>
              <w:top w:val="nil"/>
              <w:left w:val="single" w:color="000000" w:sz="8" w:space="0"/>
              <w:bottom w:val="single" w:color="000000" w:sz="8" w:space="0"/>
              <w:right w:val="single" w:color="000000" w:sz="8" w:space="0"/>
            </w:tcBorders>
            <w:shd w:val="clear" w:color="auto" w:fill="auto"/>
            <w:vAlign w:val="center"/>
          </w:tcPr>
          <w:p w14:paraId="6505364F">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0" w:line="480" w:lineRule="atLeast"/>
              <w:ind w:left="0" w:right="0"/>
              <w:rPr>
                <w:sz w:val="24"/>
                <w:szCs w:val="24"/>
              </w:rPr>
            </w:pPr>
            <w:r>
              <w:rPr>
                <w:sz w:val="24"/>
                <w:szCs w:val="24"/>
              </w:rPr>
              <w:t>乡（镇）乡村振兴服务中心意见：</w:t>
            </w:r>
          </w:p>
          <w:p w14:paraId="384DEC2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1" w:after="0" w:afterAutospacing="0" w:line="240" w:lineRule="exact"/>
              <w:ind w:left="0" w:right="0"/>
              <w:jc w:val="center"/>
              <w:textAlignment w:val="auto"/>
              <w:rPr>
                <w:rFonts w:hint="eastAsia"/>
                <w:sz w:val="24"/>
                <w:szCs w:val="24"/>
                <w:lang w:val="en-US" w:eastAsia="zh-CN"/>
              </w:rPr>
            </w:pPr>
            <w:r>
              <w:rPr>
                <w:rFonts w:hint="eastAsia"/>
                <w:sz w:val="24"/>
                <w:szCs w:val="24"/>
                <w:lang w:val="en-US" w:eastAsia="zh-CN"/>
              </w:rPr>
              <w:t xml:space="preserve">                               </w:t>
            </w:r>
            <w:r>
              <w:rPr>
                <w:sz w:val="24"/>
                <w:szCs w:val="24"/>
              </w:rPr>
              <w:t>盖章、签字：</w:t>
            </w:r>
            <w:r>
              <w:rPr>
                <w:rFonts w:hint="eastAsia"/>
                <w:sz w:val="24"/>
                <w:szCs w:val="24"/>
                <w:lang w:val="en-US" w:eastAsia="zh-CN"/>
              </w:rPr>
              <w:t xml:space="preserve">                           </w:t>
            </w:r>
          </w:p>
          <w:p w14:paraId="4D2624C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1" w:after="0" w:afterAutospacing="0" w:line="240" w:lineRule="exact"/>
              <w:ind w:left="0" w:right="0"/>
              <w:jc w:val="center"/>
              <w:textAlignment w:val="auto"/>
              <w:rPr>
                <w:sz w:val="24"/>
                <w:szCs w:val="24"/>
              </w:rPr>
            </w:pPr>
            <w:r>
              <w:rPr>
                <w:rFonts w:hint="eastAsia"/>
                <w:sz w:val="24"/>
                <w:szCs w:val="24"/>
                <w:lang w:val="en-US" w:eastAsia="zh-CN"/>
              </w:rPr>
              <w:t xml:space="preserve">                              </w:t>
            </w:r>
            <w:r>
              <w:rPr>
                <w:sz w:val="24"/>
                <w:szCs w:val="24"/>
              </w:rPr>
              <w:t>年    月   日</w:t>
            </w:r>
            <w:r>
              <w:rPr>
                <w:rFonts w:hint="default" w:ascii="Arial" w:hAnsi="Arial" w:cs="Arial"/>
                <w:sz w:val="24"/>
                <w:szCs w:val="24"/>
              </w:rPr>
              <w:t> </w:t>
            </w:r>
          </w:p>
        </w:tc>
      </w:tr>
    </w:tbl>
    <w:p w14:paraId="33B5F752">
      <w:pPr>
        <w:rPr>
          <w:rFonts w:hint="default" w:ascii="仿宋_GB2312" w:hAnsi="仿宋_GB2312" w:eastAsia="仿宋_GB2312" w:cs="仿宋_GB2312"/>
          <w:i w:val="0"/>
          <w:iCs w:val="0"/>
          <w:caps w:val="0"/>
          <w:color w:val="333333"/>
          <w:spacing w:val="0"/>
          <w:sz w:val="32"/>
          <w:szCs w:val="32"/>
          <w:lang w:val="en-US" w:eastAsia="zh-CN"/>
        </w:rPr>
      </w:pPr>
      <w:r>
        <w:rPr>
          <w:rFonts w:hint="eastAsia" w:ascii="宋体" w:hAnsi="宋体" w:eastAsia="宋体" w:cs="宋体"/>
          <w:i w:val="0"/>
          <w:iCs w:val="0"/>
          <w:caps w:val="0"/>
          <w:color w:val="333333"/>
          <w:spacing w:val="0"/>
          <w:sz w:val="24"/>
          <w:szCs w:val="24"/>
        </w:rPr>
        <w:t xml:space="preserve">              </w:t>
      </w:r>
    </w:p>
    <w:sectPr>
      <w:footerReference r:id="rId3" w:type="default"/>
      <w:pgSz w:w="11906" w:h="16838"/>
      <w:pgMar w:top="1440" w:right="1633" w:bottom="1440" w:left="163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 w:name="国标楷体-GB/T 2312">
    <w:altName w:val="楷体_GB2312"/>
    <w:panose1 w:val="02000500000000000000"/>
    <w:charset w:val="86"/>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5B4684">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75D3B8">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F75D3B8">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yZTI2NmNjMGEzMjkxMWRiNDkwOGM2Mjk5YjNjMTUifQ=="/>
  </w:docVars>
  <w:rsids>
    <w:rsidRoot w:val="5FAD7C65"/>
    <w:rsid w:val="0089189B"/>
    <w:rsid w:val="00925708"/>
    <w:rsid w:val="03306067"/>
    <w:rsid w:val="033E52E5"/>
    <w:rsid w:val="043964FE"/>
    <w:rsid w:val="04477AA3"/>
    <w:rsid w:val="04561F88"/>
    <w:rsid w:val="048C2C25"/>
    <w:rsid w:val="04E01DD0"/>
    <w:rsid w:val="04F05A45"/>
    <w:rsid w:val="05FC6DAA"/>
    <w:rsid w:val="07A01F66"/>
    <w:rsid w:val="07FF1B7D"/>
    <w:rsid w:val="08243401"/>
    <w:rsid w:val="0AFF0AA5"/>
    <w:rsid w:val="0B426708"/>
    <w:rsid w:val="0CBC55DD"/>
    <w:rsid w:val="0D51729D"/>
    <w:rsid w:val="0D652ED2"/>
    <w:rsid w:val="0D870F11"/>
    <w:rsid w:val="0E74579E"/>
    <w:rsid w:val="0F5C4F59"/>
    <w:rsid w:val="0FBFB604"/>
    <w:rsid w:val="12965764"/>
    <w:rsid w:val="130628D8"/>
    <w:rsid w:val="13C62FF3"/>
    <w:rsid w:val="15BF294B"/>
    <w:rsid w:val="16987F15"/>
    <w:rsid w:val="16F413C5"/>
    <w:rsid w:val="17A80401"/>
    <w:rsid w:val="18B63AA1"/>
    <w:rsid w:val="190A210A"/>
    <w:rsid w:val="1A3D7568"/>
    <w:rsid w:val="1B8371BB"/>
    <w:rsid w:val="1CD8213E"/>
    <w:rsid w:val="1DCF66E8"/>
    <w:rsid w:val="1FAD2A59"/>
    <w:rsid w:val="2250130A"/>
    <w:rsid w:val="25DA20CE"/>
    <w:rsid w:val="287164D2"/>
    <w:rsid w:val="2C596F08"/>
    <w:rsid w:val="2EEFBCE6"/>
    <w:rsid w:val="2FFDC227"/>
    <w:rsid w:val="310A4730"/>
    <w:rsid w:val="320E1C7C"/>
    <w:rsid w:val="333F17C2"/>
    <w:rsid w:val="34E964AB"/>
    <w:rsid w:val="37785DC5"/>
    <w:rsid w:val="37C57671"/>
    <w:rsid w:val="396E7A6D"/>
    <w:rsid w:val="3B190B4B"/>
    <w:rsid w:val="3EFD40E1"/>
    <w:rsid w:val="3F420E46"/>
    <w:rsid w:val="3F4A1C1A"/>
    <w:rsid w:val="404B5AFD"/>
    <w:rsid w:val="45460864"/>
    <w:rsid w:val="461C1043"/>
    <w:rsid w:val="466853A8"/>
    <w:rsid w:val="48BE31D2"/>
    <w:rsid w:val="492C89FC"/>
    <w:rsid w:val="4E043F4E"/>
    <w:rsid w:val="4FFFE154"/>
    <w:rsid w:val="51731323"/>
    <w:rsid w:val="53007CBE"/>
    <w:rsid w:val="56230907"/>
    <w:rsid w:val="567862DE"/>
    <w:rsid w:val="5694698E"/>
    <w:rsid w:val="577607BB"/>
    <w:rsid w:val="5CB06411"/>
    <w:rsid w:val="5DA052A8"/>
    <w:rsid w:val="5DBD22C3"/>
    <w:rsid w:val="5E29D68D"/>
    <w:rsid w:val="5FAD7C65"/>
    <w:rsid w:val="618B0515"/>
    <w:rsid w:val="61B72569"/>
    <w:rsid w:val="623E5335"/>
    <w:rsid w:val="62A52983"/>
    <w:rsid w:val="65AD68DC"/>
    <w:rsid w:val="66234947"/>
    <w:rsid w:val="66AF0431"/>
    <w:rsid w:val="69561384"/>
    <w:rsid w:val="6AB778B5"/>
    <w:rsid w:val="6BD558D2"/>
    <w:rsid w:val="6D301BA0"/>
    <w:rsid w:val="6E0C21FA"/>
    <w:rsid w:val="6F1331B8"/>
    <w:rsid w:val="6F886237"/>
    <w:rsid w:val="6FF30C20"/>
    <w:rsid w:val="70136A8B"/>
    <w:rsid w:val="76BD4B83"/>
    <w:rsid w:val="79123465"/>
    <w:rsid w:val="79F4D231"/>
    <w:rsid w:val="7A677F46"/>
    <w:rsid w:val="7ADD5115"/>
    <w:rsid w:val="7BBFB12F"/>
    <w:rsid w:val="7D603DDC"/>
    <w:rsid w:val="7DEFF418"/>
    <w:rsid w:val="7EB268B9"/>
    <w:rsid w:val="7EC16AFC"/>
    <w:rsid w:val="7F141322"/>
    <w:rsid w:val="7F4E2142"/>
    <w:rsid w:val="7F7B3836"/>
    <w:rsid w:val="7F7E7782"/>
    <w:rsid w:val="7F99021C"/>
    <w:rsid w:val="AFE9345B"/>
    <w:rsid w:val="B775C3C6"/>
    <w:rsid w:val="BFDFE387"/>
    <w:rsid w:val="DAFD0B10"/>
    <w:rsid w:val="DFBF77FA"/>
    <w:rsid w:val="DFD54F3F"/>
    <w:rsid w:val="E4FE0CD8"/>
    <w:rsid w:val="F7FFDA2A"/>
    <w:rsid w:val="FA3B0C34"/>
    <w:rsid w:val="FD2F99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仿宋" w:hAnsi="仿宋" w:eastAsia="仿宋" w:cs="仿宋"/>
      <w:sz w:val="31"/>
      <w:szCs w:val="31"/>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3072</Words>
  <Characters>3167</Characters>
  <Lines>0</Lines>
  <Paragraphs>0</Paragraphs>
  <TotalTime>0</TotalTime>
  <ScaleCrop>false</ScaleCrop>
  <LinksUpToDate>false</LinksUpToDate>
  <CharactersWithSpaces>3440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2024-08-27T17:30:00Z</dcterms:created>
  <dc:creator>精灵</dc:creator>
  <cp:lastModifiedBy>Administrator</cp:lastModifiedBy>
  <cp:lastPrinted>2024-08-30T08:37:00Z</cp:lastPrinted>
  <dcterms:modified xsi:type="dcterms:W3CDTF">2026-08-05T09:15:00Z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EFF21C859D34487C8704706A40A3A8DE_43</vt:lpwstr>
  </property>
  <property fmtid="{D5CDD505-2E9C-101B-9397-08002B2CF9AE}" pid="4" name="KSOTemplateDocerSaveRecord">
    <vt:lpwstr>eyJoZGlkIjoiZmVkOGJlOWRlZjkyNDdkOTRmOGVmMGVlNTdiM2M5MGQifQ==</vt:lpwstr>
  </property>
</Properties>
</file>