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16439">
      <w:p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br w:type="textWrapping"/>
      </w:r>
      <w:r>
        <w:rPr>
          <w:rFonts w:hint="eastAsia" w:ascii="黑体" w:hAnsi="黑体" w:eastAsia="黑体" w:cs="黑体"/>
          <w:b w:val="0"/>
          <w:bCs w:val="0"/>
          <w:sz w:val="32"/>
          <w:szCs w:val="32"/>
          <w:lang w:val="en-US" w:eastAsia="zh-CN"/>
        </w:rPr>
        <w:t>附件2</w:t>
      </w:r>
    </w:p>
    <w:p w14:paraId="2F4F6A67">
      <w:pPr>
        <w:jc w:val="center"/>
        <w:rPr>
          <w:rFonts w:hint="eastAsia"/>
          <w:b/>
          <w:bCs/>
          <w:sz w:val="52"/>
          <w:szCs w:val="52"/>
        </w:rPr>
      </w:pPr>
      <w:r>
        <w:rPr>
          <w:rFonts w:hint="eastAsia"/>
          <w:b/>
          <w:bCs/>
          <w:sz w:val="52"/>
          <w:szCs w:val="52"/>
        </w:rPr>
        <w:t>长汀县殡葬设施专项规划</w:t>
      </w:r>
      <w:r>
        <w:rPr>
          <w:rFonts w:hint="eastAsia"/>
          <w:b/>
          <w:bCs/>
          <w:sz w:val="52"/>
          <w:szCs w:val="52"/>
          <w:lang w:eastAsia="zh-CN"/>
        </w:rPr>
        <w:t>编制说明</w:t>
      </w:r>
    </w:p>
    <w:p w14:paraId="46D60B03">
      <w:pPr>
        <w:jc w:val="center"/>
        <w:rPr>
          <w:rFonts w:hint="eastAsia"/>
          <w:b/>
          <w:bCs/>
          <w:sz w:val="52"/>
          <w:szCs w:val="52"/>
        </w:rPr>
      </w:pPr>
      <w:r>
        <w:rPr>
          <w:rFonts w:hint="eastAsia"/>
          <w:b/>
          <w:bCs/>
          <w:sz w:val="52"/>
          <w:szCs w:val="52"/>
        </w:rPr>
        <w:t>（202</w:t>
      </w:r>
      <w:r>
        <w:rPr>
          <w:rFonts w:hint="eastAsia"/>
          <w:b/>
          <w:bCs/>
          <w:sz w:val="52"/>
          <w:szCs w:val="52"/>
          <w:lang w:val="en-US" w:eastAsia="zh-CN"/>
        </w:rPr>
        <w:t>5</w:t>
      </w:r>
      <w:r>
        <w:rPr>
          <w:rFonts w:hint="eastAsia"/>
          <w:b/>
          <w:bCs/>
          <w:sz w:val="52"/>
          <w:szCs w:val="52"/>
        </w:rPr>
        <w:t>-2035年）</w:t>
      </w:r>
    </w:p>
    <w:p w14:paraId="59F76A5E">
      <w:pPr>
        <w:jc w:val="center"/>
        <w:rPr>
          <w:rFonts w:hint="eastAsia" w:eastAsiaTheme="minorEastAsia"/>
          <w:b/>
          <w:bCs/>
          <w:sz w:val="32"/>
          <w:szCs w:val="32"/>
          <w:lang w:val="en-US" w:eastAsia="zh-CN"/>
        </w:rPr>
      </w:pPr>
    </w:p>
    <w:p w14:paraId="6658A00D"/>
    <w:p w14:paraId="3E7C19E7">
      <w:pPr>
        <w:bidi w:val="0"/>
        <w:rPr>
          <w:rFonts w:asciiTheme="minorHAnsi" w:hAnsiTheme="minorHAnsi" w:eastAsiaTheme="minorEastAsia" w:cstheme="minorBidi"/>
          <w:kern w:val="2"/>
          <w:sz w:val="21"/>
          <w:szCs w:val="24"/>
          <w:lang w:val="en-US" w:eastAsia="zh-CN" w:bidi="ar-SA"/>
        </w:rPr>
      </w:pPr>
    </w:p>
    <w:p w14:paraId="3F9A8EF8">
      <w:pPr>
        <w:bidi w:val="0"/>
        <w:rPr>
          <w:lang w:val="en-US" w:eastAsia="zh-CN"/>
        </w:rPr>
      </w:pPr>
    </w:p>
    <w:p w14:paraId="59610AAB">
      <w:pPr>
        <w:bidi w:val="0"/>
        <w:rPr>
          <w:lang w:val="en-US" w:eastAsia="zh-CN"/>
        </w:rPr>
      </w:pPr>
    </w:p>
    <w:p w14:paraId="73388C34">
      <w:pPr>
        <w:bidi w:val="0"/>
        <w:rPr>
          <w:lang w:val="en-US" w:eastAsia="zh-CN"/>
        </w:rPr>
      </w:pPr>
    </w:p>
    <w:p w14:paraId="5826BA78">
      <w:pPr>
        <w:bidi w:val="0"/>
        <w:rPr>
          <w:lang w:val="en-US" w:eastAsia="zh-CN"/>
        </w:rPr>
      </w:pPr>
    </w:p>
    <w:p w14:paraId="45EA2A7A">
      <w:pPr>
        <w:bidi w:val="0"/>
        <w:rPr>
          <w:lang w:val="en-US" w:eastAsia="zh-CN"/>
        </w:rPr>
      </w:pPr>
    </w:p>
    <w:p w14:paraId="4564EF8E">
      <w:pPr>
        <w:bidi w:val="0"/>
        <w:rPr>
          <w:lang w:val="en-US" w:eastAsia="zh-CN"/>
        </w:rPr>
      </w:pPr>
    </w:p>
    <w:p w14:paraId="0D73D21C">
      <w:pPr>
        <w:bidi w:val="0"/>
        <w:rPr>
          <w:lang w:val="en-US" w:eastAsia="zh-CN"/>
        </w:rPr>
      </w:pPr>
    </w:p>
    <w:p w14:paraId="108E17C4">
      <w:pPr>
        <w:bidi w:val="0"/>
        <w:rPr>
          <w:lang w:val="en-US" w:eastAsia="zh-CN"/>
        </w:rPr>
      </w:pPr>
    </w:p>
    <w:p w14:paraId="0BF4F724">
      <w:pPr>
        <w:bidi w:val="0"/>
        <w:rPr>
          <w:lang w:val="en-US" w:eastAsia="zh-CN"/>
        </w:rPr>
      </w:pPr>
    </w:p>
    <w:p w14:paraId="7B2488C3">
      <w:pPr>
        <w:bidi w:val="0"/>
        <w:rPr>
          <w:lang w:val="en-US" w:eastAsia="zh-CN"/>
        </w:rPr>
      </w:pPr>
    </w:p>
    <w:p w14:paraId="1337F2CF">
      <w:pPr>
        <w:bidi w:val="0"/>
        <w:rPr>
          <w:lang w:val="en-US" w:eastAsia="zh-CN"/>
        </w:rPr>
      </w:pPr>
    </w:p>
    <w:p w14:paraId="49C36EB9">
      <w:pPr>
        <w:bidi w:val="0"/>
        <w:rPr>
          <w:lang w:val="en-US" w:eastAsia="zh-CN"/>
        </w:rPr>
      </w:pPr>
    </w:p>
    <w:p w14:paraId="7B5ABA31">
      <w:pPr>
        <w:bidi w:val="0"/>
        <w:rPr>
          <w:lang w:val="en-US" w:eastAsia="zh-CN"/>
        </w:rPr>
      </w:pPr>
    </w:p>
    <w:p w14:paraId="0B21E3BC">
      <w:pPr>
        <w:bidi w:val="0"/>
        <w:rPr>
          <w:lang w:val="en-US" w:eastAsia="zh-CN"/>
        </w:rPr>
      </w:pPr>
    </w:p>
    <w:p w14:paraId="3257ED5C">
      <w:pPr>
        <w:bidi w:val="0"/>
        <w:rPr>
          <w:lang w:val="en-US" w:eastAsia="zh-CN"/>
        </w:rPr>
      </w:pPr>
    </w:p>
    <w:p w14:paraId="51C0C3AE">
      <w:pPr>
        <w:bidi w:val="0"/>
        <w:rPr>
          <w:lang w:val="en-US" w:eastAsia="zh-CN"/>
        </w:rPr>
      </w:pPr>
    </w:p>
    <w:p w14:paraId="39529517">
      <w:pPr>
        <w:bidi w:val="0"/>
        <w:rPr>
          <w:lang w:val="en-US" w:eastAsia="zh-CN"/>
        </w:rPr>
      </w:pPr>
    </w:p>
    <w:p w14:paraId="29DDE83D">
      <w:pPr>
        <w:bidi w:val="0"/>
        <w:rPr>
          <w:lang w:val="en-US" w:eastAsia="zh-CN"/>
        </w:rPr>
      </w:pPr>
    </w:p>
    <w:p w14:paraId="4CA99644">
      <w:pPr>
        <w:bidi w:val="0"/>
        <w:rPr>
          <w:lang w:val="en-US" w:eastAsia="zh-CN"/>
        </w:rPr>
      </w:pPr>
    </w:p>
    <w:p w14:paraId="47012470">
      <w:pPr>
        <w:bidi w:val="0"/>
        <w:jc w:val="left"/>
        <w:rPr>
          <w:lang w:val="en-US" w:eastAsia="zh-CN"/>
        </w:rPr>
      </w:pPr>
    </w:p>
    <w:p w14:paraId="3A5BA006">
      <w:pPr>
        <w:bidi w:val="0"/>
        <w:ind w:firstLine="514" w:firstLineChars="0"/>
        <w:jc w:val="center"/>
        <w:rPr>
          <w:rFonts w:hint="eastAsia"/>
          <w:b/>
          <w:bCs/>
          <w:sz w:val="32"/>
          <w:szCs w:val="32"/>
          <w:lang w:val="en-US" w:eastAsia="zh-CN"/>
        </w:rPr>
      </w:pPr>
      <w:r>
        <w:rPr>
          <w:rFonts w:hint="eastAsia"/>
          <w:b/>
          <w:bCs/>
          <w:sz w:val="32"/>
          <w:szCs w:val="32"/>
          <w:lang w:val="en-US" w:eastAsia="zh-CN"/>
        </w:rPr>
        <w:t>委托单位：长汀县民政局</w:t>
      </w:r>
    </w:p>
    <w:p w14:paraId="3814E9CC">
      <w:pPr>
        <w:bidi w:val="0"/>
        <w:ind w:firstLine="514" w:firstLineChars="0"/>
        <w:jc w:val="center"/>
        <w:rPr>
          <w:rFonts w:hint="eastAsia"/>
          <w:b/>
          <w:bCs/>
          <w:sz w:val="32"/>
          <w:szCs w:val="32"/>
          <w:lang w:val="en-US" w:eastAsia="zh-CN"/>
        </w:rPr>
      </w:pPr>
      <w:r>
        <w:rPr>
          <w:rFonts w:hint="eastAsia"/>
          <w:b/>
          <w:bCs/>
          <w:sz w:val="32"/>
          <w:szCs w:val="32"/>
          <w:lang w:val="en-US" w:eastAsia="zh-CN"/>
        </w:rPr>
        <w:t>编制单位：顺风建筑规划设计有限公司</w:t>
      </w:r>
    </w:p>
    <w:p w14:paraId="40A4EADA">
      <w:pPr>
        <w:jc w:val="center"/>
        <w:rPr>
          <w:rFonts w:hint="eastAsia"/>
          <w:b/>
          <w:bCs/>
          <w:sz w:val="28"/>
          <w:szCs w:val="28"/>
          <w:lang w:val="en-US" w:eastAsia="zh-CN"/>
        </w:rPr>
      </w:pPr>
      <w:r>
        <w:rPr>
          <w:rFonts w:hint="eastAsia"/>
          <w:b/>
          <w:bCs/>
          <w:sz w:val="28"/>
          <w:szCs w:val="28"/>
          <w:lang w:val="en-US" w:eastAsia="zh-CN"/>
        </w:rPr>
        <w:t>2025年7月</w:t>
      </w:r>
    </w:p>
    <w:p w14:paraId="64C6F40C">
      <w:pPr>
        <w:jc w:val="center"/>
        <w:rPr>
          <w:rFonts w:hint="eastAsia"/>
          <w:b/>
          <w:bCs/>
          <w:sz w:val="28"/>
          <w:szCs w:val="28"/>
          <w:lang w:val="en-US" w:eastAsia="zh-CN"/>
        </w:rPr>
      </w:pPr>
    </w:p>
    <w:p w14:paraId="00B20926">
      <w:pPr>
        <w:jc w:val="both"/>
        <w:rPr>
          <w:rFonts w:hint="eastAsia"/>
          <w:b/>
          <w:bCs/>
          <w:sz w:val="28"/>
          <w:szCs w:val="28"/>
          <w:lang w:val="en-US" w:eastAsia="zh-CN"/>
        </w:rPr>
      </w:pPr>
      <w:bookmarkStart w:id="77" w:name="_GoBack"/>
      <w:bookmarkEnd w:id="77"/>
    </w:p>
    <w:p w14:paraId="23C390FC">
      <w:pPr>
        <w:numPr>
          <w:ilvl w:val="0"/>
          <w:numId w:val="0"/>
        </w:numPr>
        <w:ind w:left="0" w:leftChars="0" w:firstLine="0" w:firstLineChars="0"/>
        <w:jc w:val="center"/>
        <w:outlineLvl w:val="9"/>
        <w:rPr>
          <w:rFonts w:hint="eastAsia" w:ascii="微软雅黑" w:hAnsi="微软雅黑" w:eastAsia="微软雅黑" w:cs="微软雅黑"/>
          <w:b/>
          <w:bCs/>
          <w:i w:val="0"/>
          <w:iCs w:val="0"/>
          <w:caps w:val="0"/>
          <w:color w:val="000000"/>
          <w:spacing w:val="0"/>
          <w:sz w:val="36"/>
          <w:szCs w:val="36"/>
          <w:shd w:val="clear" w:fill="FFFFFF"/>
          <w:lang w:eastAsia="zh-CN"/>
        </w:rPr>
        <w:sectPr>
          <w:pgSz w:w="11906" w:h="16838"/>
          <w:pgMar w:top="1440" w:right="1800" w:bottom="1440" w:left="1800" w:header="851" w:footer="992" w:gutter="0"/>
          <w:cols w:space="425" w:num="1"/>
          <w:docGrid w:type="lines" w:linePitch="312" w:charSpace="0"/>
        </w:sectPr>
      </w:pPr>
    </w:p>
    <w:sdt>
      <w:sdtPr>
        <w:rPr>
          <w:rFonts w:ascii="宋体" w:hAnsi="宋体" w:eastAsia="宋体" w:cstheme="minorBidi"/>
          <w:kern w:val="2"/>
          <w:sz w:val="21"/>
          <w:szCs w:val="24"/>
          <w:lang w:val="en-US" w:eastAsia="zh-CN" w:bidi="ar-SA"/>
        </w:rPr>
        <w:id w:val="147471754"/>
        <w15:color w:val="DBDBDB"/>
        <w:docPartObj>
          <w:docPartGallery w:val="Table of Contents"/>
          <w:docPartUnique/>
        </w:docPartObj>
      </w:sdtPr>
      <w:sdtEndPr>
        <w:rPr>
          <w:rFonts w:ascii="宋体" w:hAnsi="宋体" w:eastAsia="宋体" w:cstheme="minorBidi"/>
          <w:kern w:val="2"/>
          <w:sz w:val="21"/>
          <w:szCs w:val="24"/>
          <w:lang w:val="en-US" w:eastAsia="zh-CN" w:bidi="ar-SA"/>
        </w:rPr>
      </w:sdtEndPr>
      <w:sdtContent>
        <w:p w14:paraId="2DFB8F59">
          <w:pPr>
            <w:spacing w:before="0" w:beforeLines="0" w:after="0" w:afterLines="0" w:line="240" w:lineRule="auto"/>
            <w:ind w:left="0" w:leftChars="0" w:right="0" w:rightChars="0" w:firstLine="0" w:firstLineChars="0"/>
            <w:jc w:val="center"/>
            <w:rPr>
              <w:b/>
              <w:bCs/>
              <w:sz w:val="32"/>
              <w:szCs w:val="40"/>
            </w:rPr>
          </w:pPr>
          <w:r>
            <w:rPr>
              <w:rFonts w:ascii="宋体" w:hAnsi="宋体" w:eastAsia="宋体"/>
              <w:b/>
              <w:bCs/>
              <w:sz w:val="32"/>
              <w:szCs w:val="40"/>
            </w:rPr>
            <w:t>目录</w:t>
          </w:r>
        </w:p>
        <w:p w14:paraId="129BD5DF">
          <w:pPr>
            <w:pStyle w:val="6"/>
            <w:tabs>
              <w:tab w:val="right" w:leader="dot" w:pos="8306"/>
            </w:tabs>
          </w:pPr>
          <w:r>
            <w:fldChar w:fldCharType="begin"/>
          </w:r>
          <w:r>
            <w:instrText xml:space="preserve">TOC \o "1-3" \h \u </w:instrText>
          </w:r>
          <w:r>
            <w:fldChar w:fldCharType="separate"/>
          </w:r>
          <w:r>
            <w:rPr>
              <w:b/>
              <w:bCs/>
            </w:rPr>
            <w:fldChar w:fldCharType="begin"/>
          </w:r>
          <w:r>
            <w:rPr>
              <w:b/>
              <w:bCs/>
            </w:rPr>
            <w:instrText xml:space="preserve"> HYPERLINK \l _Toc14630 </w:instrText>
          </w:r>
          <w:r>
            <w:rPr>
              <w:b/>
              <w:bCs/>
            </w:rPr>
            <w:fldChar w:fldCharType="separate"/>
          </w:r>
          <w:r>
            <w:rPr>
              <w:rFonts w:hint="eastAsia" w:ascii="微软雅黑" w:hAnsi="微软雅黑" w:eastAsia="微软雅黑" w:cs="微软雅黑"/>
              <w:b/>
              <w:bCs/>
              <w:i w:val="0"/>
              <w:iCs w:val="0"/>
              <w:caps w:val="0"/>
              <w:spacing w:val="0"/>
              <w:szCs w:val="36"/>
              <w:shd w:val="clear" w:fill="FFFFFF"/>
              <w:lang w:eastAsia="zh-CN"/>
            </w:rPr>
            <w:t xml:space="preserve">第一章  </w:t>
          </w:r>
          <w:r>
            <w:rPr>
              <w:rFonts w:ascii="微软雅黑" w:hAnsi="微软雅黑" w:eastAsia="微软雅黑" w:cs="微软雅黑"/>
              <w:b/>
              <w:bCs/>
              <w:i w:val="0"/>
              <w:iCs w:val="0"/>
              <w:caps w:val="0"/>
              <w:spacing w:val="0"/>
              <w:szCs w:val="36"/>
              <w:shd w:val="clear" w:fill="FFFFFF"/>
            </w:rPr>
            <w:t>总  则</w:t>
          </w:r>
          <w:r>
            <w:rPr>
              <w:b/>
              <w:bCs/>
            </w:rPr>
            <w:tab/>
          </w:r>
          <w:r>
            <w:rPr>
              <w:b/>
              <w:bCs/>
            </w:rPr>
            <w:fldChar w:fldCharType="begin"/>
          </w:r>
          <w:r>
            <w:rPr>
              <w:b/>
              <w:bCs/>
            </w:rPr>
            <w:instrText xml:space="preserve"> PAGEREF _Toc14630 \h </w:instrText>
          </w:r>
          <w:r>
            <w:rPr>
              <w:b/>
              <w:bCs/>
            </w:rPr>
            <w:fldChar w:fldCharType="separate"/>
          </w:r>
          <w:r>
            <w:rPr>
              <w:b/>
              <w:bCs/>
            </w:rPr>
            <w:t>3</w:t>
          </w:r>
          <w:r>
            <w:rPr>
              <w:b/>
              <w:bCs/>
            </w:rPr>
            <w:fldChar w:fldCharType="end"/>
          </w:r>
          <w:r>
            <w:rPr>
              <w:b/>
              <w:bCs/>
            </w:rPr>
            <w:fldChar w:fldCharType="end"/>
          </w:r>
        </w:p>
        <w:p w14:paraId="477C947F">
          <w:pPr>
            <w:pStyle w:val="6"/>
            <w:tabs>
              <w:tab w:val="right" w:leader="dot" w:pos="8306"/>
            </w:tabs>
          </w:pPr>
          <w:r>
            <w:fldChar w:fldCharType="begin"/>
          </w:r>
          <w:r>
            <w:instrText xml:space="preserve"> HYPERLINK \l _Toc24617 </w:instrText>
          </w:r>
          <w:r>
            <w:fldChar w:fldCharType="separate"/>
          </w:r>
          <w:r>
            <w:rPr>
              <w:rFonts w:hint="eastAsia" w:ascii="微软雅黑" w:hAnsi="微软雅黑" w:eastAsia="微软雅黑" w:cs="微软雅黑"/>
              <w:bCs/>
              <w:i w:val="0"/>
              <w:iCs w:val="0"/>
              <w:caps w:val="0"/>
              <w:spacing w:val="0"/>
              <w:szCs w:val="28"/>
              <w:shd w:val="clear" w:fill="FFFFFF"/>
              <w:lang w:eastAsia="zh-CN"/>
            </w:rPr>
            <w:t xml:space="preserve">一、 </w:t>
          </w:r>
          <w:r>
            <w:rPr>
              <w:rFonts w:ascii="微软雅黑" w:hAnsi="微软雅黑" w:eastAsia="微软雅黑" w:cs="微软雅黑"/>
              <w:bCs/>
              <w:i w:val="0"/>
              <w:iCs w:val="0"/>
              <w:caps w:val="0"/>
              <w:spacing w:val="0"/>
              <w:szCs w:val="28"/>
              <w:shd w:val="clear" w:fill="FFFFFF"/>
            </w:rPr>
            <w:t>规划</w:t>
          </w:r>
          <w:r>
            <w:rPr>
              <w:rFonts w:hint="eastAsia" w:ascii="微软雅黑" w:hAnsi="微软雅黑" w:eastAsia="微软雅黑" w:cs="微软雅黑"/>
              <w:bCs/>
              <w:i w:val="0"/>
              <w:iCs w:val="0"/>
              <w:caps w:val="0"/>
              <w:spacing w:val="0"/>
              <w:szCs w:val="28"/>
              <w:shd w:val="clear" w:fill="FFFFFF"/>
              <w:lang w:eastAsia="zh-CN"/>
            </w:rPr>
            <w:t>背景</w:t>
          </w:r>
          <w:r>
            <w:tab/>
          </w:r>
          <w:r>
            <w:fldChar w:fldCharType="begin"/>
          </w:r>
          <w:r>
            <w:instrText xml:space="preserve"> PAGEREF _Toc24617 \h </w:instrText>
          </w:r>
          <w:r>
            <w:fldChar w:fldCharType="separate"/>
          </w:r>
          <w:r>
            <w:t>3</w:t>
          </w:r>
          <w:r>
            <w:fldChar w:fldCharType="end"/>
          </w:r>
          <w:r>
            <w:fldChar w:fldCharType="end"/>
          </w:r>
        </w:p>
        <w:p w14:paraId="021080C8">
          <w:pPr>
            <w:pStyle w:val="6"/>
            <w:tabs>
              <w:tab w:val="right" w:leader="dot" w:pos="8306"/>
            </w:tabs>
          </w:pPr>
          <w:r>
            <w:fldChar w:fldCharType="begin"/>
          </w:r>
          <w:r>
            <w:instrText xml:space="preserve"> HYPERLINK \l _Toc20551 </w:instrText>
          </w:r>
          <w:r>
            <w:fldChar w:fldCharType="separate"/>
          </w:r>
          <w:r>
            <w:rPr>
              <w:rFonts w:hint="eastAsia" w:ascii="微软雅黑" w:hAnsi="微软雅黑" w:eastAsia="微软雅黑" w:cs="微软雅黑"/>
              <w:bCs/>
              <w:i w:val="0"/>
              <w:iCs w:val="0"/>
              <w:caps w:val="0"/>
              <w:spacing w:val="0"/>
              <w:szCs w:val="28"/>
              <w:shd w:val="clear" w:fill="FFFFFF"/>
              <w:lang w:eastAsia="zh-CN"/>
            </w:rPr>
            <w:t xml:space="preserve">二、 </w:t>
          </w:r>
          <w:r>
            <w:rPr>
              <w:rFonts w:ascii="微软雅黑" w:hAnsi="微软雅黑" w:eastAsia="微软雅黑" w:cs="微软雅黑"/>
              <w:bCs/>
              <w:i w:val="0"/>
              <w:iCs w:val="0"/>
              <w:caps w:val="0"/>
              <w:spacing w:val="0"/>
              <w:szCs w:val="28"/>
              <w:shd w:val="clear" w:fill="FFFFFF"/>
            </w:rPr>
            <w:t>规划</w:t>
          </w:r>
          <w:r>
            <w:rPr>
              <w:rFonts w:hint="eastAsia" w:ascii="微软雅黑" w:hAnsi="微软雅黑" w:eastAsia="微软雅黑" w:cs="微软雅黑"/>
              <w:bCs/>
              <w:i w:val="0"/>
              <w:iCs w:val="0"/>
              <w:caps w:val="0"/>
              <w:spacing w:val="0"/>
              <w:szCs w:val="28"/>
              <w:shd w:val="clear" w:fill="FFFFFF"/>
              <w:lang w:eastAsia="zh-CN"/>
            </w:rPr>
            <w:t>指导思想</w:t>
          </w:r>
          <w:r>
            <w:tab/>
          </w:r>
          <w:r>
            <w:fldChar w:fldCharType="begin"/>
          </w:r>
          <w:r>
            <w:instrText xml:space="preserve"> PAGEREF _Toc20551 \h </w:instrText>
          </w:r>
          <w:r>
            <w:fldChar w:fldCharType="separate"/>
          </w:r>
          <w:r>
            <w:t>5</w:t>
          </w:r>
          <w:r>
            <w:fldChar w:fldCharType="end"/>
          </w:r>
          <w:r>
            <w:fldChar w:fldCharType="end"/>
          </w:r>
        </w:p>
        <w:p w14:paraId="4FFD78B8">
          <w:pPr>
            <w:pStyle w:val="6"/>
            <w:tabs>
              <w:tab w:val="right" w:leader="dot" w:pos="8306"/>
            </w:tabs>
          </w:pPr>
          <w:r>
            <w:fldChar w:fldCharType="begin"/>
          </w:r>
          <w:r>
            <w:instrText xml:space="preserve"> HYPERLINK \l _Toc23160 </w:instrText>
          </w:r>
          <w:r>
            <w:fldChar w:fldCharType="separate"/>
          </w:r>
          <w:r>
            <w:rPr>
              <w:rFonts w:hint="eastAsia" w:ascii="微软雅黑" w:hAnsi="微软雅黑" w:eastAsia="微软雅黑" w:cs="微软雅黑"/>
              <w:bCs/>
              <w:i w:val="0"/>
              <w:iCs w:val="0"/>
              <w:caps w:val="0"/>
              <w:spacing w:val="0"/>
              <w:szCs w:val="28"/>
              <w:shd w:val="clear" w:fill="FFFFFF"/>
              <w:lang w:eastAsia="zh-CN"/>
            </w:rPr>
            <w:t>三、规划对象</w:t>
          </w:r>
          <w:r>
            <w:tab/>
          </w:r>
          <w:r>
            <w:fldChar w:fldCharType="begin"/>
          </w:r>
          <w:r>
            <w:instrText xml:space="preserve"> PAGEREF _Toc23160 \h </w:instrText>
          </w:r>
          <w:r>
            <w:fldChar w:fldCharType="separate"/>
          </w:r>
          <w:r>
            <w:t>7</w:t>
          </w:r>
          <w:r>
            <w:fldChar w:fldCharType="end"/>
          </w:r>
          <w:r>
            <w:fldChar w:fldCharType="end"/>
          </w:r>
        </w:p>
        <w:p w14:paraId="24AE3E56">
          <w:pPr>
            <w:pStyle w:val="6"/>
            <w:tabs>
              <w:tab w:val="right" w:leader="dot" w:pos="8306"/>
            </w:tabs>
          </w:pPr>
          <w:r>
            <w:fldChar w:fldCharType="begin"/>
          </w:r>
          <w:r>
            <w:instrText xml:space="preserve"> HYPERLINK \l _Toc14566 </w:instrText>
          </w:r>
          <w:r>
            <w:fldChar w:fldCharType="separate"/>
          </w:r>
          <w:r>
            <w:rPr>
              <w:rFonts w:hint="eastAsia" w:ascii="微软雅黑" w:hAnsi="微软雅黑" w:eastAsia="微软雅黑" w:cs="微软雅黑"/>
              <w:bCs/>
              <w:i w:val="0"/>
              <w:iCs w:val="0"/>
              <w:caps w:val="0"/>
              <w:spacing w:val="0"/>
              <w:szCs w:val="28"/>
              <w:shd w:val="clear" w:fill="FFFFFF"/>
              <w:lang w:eastAsia="zh-CN"/>
            </w:rPr>
            <w:t>四、发展战略和分期目标</w:t>
          </w:r>
          <w:r>
            <w:tab/>
          </w:r>
          <w:r>
            <w:fldChar w:fldCharType="begin"/>
          </w:r>
          <w:r>
            <w:instrText xml:space="preserve"> PAGEREF _Toc14566 \h </w:instrText>
          </w:r>
          <w:r>
            <w:fldChar w:fldCharType="separate"/>
          </w:r>
          <w:r>
            <w:t>8</w:t>
          </w:r>
          <w:r>
            <w:fldChar w:fldCharType="end"/>
          </w:r>
          <w:r>
            <w:fldChar w:fldCharType="end"/>
          </w:r>
        </w:p>
        <w:p w14:paraId="1D265E02">
          <w:pPr>
            <w:pStyle w:val="6"/>
            <w:tabs>
              <w:tab w:val="right" w:leader="dot" w:pos="8306"/>
            </w:tabs>
          </w:pPr>
          <w:r>
            <w:rPr>
              <w:b/>
              <w:bCs/>
            </w:rPr>
            <w:fldChar w:fldCharType="begin"/>
          </w:r>
          <w:r>
            <w:rPr>
              <w:b/>
              <w:bCs/>
            </w:rPr>
            <w:instrText xml:space="preserve"> HYPERLINK \l _Toc18406 </w:instrText>
          </w:r>
          <w:r>
            <w:rPr>
              <w:b/>
              <w:bCs/>
            </w:rPr>
            <w:fldChar w:fldCharType="separate"/>
          </w:r>
          <w:r>
            <w:rPr>
              <w:rFonts w:hint="eastAsia" w:ascii="微软雅黑" w:hAnsi="微软雅黑" w:eastAsia="微软雅黑" w:cs="微软雅黑"/>
              <w:b/>
              <w:bCs/>
              <w:i w:val="0"/>
              <w:iCs w:val="0"/>
              <w:caps w:val="0"/>
              <w:spacing w:val="0"/>
              <w:szCs w:val="36"/>
              <w:shd w:val="clear" w:fill="FFFFFF"/>
              <w:lang w:eastAsia="zh-CN"/>
            </w:rPr>
            <w:t>第二章  现状分析</w:t>
          </w:r>
          <w:r>
            <w:rPr>
              <w:b/>
              <w:bCs/>
            </w:rPr>
            <w:tab/>
          </w:r>
          <w:r>
            <w:rPr>
              <w:b/>
              <w:bCs/>
            </w:rPr>
            <w:fldChar w:fldCharType="begin"/>
          </w:r>
          <w:r>
            <w:rPr>
              <w:b/>
              <w:bCs/>
            </w:rPr>
            <w:instrText xml:space="preserve"> PAGEREF _Toc18406 \h </w:instrText>
          </w:r>
          <w:r>
            <w:rPr>
              <w:b/>
              <w:bCs/>
            </w:rPr>
            <w:fldChar w:fldCharType="separate"/>
          </w:r>
          <w:r>
            <w:rPr>
              <w:b/>
              <w:bCs/>
            </w:rPr>
            <w:t>11</w:t>
          </w:r>
          <w:r>
            <w:rPr>
              <w:b/>
              <w:bCs/>
            </w:rPr>
            <w:fldChar w:fldCharType="end"/>
          </w:r>
          <w:r>
            <w:rPr>
              <w:b/>
              <w:bCs/>
            </w:rPr>
            <w:fldChar w:fldCharType="end"/>
          </w:r>
        </w:p>
        <w:p w14:paraId="1DB810DB">
          <w:pPr>
            <w:pStyle w:val="6"/>
            <w:tabs>
              <w:tab w:val="right" w:leader="dot" w:pos="8306"/>
            </w:tabs>
          </w:pPr>
          <w:r>
            <w:fldChar w:fldCharType="begin"/>
          </w:r>
          <w:r>
            <w:instrText xml:space="preserve"> HYPERLINK \l _Toc24355 </w:instrText>
          </w:r>
          <w:r>
            <w:fldChar w:fldCharType="separate"/>
          </w:r>
          <w:r>
            <w:rPr>
              <w:rFonts w:hint="eastAsia" w:ascii="微软雅黑" w:hAnsi="微软雅黑" w:eastAsia="微软雅黑" w:cs="微软雅黑"/>
              <w:bCs/>
              <w:i w:val="0"/>
              <w:iCs w:val="0"/>
              <w:caps w:val="0"/>
              <w:spacing w:val="0"/>
              <w:szCs w:val="28"/>
              <w:shd w:val="clear" w:fill="FFFFFF"/>
              <w:lang w:eastAsia="zh-CN"/>
            </w:rPr>
            <w:t>一、长汀经济社会发展状况</w:t>
          </w:r>
          <w:r>
            <w:tab/>
          </w:r>
          <w:r>
            <w:fldChar w:fldCharType="begin"/>
          </w:r>
          <w:r>
            <w:instrText xml:space="preserve"> PAGEREF _Toc24355 \h </w:instrText>
          </w:r>
          <w:r>
            <w:fldChar w:fldCharType="separate"/>
          </w:r>
          <w:r>
            <w:t>11</w:t>
          </w:r>
          <w:r>
            <w:fldChar w:fldCharType="end"/>
          </w:r>
          <w:r>
            <w:fldChar w:fldCharType="end"/>
          </w:r>
        </w:p>
        <w:p w14:paraId="419C44C2">
          <w:pPr>
            <w:pStyle w:val="6"/>
            <w:tabs>
              <w:tab w:val="right" w:leader="dot" w:pos="8306"/>
            </w:tabs>
          </w:pPr>
          <w:r>
            <w:fldChar w:fldCharType="begin"/>
          </w:r>
          <w:r>
            <w:instrText xml:space="preserve"> HYPERLINK \l _Toc20474 </w:instrText>
          </w:r>
          <w:r>
            <w:fldChar w:fldCharType="separate"/>
          </w:r>
          <w:r>
            <w:rPr>
              <w:rFonts w:hint="eastAsia" w:ascii="微软雅黑" w:hAnsi="微软雅黑" w:eastAsia="微软雅黑" w:cs="微软雅黑"/>
              <w:bCs/>
              <w:i w:val="0"/>
              <w:iCs w:val="0"/>
              <w:caps w:val="0"/>
              <w:spacing w:val="0"/>
              <w:szCs w:val="28"/>
              <w:shd w:val="clear" w:fill="FFFFFF"/>
              <w:lang w:val="en-US" w:eastAsia="zh-CN"/>
            </w:rPr>
            <w:t>二、殡葬设施现状概况</w:t>
          </w:r>
          <w:r>
            <w:tab/>
          </w:r>
          <w:r>
            <w:fldChar w:fldCharType="begin"/>
          </w:r>
          <w:r>
            <w:instrText xml:space="preserve"> PAGEREF _Toc20474 \h </w:instrText>
          </w:r>
          <w:r>
            <w:fldChar w:fldCharType="separate"/>
          </w:r>
          <w:r>
            <w:t>15</w:t>
          </w:r>
          <w:r>
            <w:fldChar w:fldCharType="end"/>
          </w:r>
          <w:r>
            <w:fldChar w:fldCharType="end"/>
          </w:r>
        </w:p>
        <w:p w14:paraId="75265E54">
          <w:pPr>
            <w:pStyle w:val="6"/>
            <w:tabs>
              <w:tab w:val="right" w:leader="dot" w:pos="8306"/>
            </w:tabs>
          </w:pPr>
          <w:r>
            <w:rPr>
              <w:b/>
              <w:bCs/>
            </w:rPr>
            <w:fldChar w:fldCharType="begin"/>
          </w:r>
          <w:r>
            <w:rPr>
              <w:b/>
              <w:bCs/>
            </w:rPr>
            <w:instrText xml:space="preserve"> HYPERLINK \l _Toc14568 </w:instrText>
          </w:r>
          <w:r>
            <w:rPr>
              <w:b/>
              <w:bCs/>
            </w:rPr>
            <w:fldChar w:fldCharType="separate"/>
          </w:r>
          <w:r>
            <w:rPr>
              <w:rFonts w:hint="eastAsia" w:ascii="微软雅黑" w:hAnsi="微软雅黑" w:eastAsia="微软雅黑" w:cs="微软雅黑"/>
              <w:b/>
              <w:bCs/>
              <w:i w:val="0"/>
              <w:iCs w:val="0"/>
              <w:caps w:val="0"/>
              <w:spacing w:val="0"/>
              <w:szCs w:val="36"/>
              <w:shd w:val="clear" w:fill="FFFFFF"/>
              <w:lang w:eastAsia="zh-CN"/>
            </w:rPr>
            <w:t>第三章  规模预测</w:t>
          </w:r>
          <w:r>
            <w:rPr>
              <w:b/>
              <w:bCs/>
            </w:rPr>
            <w:tab/>
          </w:r>
          <w:r>
            <w:rPr>
              <w:b/>
              <w:bCs/>
            </w:rPr>
            <w:fldChar w:fldCharType="begin"/>
          </w:r>
          <w:r>
            <w:rPr>
              <w:b/>
              <w:bCs/>
            </w:rPr>
            <w:instrText xml:space="preserve"> PAGEREF _Toc14568 \h </w:instrText>
          </w:r>
          <w:r>
            <w:rPr>
              <w:b/>
              <w:bCs/>
            </w:rPr>
            <w:fldChar w:fldCharType="separate"/>
          </w:r>
          <w:r>
            <w:rPr>
              <w:b/>
              <w:bCs/>
            </w:rPr>
            <w:t>17</w:t>
          </w:r>
          <w:r>
            <w:rPr>
              <w:b/>
              <w:bCs/>
            </w:rPr>
            <w:fldChar w:fldCharType="end"/>
          </w:r>
          <w:r>
            <w:rPr>
              <w:b/>
              <w:bCs/>
            </w:rPr>
            <w:fldChar w:fldCharType="end"/>
          </w:r>
        </w:p>
        <w:p w14:paraId="0757E8F8">
          <w:pPr>
            <w:pStyle w:val="6"/>
            <w:tabs>
              <w:tab w:val="right" w:leader="dot" w:pos="8306"/>
            </w:tabs>
          </w:pPr>
          <w:r>
            <w:fldChar w:fldCharType="begin"/>
          </w:r>
          <w:r>
            <w:instrText xml:space="preserve"> HYPERLINK \l _Toc27984 </w:instrText>
          </w:r>
          <w:r>
            <w:fldChar w:fldCharType="separate"/>
          </w:r>
          <w:r>
            <w:rPr>
              <w:rFonts w:hint="eastAsia" w:ascii="微软雅黑" w:hAnsi="微软雅黑" w:eastAsia="微软雅黑" w:cs="微软雅黑"/>
              <w:bCs/>
              <w:i w:val="0"/>
              <w:iCs w:val="0"/>
              <w:caps w:val="0"/>
              <w:spacing w:val="0"/>
              <w:szCs w:val="28"/>
              <w:shd w:val="clear" w:fill="FFFFFF"/>
              <w:lang w:eastAsia="zh-CN"/>
            </w:rPr>
            <w:t>一、人口</w:t>
          </w:r>
          <w:r>
            <w:rPr>
              <w:rFonts w:hint="eastAsia" w:ascii="微软雅黑" w:hAnsi="微软雅黑" w:eastAsia="微软雅黑" w:cs="微软雅黑"/>
              <w:bCs/>
              <w:i w:val="0"/>
              <w:iCs w:val="0"/>
              <w:caps w:val="0"/>
              <w:spacing w:val="0"/>
              <w:szCs w:val="28"/>
              <w:shd w:val="clear" w:fill="FFFFFF"/>
              <w:lang w:val="en-US" w:eastAsia="zh-CN"/>
            </w:rPr>
            <w:t>规模</w:t>
          </w:r>
          <w:r>
            <w:rPr>
              <w:rFonts w:hint="eastAsia" w:ascii="微软雅黑" w:hAnsi="微软雅黑" w:eastAsia="微软雅黑" w:cs="微软雅黑"/>
              <w:bCs/>
              <w:i w:val="0"/>
              <w:iCs w:val="0"/>
              <w:caps w:val="0"/>
              <w:spacing w:val="0"/>
              <w:szCs w:val="28"/>
              <w:shd w:val="clear" w:fill="FFFFFF"/>
              <w:lang w:eastAsia="zh-CN"/>
            </w:rPr>
            <w:t>及死亡人口规模预测</w:t>
          </w:r>
          <w:r>
            <w:tab/>
          </w:r>
          <w:r>
            <w:fldChar w:fldCharType="begin"/>
          </w:r>
          <w:r>
            <w:instrText xml:space="preserve"> PAGEREF _Toc27984 \h </w:instrText>
          </w:r>
          <w:r>
            <w:fldChar w:fldCharType="separate"/>
          </w:r>
          <w:r>
            <w:t>17</w:t>
          </w:r>
          <w:r>
            <w:fldChar w:fldCharType="end"/>
          </w:r>
          <w:r>
            <w:fldChar w:fldCharType="end"/>
          </w:r>
        </w:p>
        <w:p w14:paraId="6C757583">
          <w:pPr>
            <w:pStyle w:val="6"/>
            <w:tabs>
              <w:tab w:val="right" w:leader="dot" w:pos="8306"/>
            </w:tabs>
          </w:pPr>
          <w:r>
            <w:fldChar w:fldCharType="begin"/>
          </w:r>
          <w:r>
            <w:instrText xml:space="preserve"> HYPERLINK \l _Toc21968 </w:instrText>
          </w:r>
          <w:r>
            <w:fldChar w:fldCharType="separate"/>
          </w:r>
          <w:r>
            <w:rPr>
              <w:rFonts w:hint="eastAsia" w:ascii="微软雅黑" w:hAnsi="微软雅黑" w:eastAsia="微软雅黑" w:cs="微软雅黑"/>
              <w:bCs/>
              <w:i w:val="0"/>
              <w:iCs w:val="0"/>
              <w:caps w:val="0"/>
              <w:spacing w:val="0"/>
              <w:kern w:val="2"/>
              <w:szCs w:val="28"/>
              <w:shd w:val="clear" w:fill="FFFFFF"/>
              <w:lang w:val="en-US" w:eastAsia="zh-CN" w:bidi="ar-SA"/>
            </w:rPr>
            <w:t>二、墓穴需求量预测</w:t>
          </w:r>
          <w:r>
            <w:tab/>
          </w:r>
          <w:r>
            <w:fldChar w:fldCharType="begin"/>
          </w:r>
          <w:r>
            <w:instrText xml:space="preserve"> PAGEREF _Toc21968 \h </w:instrText>
          </w:r>
          <w:r>
            <w:fldChar w:fldCharType="separate"/>
          </w:r>
          <w:r>
            <w:t>19</w:t>
          </w:r>
          <w:r>
            <w:fldChar w:fldCharType="end"/>
          </w:r>
          <w:r>
            <w:fldChar w:fldCharType="end"/>
          </w:r>
        </w:p>
        <w:p w14:paraId="0A0F0DBF">
          <w:pPr>
            <w:pStyle w:val="6"/>
            <w:tabs>
              <w:tab w:val="right" w:leader="dot" w:pos="8306"/>
            </w:tabs>
          </w:pPr>
          <w:r>
            <w:fldChar w:fldCharType="begin"/>
          </w:r>
          <w:r>
            <w:instrText xml:space="preserve"> HYPERLINK \l _Toc6683 </w:instrText>
          </w:r>
          <w:r>
            <w:fldChar w:fldCharType="separate"/>
          </w:r>
          <w:r>
            <w:rPr>
              <w:rFonts w:hint="eastAsia" w:ascii="微软雅黑" w:hAnsi="微软雅黑" w:eastAsia="微软雅黑" w:cs="微软雅黑"/>
              <w:bCs/>
              <w:i w:val="0"/>
              <w:iCs w:val="0"/>
              <w:caps w:val="0"/>
              <w:spacing w:val="0"/>
              <w:kern w:val="2"/>
              <w:szCs w:val="28"/>
              <w:shd w:val="clear" w:fill="FFFFFF"/>
              <w:lang w:val="en-US" w:eastAsia="zh-CN" w:bidi="ar-SA"/>
            </w:rPr>
            <w:t>三、殡葬设施需求</w:t>
          </w:r>
          <w:r>
            <w:tab/>
          </w:r>
          <w:r>
            <w:fldChar w:fldCharType="begin"/>
          </w:r>
          <w:r>
            <w:instrText xml:space="preserve"> PAGEREF _Toc6683 \h </w:instrText>
          </w:r>
          <w:r>
            <w:fldChar w:fldCharType="separate"/>
          </w:r>
          <w:r>
            <w:t>20</w:t>
          </w:r>
          <w:r>
            <w:fldChar w:fldCharType="end"/>
          </w:r>
          <w:r>
            <w:fldChar w:fldCharType="end"/>
          </w:r>
        </w:p>
        <w:p w14:paraId="0D8CAA4C">
          <w:pPr>
            <w:pStyle w:val="6"/>
            <w:tabs>
              <w:tab w:val="right" w:leader="dot" w:pos="8306"/>
            </w:tabs>
          </w:pPr>
          <w:r>
            <w:fldChar w:fldCharType="begin"/>
          </w:r>
          <w:r>
            <w:instrText xml:space="preserve"> HYPERLINK \l _Toc26377 </w:instrText>
          </w:r>
          <w:r>
            <w:fldChar w:fldCharType="separate"/>
          </w:r>
          <w:r>
            <w:rPr>
              <w:rFonts w:hint="eastAsia" w:ascii="微软雅黑" w:hAnsi="微软雅黑" w:eastAsia="微软雅黑" w:cs="微软雅黑"/>
              <w:bCs/>
              <w:i w:val="0"/>
              <w:iCs w:val="0"/>
              <w:caps w:val="0"/>
              <w:spacing w:val="0"/>
              <w:kern w:val="2"/>
              <w:szCs w:val="28"/>
              <w:shd w:val="clear" w:fill="FFFFFF"/>
              <w:lang w:val="en-US" w:eastAsia="zh-CN" w:bidi="ar-SA"/>
            </w:rPr>
            <w:t>四、规划用地规模</w:t>
          </w:r>
          <w:r>
            <w:tab/>
          </w:r>
          <w:r>
            <w:fldChar w:fldCharType="begin"/>
          </w:r>
          <w:r>
            <w:instrText xml:space="preserve"> PAGEREF _Toc26377 \h </w:instrText>
          </w:r>
          <w:r>
            <w:fldChar w:fldCharType="separate"/>
          </w:r>
          <w:r>
            <w:t>21</w:t>
          </w:r>
          <w:r>
            <w:fldChar w:fldCharType="end"/>
          </w:r>
          <w:r>
            <w:fldChar w:fldCharType="end"/>
          </w:r>
        </w:p>
        <w:p w14:paraId="6C2E8991">
          <w:pPr>
            <w:pStyle w:val="6"/>
            <w:tabs>
              <w:tab w:val="right" w:leader="dot" w:pos="8306"/>
            </w:tabs>
          </w:pPr>
          <w:r>
            <w:rPr>
              <w:b/>
              <w:bCs/>
            </w:rPr>
            <w:fldChar w:fldCharType="begin"/>
          </w:r>
          <w:r>
            <w:rPr>
              <w:b/>
              <w:bCs/>
            </w:rPr>
            <w:instrText xml:space="preserve"> HYPERLINK \l _Toc14659 </w:instrText>
          </w:r>
          <w:r>
            <w:rPr>
              <w:b/>
              <w:bCs/>
            </w:rPr>
            <w:fldChar w:fldCharType="separate"/>
          </w:r>
          <w:r>
            <w:rPr>
              <w:rFonts w:hint="eastAsia" w:ascii="微软雅黑" w:hAnsi="微软雅黑" w:eastAsia="微软雅黑" w:cs="微软雅黑"/>
              <w:b/>
              <w:bCs/>
              <w:i w:val="0"/>
              <w:iCs w:val="0"/>
              <w:caps w:val="0"/>
              <w:spacing w:val="0"/>
              <w:szCs w:val="36"/>
              <w:shd w:val="clear" w:fill="FFFFFF"/>
              <w:lang w:eastAsia="zh-CN"/>
            </w:rPr>
            <w:t xml:space="preserve">第四章  </w:t>
          </w:r>
          <w:r>
            <w:rPr>
              <w:rFonts w:hint="eastAsia" w:ascii="微软雅黑" w:hAnsi="微软雅黑" w:eastAsia="微软雅黑" w:cs="微软雅黑"/>
              <w:b/>
              <w:bCs/>
              <w:i w:val="0"/>
              <w:iCs w:val="0"/>
              <w:caps w:val="0"/>
              <w:spacing w:val="0"/>
              <w:szCs w:val="36"/>
              <w:shd w:val="clear" w:fill="FFFFFF"/>
              <w:lang w:val="en-US" w:eastAsia="zh-CN"/>
            </w:rPr>
            <w:t>中心城区殡葬设施建设规划</w:t>
          </w:r>
          <w:r>
            <w:rPr>
              <w:b/>
              <w:bCs/>
            </w:rPr>
            <w:tab/>
          </w:r>
          <w:r>
            <w:rPr>
              <w:b/>
              <w:bCs/>
            </w:rPr>
            <w:fldChar w:fldCharType="begin"/>
          </w:r>
          <w:r>
            <w:rPr>
              <w:b/>
              <w:bCs/>
            </w:rPr>
            <w:instrText xml:space="preserve"> PAGEREF _Toc14659 \h </w:instrText>
          </w:r>
          <w:r>
            <w:rPr>
              <w:b/>
              <w:bCs/>
            </w:rPr>
            <w:fldChar w:fldCharType="separate"/>
          </w:r>
          <w:r>
            <w:rPr>
              <w:b/>
              <w:bCs/>
            </w:rPr>
            <w:t>24</w:t>
          </w:r>
          <w:r>
            <w:rPr>
              <w:b/>
              <w:bCs/>
            </w:rPr>
            <w:fldChar w:fldCharType="end"/>
          </w:r>
          <w:r>
            <w:rPr>
              <w:b/>
              <w:bCs/>
            </w:rPr>
            <w:fldChar w:fldCharType="end"/>
          </w:r>
        </w:p>
        <w:p w14:paraId="37C4A716">
          <w:pPr>
            <w:pStyle w:val="6"/>
            <w:tabs>
              <w:tab w:val="right" w:leader="dot" w:pos="8306"/>
            </w:tabs>
          </w:pPr>
          <w:r>
            <w:fldChar w:fldCharType="begin"/>
          </w:r>
          <w:r>
            <w:instrText xml:space="preserve"> HYPERLINK \l _Toc17466 </w:instrText>
          </w:r>
          <w:r>
            <w:fldChar w:fldCharType="separate"/>
          </w:r>
          <w:r>
            <w:rPr>
              <w:rFonts w:hint="eastAsia" w:ascii="微软雅黑" w:hAnsi="微软雅黑" w:eastAsia="微软雅黑" w:cs="微软雅黑"/>
              <w:bCs/>
              <w:i w:val="0"/>
              <w:iCs w:val="0"/>
              <w:caps w:val="0"/>
              <w:spacing w:val="0"/>
              <w:szCs w:val="28"/>
              <w:shd w:val="clear" w:fill="FFFFFF"/>
              <w:lang w:eastAsia="zh-CN"/>
            </w:rPr>
            <w:t>一、</w:t>
          </w:r>
          <w:r>
            <w:rPr>
              <w:rFonts w:hint="eastAsia" w:ascii="微软雅黑" w:hAnsi="微软雅黑" w:eastAsia="微软雅黑" w:cs="微软雅黑"/>
              <w:bCs/>
              <w:i w:val="0"/>
              <w:iCs w:val="0"/>
              <w:caps w:val="0"/>
              <w:spacing w:val="0"/>
              <w:szCs w:val="28"/>
              <w:shd w:val="clear" w:fill="FFFFFF"/>
              <w:lang w:val="en-US" w:eastAsia="zh-CN"/>
            </w:rPr>
            <w:t>中心城区殡葬设施布局规划</w:t>
          </w:r>
          <w:r>
            <w:tab/>
          </w:r>
          <w:r>
            <w:fldChar w:fldCharType="begin"/>
          </w:r>
          <w:r>
            <w:instrText xml:space="preserve"> PAGEREF _Toc17466 \h </w:instrText>
          </w:r>
          <w:r>
            <w:fldChar w:fldCharType="separate"/>
          </w:r>
          <w:r>
            <w:t>24</w:t>
          </w:r>
          <w:r>
            <w:fldChar w:fldCharType="end"/>
          </w:r>
          <w:r>
            <w:fldChar w:fldCharType="end"/>
          </w:r>
        </w:p>
        <w:p w14:paraId="7B40CF6D">
          <w:pPr>
            <w:pStyle w:val="6"/>
            <w:tabs>
              <w:tab w:val="right" w:leader="dot" w:pos="8306"/>
            </w:tabs>
          </w:pPr>
          <w:r>
            <w:fldChar w:fldCharType="begin"/>
          </w:r>
          <w:r>
            <w:instrText xml:space="preserve"> HYPERLINK \l _Toc22612 </w:instrText>
          </w:r>
          <w:r>
            <w:fldChar w:fldCharType="separate"/>
          </w:r>
          <w:r>
            <w:rPr>
              <w:rFonts w:hint="eastAsia" w:ascii="微软雅黑" w:hAnsi="微软雅黑" w:eastAsia="微软雅黑" w:cs="微软雅黑"/>
              <w:bCs/>
              <w:i w:val="0"/>
              <w:iCs w:val="0"/>
              <w:caps w:val="0"/>
              <w:spacing w:val="0"/>
              <w:szCs w:val="28"/>
              <w:shd w:val="clear" w:fill="FFFFFF"/>
              <w:lang w:eastAsia="zh-CN"/>
            </w:rPr>
            <w:t>二、中心城区殡葬服务设施建设规划</w:t>
          </w:r>
          <w:r>
            <w:tab/>
          </w:r>
          <w:r>
            <w:fldChar w:fldCharType="begin"/>
          </w:r>
          <w:r>
            <w:instrText xml:space="preserve"> PAGEREF _Toc22612 \h </w:instrText>
          </w:r>
          <w:r>
            <w:fldChar w:fldCharType="separate"/>
          </w:r>
          <w:r>
            <w:t>24</w:t>
          </w:r>
          <w:r>
            <w:fldChar w:fldCharType="end"/>
          </w:r>
          <w:r>
            <w:fldChar w:fldCharType="end"/>
          </w:r>
        </w:p>
        <w:p w14:paraId="0DACF764">
          <w:pPr>
            <w:pStyle w:val="6"/>
            <w:tabs>
              <w:tab w:val="right" w:leader="dot" w:pos="8306"/>
            </w:tabs>
          </w:pPr>
          <w:r>
            <w:rPr>
              <w:b/>
              <w:bCs/>
            </w:rPr>
            <w:fldChar w:fldCharType="begin"/>
          </w:r>
          <w:r>
            <w:rPr>
              <w:b/>
              <w:bCs/>
            </w:rPr>
            <w:instrText xml:space="preserve"> HYPERLINK \l _Toc29455 </w:instrText>
          </w:r>
          <w:r>
            <w:rPr>
              <w:b/>
              <w:bCs/>
            </w:rPr>
            <w:fldChar w:fldCharType="separate"/>
          </w:r>
          <w:r>
            <w:rPr>
              <w:rFonts w:hint="eastAsia" w:ascii="微软雅黑" w:hAnsi="微软雅黑" w:eastAsia="微软雅黑" w:cs="微软雅黑"/>
              <w:b/>
              <w:bCs/>
              <w:i w:val="0"/>
              <w:iCs w:val="0"/>
              <w:caps w:val="0"/>
              <w:spacing w:val="0"/>
              <w:szCs w:val="36"/>
              <w:shd w:val="clear" w:fill="FFFFFF"/>
              <w:lang w:eastAsia="zh-CN"/>
            </w:rPr>
            <w:t>第五章  术语解释</w:t>
          </w:r>
          <w:r>
            <w:rPr>
              <w:b/>
              <w:bCs/>
            </w:rPr>
            <w:tab/>
          </w:r>
          <w:r>
            <w:rPr>
              <w:b/>
              <w:bCs/>
            </w:rPr>
            <w:fldChar w:fldCharType="begin"/>
          </w:r>
          <w:r>
            <w:rPr>
              <w:b/>
              <w:bCs/>
            </w:rPr>
            <w:instrText xml:space="preserve"> PAGEREF _Toc29455 \h </w:instrText>
          </w:r>
          <w:r>
            <w:rPr>
              <w:b/>
              <w:bCs/>
            </w:rPr>
            <w:fldChar w:fldCharType="separate"/>
          </w:r>
          <w:r>
            <w:rPr>
              <w:b/>
              <w:bCs/>
            </w:rPr>
            <w:t>27</w:t>
          </w:r>
          <w:r>
            <w:rPr>
              <w:b/>
              <w:bCs/>
            </w:rPr>
            <w:fldChar w:fldCharType="end"/>
          </w:r>
          <w:r>
            <w:rPr>
              <w:b/>
              <w:bCs/>
            </w:rPr>
            <w:fldChar w:fldCharType="end"/>
          </w:r>
        </w:p>
        <w:p w14:paraId="5F54BC82">
          <w:pPr>
            <w:pStyle w:val="6"/>
            <w:tabs>
              <w:tab w:val="right" w:leader="dot" w:pos="8306"/>
            </w:tabs>
          </w:pPr>
          <w:r>
            <w:fldChar w:fldCharType="begin"/>
          </w:r>
          <w:r>
            <w:instrText xml:space="preserve"> HYPERLINK \l _Toc13771 </w:instrText>
          </w:r>
          <w:r>
            <w:fldChar w:fldCharType="separate"/>
          </w:r>
          <w:r>
            <w:rPr>
              <w:rFonts w:hint="eastAsia" w:ascii="微软雅黑" w:hAnsi="微软雅黑" w:eastAsia="微软雅黑" w:cs="微软雅黑"/>
              <w:bCs/>
              <w:i w:val="0"/>
              <w:iCs w:val="0"/>
              <w:caps w:val="0"/>
              <w:spacing w:val="0"/>
              <w:szCs w:val="28"/>
              <w:shd w:val="clear" w:fill="FFFFFF"/>
              <w:lang w:eastAsia="zh-CN"/>
            </w:rPr>
            <w:t>一、规划名词</w:t>
          </w:r>
          <w:r>
            <w:tab/>
          </w:r>
          <w:r>
            <w:fldChar w:fldCharType="begin"/>
          </w:r>
          <w:r>
            <w:instrText xml:space="preserve"> PAGEREF _Toc13771 \h </w:instrText>
          </w:r>
          <w:r>
            <w:fldChar w:fldCharType="separate"/>
          </w:r>
          <w:r>
            <w:t>27</w:t>
          </w:r>
          <w:r>
            <w:fldChar w:fldCharType="end"/>
          </w:r>
          <w:r>
            <w:fldChar w:fldCharType="end"/>
          </w:r>
        </w:p>
        <w:p w14:paraId="349184AC">
          <w:pPr>
            <w:pStyle w:val="6"/>
            <w:tabs>
              <w:tab w:val="right" w:leader="dot" w:pos="8306"/>
            </w:tabs>
          </w:pPr>
          <w:r>
            <w:fldChar w:fldCharType="begin"/>
          </w:r>
          <w:r>
            <w:instrText xml:space="preserve"> HYPERLINK \l _Toc30376 </w:instrText>
          </w:r>
          <w:r>
            <w:fldChar w:fldCharType="separate"/>
          </w:r>
          <w:r>
            <w:rPr>
              <w:rFonts w:hint="eastAsia" w:ascii="微软雅黑" w:hAnsi="微软雅黑" w:eastAsia="微软雅黑" w:cs="微软雅黑"/>
              <w:bCs/>
              <w:i w:val="0"/>
              <w:iCs w:val="0"/>
              <w:caps w:val="0"/>
              <w:spacing w:val="0"/>
              <w:szCs w:val="28"/>
              <w:shd w:val="clear" w:fill="FFFFFF"/>
              <w:lang w:val="en-US" w:eastAsia="zh-CN"/>
            </w:rPr>
            <w:t>二、“三条控制线”</w:t>
          </w:r>
          <w:r>
            <w:tab/>
          </w:r>
          <w:r>
            <w:fldChar w:fldCharType="begin"/>
          </w:r>
          <w:r>
            <w:instrText xml:space="preserve"> PAGEREF _Toc30376 \h </w:instrText>
          </w:r>
          <w:r>
            <w:fldChar w:fldCharType="separate"/>
          </w:r>
          <w:r>
            <w:t>28</w:t>
          </w:r>
          <w:r>
            <w:fldChar w:fldCharType="end"/>
          </w:r>
          <w:r>
            <w:fldChar w:fldCharType="end"/>
          </w:r>
        </w:p>
        <w:p w14:paraId="21389F62">
          <w:r>
            <w:fldChar w:fldCharType="end"/>
          </w:r>
        </w:p>
      </w:sdtContent>
    </w:sdt>
    <w:p w14:paraId="66CF8406"/>
    <w:p w14:paraId="0AC716C6">
      <w:pPr>
        <w:numPr>
          <w:ilvl w:val="0"/>
          <w:numId w:val="0"/>
        </w:numPr>
        <w:ind w:left="0" w:leftChars="0" w:firstLine="0" w:firstLineChars="0"/>
        <w:jc w:val="center"/>
        <w:outlineLvl w:val="0"/>
        <w:rPr>
          <w:rFonts w:hint="eastAsia" w:ascii="微软雅黑" w:hAnsi="微软雅黑" w:eastAsia="微软雅黑" w:cs="微软雅黑"/>
          <w:b/>
          <w:bCs/>
          <w:i w:val="0"/>
          <w:iCs w:val="0"/>
          <w:caps w:val="0"/>
          <w:color w:val="000000"/>
          <w:spacing w:val="0"/>
          <w:sz w:val="36"/>
          <w:szCs w:val="36"/>
          <w:shd w:val="clear" w:fill="FFFFFF"/>
          <w:lang w:eastAsia="zh-CN"/>
        </w:rPr>
      </w:pPr>
      <w:bookmarkStart w:id="0" w:name="_Toc14630"/>
    </w:p>
    <w:p w14:paraId="1EAA37C6">
      <w:pPr>
        <w:numPr>
          <w:ilvl w:val="0"/>
          <w:numId w:val="0"/>
        </w:numPr>
        <w:ind w:left="0" w:leftChars="0" w:firstLine="0" w:firstLineChars="0"/>
        <w:jc w:val="center"/>
        <w:outlineLvl w:val="0"/>
        <w:rPr>
          <w:rFonts w:hint="eastAsia" w:ascii="微软雅黑" w:hAnsi="微软雅黑" w:eastAsia="微软雅黑" w:cs="微软雅黑"/>
          <w:b/>
          <w:bCs/>
          <w:i w:val="0"/>
          <w:iCs w:val="0"/>
          <w:caps w:val="0"/>
          <w:color w:val="000000"/>
          <w:spacing w:val="0"/>
          <w:sz w:val="36"/>
          <w:szCs w:val="36"/>
          <w:shd w:val="clear" w:fill="FFFFFF"/>
          <w:lang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5FA36B">
      <w:pPr>
        <w:numPr>
          <w:ilvl w:val="0"/>
          <w:numId w:val="0"/>
        </w:numPr>
        <w:ind w:left="0" w:leftChars="0" w:firstLine="0" w:firstLineChars="0"/>
        <w:jc w:val="center"/>
        <w:outlineLvl w:val="0"/>
        <w:rPr>
          <w:rFonts w:ascii="微软雅黑" w:hAnsi="微软雅黑" w:eastAsia="微软雅黑" w:cs="微软雅黑"/>
          <w:i w:val="0"/>
          <w:iCs w:val="0"/>
          <w:caps w:val="0"/>
          <w:color w:val="000000"/>
          <w:spacing w:val="0"/>
          <w:sz w:val="19"/>
          <w:szCs w:val="19"/>
          <w:shd w:val="clear" w:fill="FFFFFF"/>
        </w:rPr>
      </w:pPr>
      <w:r>
        <w:rPr>
          <w:rFonts w:hint="eastAsia" w:ascii="微软雅黑" w:hAnsi="微软雅黑" w:eastAsia="微软雅黑" w:cs="微软雅黑"/>
          <w:b/>
          <w:bCs/>
          <w:i w:val="0"/>
          <w:iCs w:val="0"/>
          <w:caps w:val="0"/>
          <w:color w:val="000000"/>
          <w:spacing w:val="0"/>
          <w:sz w:val="36"/>
          <w:szCs w:val="36"/>
          <w:shd w:val="clear" w:fill="FFFFFF"/>
          <w:lang w:eastAsia="zh-CN"/>
        </w:rPr>
        <w:t xml:space="preserve">第一章  </w:t>
      </w:r>
      <w:r>
        <w:rPr>
          <w:rFonts w:ascii="微软雅黑" w:hAnsi="微软雅黑" w:eastAsia="微软雅黑" w:cs="微软雅黑"/>
          <w:b/>
          <w:bCs/>
          <w:i w:val="0"/>
          <w:iCs w:val="0"/>
          <w:caps w:val="0"/>
          <w:color w:val="000000"/>
          <w:spacing w:val="0"/>
          <w:sz w:val="36"/>
          <w:szCs w:val="36"/>
          <w:shd w:val="clear" w:fill="FFFFFF"/>
        </w:rPr>
        <w:t>总  则</w:t>
      </w:r>
      <w:bookmarkEnd w:id="0"/>
    </w:p>
    <w:p w14:paraId="1B8997B8">
      <w:pPr>
        <w:numPr>
          <w:ilvl w:val="0"/>
          <w:numId w:val="0"/>
        </w:numPr>
        <w:ind w:left="0" w:leftChars="0" w:firstLine="0" w:firstLineChars="0"/>
        <w:outlineLvl w:val="9"/>
        <w:rPr>
          <w:rFonts w:hint="eastAsia" w:ascii="微软雅黑" w:hAnsi="微软雅黑" w:eastAsia="微软雅黑" w:cs="微软雅黑"/>
          <w:b/>
          <w:bCs/>
          <w:i w:val="0"/>
          <w:iCs w:val="0"/>
          <w:caps w:val="0"/>
          <w:color w:val="000000"/>
          <w:spacing w:val="0"/>
          <w:sz w:val="28"/>
          <w:szCs w:val="28"/>
          <w:shd w:val="clear" w:fill="FFFFFF"/>
          <w:lang w:eastAsia="zh-CN"/>
        </w:rPr>
      </w:pPr>
      <w:bookmarkStart w:id="1" w:name="_Toc32155"/>
      <w:bookmarkStart w:id="2" w:name="_Toc6256"/>
    </w:p>
    <w:p w14:paraId="1CEABE19">
      <w:pPr>
        <w:numPr>
          <w:ilvl w:val="0"/>
          <w:numId w:val="0"/>
        </w:numPr>
        <w:ind w:left="0" w:leftChars="0" w:firstLine="0" w:firstLineChars="0"/>
        <w:outlineLvl w:val="0"/>
        <w:rPr>
          <w:rFonts w:ascii="微软雅黑" w:hAnsi="微软雅黑" w:eastAsia="微软雅黑" w:cs="微软雅黑"/>
          <w:b/>
          <w:bCs/>
          <w:i w:val="0"/>
          <w:iCs w:val="0"/>
          <w:caps w:val="0"/>
          <w:color w:val="000000"/>
          <w:spacing w:val="0"/>
          <w:sz w:val="28"/>
          <w:szCs w:val="28"/>
          <w:shd w:val="clear" w:fill="FFFFFF"/>
        </w:rPr>
      </w:pPr>
      <w:bookmarkStart w:id="3" w:name="_Toc24617"/>
      <w:r>
        <w:rPr>
          <w:rFonts w:hint="eastAsia" w:ascii="微软雅黑" w:hAnsi="微软雅黑" w:eastAsia="微软雅黑" w:cs="微软雅黑"/>
          <w:b/>
          <w:bCs/>
          <w:i w:val="0"/>
          <w:iCs w:val="0"/>
          <w:caps w:val="0"/>
          <w:color w:val="000000"/>
          <w:spacing w:val="0"/>
          <w:sz w:val="28"/>
          <w:szCs w:val="28"/>
          <w:shd w:val="clear" w:fill="FFFFFF"/>
          <w:lang w:eastAsia="zh-CN"/>
        </w:rPr>
        <w:t xml:space="preserve">一、 </w:t>
      </w:r>
      <w:r>
        <w:rPr>
          <w:rFonts w:ascii="微软雅黑" w:hAnsi="微软雅黑" w:eastAsia="微软雅黑" w:cs="微软雅黑"/>
          <w:b/>
          <w:bCs/>
          <w:i w:val="0"/>
          <w:iCs w:val="0"/>
          <w:caps w:val="0"/>
          <w:color w:val="000000"/>
          <w:spacing w:val="0"/>
          <w:sz w:val="28"/>
          <w:szCs w:val="28"/>
          <w:shd w:val="clear" w:fill="FFFFFF"/>
        </w:rPr>
        <w:t>规划</w:t>
      </w:r>
      <w:bookmarkEnd w:id="1"/>
      <w:bookmarkEnd w:id="2"/>
      <w:r>
        <w:rPr>
          <w:rFonts w:hint="eastAsia" w:ascii="微软雅黑" w:hAnsi="微软雅黑" w:eastAsia="微软雅黑" w:cs="微软雅黑"/>
          <w:b/>
          <w:bCs/>
          <w:i w:val="0"/>
          <w:iCs w:val="0"/>
          <w:caps w:val="0"/>
          <w:color w:val="000000"/>
          <w:spacing w:val="0"/>
          <w:sz w:val="28"/>
          <w:szCs w:val="28"/>
          <w:shd w:val="clear" w:fill="FFFFFF"/>
          <w:lang w:eastAsia="zh-CN"/>
        </w:rPr>
        <w:t>背景</w:t>
      </w:r>
      <w:bookmarkEnd w:id="3"/>
    </w:p>
    <w:p w14:paraId="3B2CF4D5">
      <w:pPr>
        <w:numPr>
          <w:ilvl w:val="0"/>
          <w:numId w:val="0"/>
        </w:numPr>
        <w:ind w:left="0" w:leftChars="0" w:firstLine="560" w:firstLineChars="200"/>
        <w:outlineLvl w:val="1"/>
        <w:rPr>
          <w:rFonts w:hint="eastAsia" w:ascii="微软雅黑" w:hAnsi="微软雅黑" w:eastAsia="微软雅黑" w:cs="微软雅黑"/>
          <w:i w:val="0"/>
          <w:iCs w:val="0"/>
          <w:caps w:val="0"/>
          <w:color w:val="000000"/>
          <w:spacing w:val="0"/>
          <w:sz w:val="28"/>
          <w:szCs w:val="28"/>
          <w:shd w:val="clear" w:fill="FFFFFF"/>
        </w:rPr>
      </w:pPr>
      <w:bookmarkStart w:id="4" w:name="_Toc32623"/>
      <w:r>
        <w:rPr>
          <w:rFonts w:hint="eastAsia" w:ascii="微软雅黑" w:hAnsi="微软雅黑" w:eastAsia="微软雅黑" w:cs="微软雅黑"/>
          <w:i w:val="0"/>
          <w:iCs w:val="0"/>
          <w:caps w:val="0"/>
          <w:color w:val="000000"/>
          <w:spacing w:val="0"/>
          <w:sz w:val="28"/>
          <w:szCs w:val="28"/>
          <w:shd w:val="clear" w:fill="FFFFFF"/>
        </w:rPr>
        <w:t>1.政策背景</w:t>
      </w:r>
      <w:bookmarkEnd w:id="4"/>
    </w:p>
    <w:p w14:paraId="5C5DCA3F">
      <w:pPr>
        <w:numPr>
          <w:ilvl w:val="0"/>
          <w:numId w:val="0"/>
        </w:numPr>
        <w:ind w:firstLine="560" w:firstLineChars="200"/>
        <w:rPr>
          <w:rFonts w:ascii="微软雅黑" w:hAnsi="微软雅黑" w:eastAsia="微软雅黑" w:cs="微软雅黑"/>
          <w:i w:val="0"/>
          <w:iCs w:val="0"/>
          <w:caps w:val="0"/>
          <w:color w:val="000000"/>
          <w:spacing w:val="0"/>
          <w:sz w:val="28"/>
          <w:szCs w:val="28"/>
          <w:shd w:val="clear" w:fill="FFFFFF"/>
        </w:rPr>
      </w:pPr>
      <w:r>
        <w:rPr>
          <w:rFonts w:hint="eastAsia" w:ascii="微软雅黑" w:hAnsi="微软雅黑" w:eastAsia="微软雅黑" w:cs="微软雅黑"/>
          <w:i w:val="0"/>
          <w:iCs w:val="0"/>
          <w:caps w:val="0"/>
          <w:color w:val="000000"/>
          <w:spacing w:val="0"/>
          <w:sz w:val="28"/>
          <w:szCs w:val="28"/>
          <w:shd w:val="clear" w:fill="FFFFFF"/>
        </w:rPr>
        <w:t>为全面</w:t>
      </w:r>
      <w:r>
        <w:rPr>
          <w:rFonts w:hint="eastAsia" w:ascii="微软雅黑" w:hAnsi="微软雅黑" w:eastAsia="微软雅黑" w:cs="微软雅黑"/>
          <w:i w:val="0"/>
          <w:iCs w:val="0"/>
          <w:caps w:val="0"/>
          <w:color w:val="000000"/>
          <w:spacing w:val="0"/>
          <w:sz w:val="28"/>
          <w:szCs w:val="28"/>
          <w:shd w:val="clear" w:fill="FFFFFF"/>
          <w:lang w:val="en-US" w:eastAsia="zh-CN"/>
        </w:rPr>
        <w:t>深入贯彻党的二十大和二十届二中、三中全会精神，</w:t>
      </w:r>
      <w:r>
        <w:rPr>
          <w:rFonts w:hint="eastAsia" w:ascii="微软雅黑" w:hAnsi="微软雅黑" w:eastAsia="微软雅黑" w:cs="微软雅黑"/>
          <w:i w:val="0"/>
          <w:iCs w:val="0"/>
          <w:caps w:val="0"/>
          <w:color w:val="000000"/>
          <w:spacing w:val="0"/>
          <w:sz w:val="28"/>
          <w:szCs w:val="28"/>
          <w:shd w:val="clear" w:fill="FFFFFF"/>
        </w:rPr>
        <w:t>进一步巩固和深化我县殡葬改革，加强和规范我县殡葬管理，全面推动我县殡葬事业和谐发展，更好地服务于保障和改善民生、促进全县精神文明和生态文明建设，促进人与自然和谐共生。科学合理地安排</w:t>
      </w:r>
      <w:r>
        <w:rPr>
          <w:rFonts w:hint="eastAsia" w:ascii="微软雅黑" w:hAnsi="微软雅黑" w:eastAsia="微软雅黑" w:cs="微软雅黑"/>
          <w:i w:val="0"/>
          <w:iCs w:val="0"/>
          <w:caps w:val="0"/>
          <w:color w:val="000000"/>
          <w:spacing w:val="0"/>
          <w:sz w:val="28"/>
          <w:szCs w:val="28"/>
          <w:shd w:val="clear" w:fill="FFFFFF"/>
          <w:lang w:eastAsia="zh-CN"/>
        </w:rPr>
        <w:t>长汀</w:t>
      </w:r>
      <w:r>
        <w:rPr>
          <w:rFonts w:hint="eastAsia" w:ascii="微软雅黑" w:hAnsi="微软雅黑" w:eastAsia="微软雅黑" w:cs="微软雅黑"/>
          <w:i w:val="0"/>
          <w:iCs w:val="0"/>
          <w:caps w:val="0"/>
          <w:color w:val="000000"/>
          <w:spacing w:val="0"/>
          <w:sz w:val="28"/>
          <w:szCs w:val="28"/>
          <w:shd w:val="clear" w:fill="FFFFFF"/>
        </w:rPr>
        <w:t>县殡葬设施及对应用地需求，对</w:t>
      </w:r>
      <w:r>
        <w:rPr>
          <w:rFonts w:hint="eastAsia" w:ascii="微软雅黑" w:hAnsi="微软雅黑" w:eastAsia="微软雅黑" w:cs="微软雅黑"/>
          <w:i w:val="0"/>
          <w:iCs w:val="0"/>
          <w:caps w:val="0"/>
          <w:color w:val="000000"/>
          <w:spacing w:val="0"/>
          <w:sz w:val="28"/>
          <w:szCs w:val="28"/>
          <w:shd w:val="clear" w:fill="FFFFFF"/>
          <w:lang w:eastAsia="zh-CN"/>
        </w:rPr>
        <w:t>长汀</w:t>
      </w:r>
      <w:r>
        <w:rPr>
          <w:rFonts w:hint="eastAsia" w:ascii="微软雅黑" w:hAnsi="微软雅黑" w:eastAsia="微软雅黑" w:cs="微软雅黑"/>
          <w:i w:val="0"/>
          <w:iCs w:val="0"/>
          <w:caps w:val="0"/>
          <w:color w:val="000000"/>
          <w:spacing w:val="0"/>
          <w:sz w:val="28"/>
          <w:szCs w:val="28"/>
          <w:shd w:val="clear" w:fill="FFFFFF"/>
        </w:rPr>
        <w:t>县殡葬设施的数量、规模和布局进行统筹规划，合理配置完善</w:t>
      </w:r>
      <w:r>
        <w:rPr>
          <w:rFonts w:hint="eastAsia" w:ascii="微软雅黑" w:hAnsi="微软雅黑" w:eastAsia="微软雅黑" w:cs="微软雅黑"/>
          <w:i w:val="0"/>
          <w:iCs w:val="0"/>
          <w:caps w:val="0"/>
          <w:color w:val="000000"/>
          <w:spacing w:val="0"/>
          <w:sz w:val="28"/>
          <w:szCs w:val="28"/>
          <w:shd w:val="clear" w:fill="FFFFFF"/>
          <w:lang w:eastAsia="zh-CN"/>
        </w:rPr>
        <w:t>全县</w:t>
      </w:r>
      <w:r>
        <w:rPr>
          <w:rFonts w:hint="eastAsia" w:ascii="微软雅黑" w:hAnsi="微软雅黑" w:eastAsia="微软雅黑" w:cs="微软雅黑"/>
          <w:i w:val="0"/>
          <w:iCs w:val="0"/>
          <w:caps w:val="0"/>
          <w:color w:val="000000"/>
          <w:spacing w:val="0"/>
          <w:sz w:val="28"/>
          <w:szCs w:val="28"/>
          <w:shd w:val="clear" w:fill="FFFFFF"/>
        </w:rPr>
        <w:t>社会殡葬服务体系，促进社会殡葬事业的良性发展，合理利用有限土地资源，实现“节地安葬、生态安葬”的总体目标，为</w:t>
      </w:r>
      <w:r>
        <w:rPr>
          <w:rFonts w:hint="eastAsia" w:ascii="微软雅黑" w:hAnsi="微软雅黑" w:eastAsia="微软雅黑" w:cs="微软雅黑"/>
          <w:i w:val="0"/>
          <w:iCs w:val="0"/>
          <w:caps w:val="0"/>
          <w:color w:val="000000"/>
          <w:spacing w:val="0"/>
          <w:sz w:val="28"/>
          <w:szCs w:val="28"/>
          <w:shd w:val="clear" w:fill="FFFFFF"/>
          <w:lang w:eastAsia="zh-CN"/>
        </w:rPr>
        <w:t>长汀县生态文明</w:t>
      </w:r>
      <w:r>
        <w:rPr>
          <w:rFonts w:hint="eastAsia" w:ascii="微软雅黑" w:hAnsi="微软雅黑" w:eastAsia="微软雅黑" w:cs="微软雅黑"/>
          <w:i w:val="0"/>
          <w:iCs w:val="0"/>
          <w:caps w:val="0"/>
          <w:color w:val="000000"/>
          <w:spacing w:val="0"/>
          <w:sz w:val="28"/>
          <w:szCs w:val="28"/>
          <w:shd w:val="clear" w:fill="FFFFFF"/>
        </w:rPr>
        <w:t>建设提供扎实的基础。根据《</w:t>
      </w:r>
      <w:r>
        <w:rPr>
          <w:rFonts w:hint="eastAsia" w:ascii="微软雅黑" w:hAnsi="微软雅黑" w:eastAsia="微软雅黑" w:cs="微软雅黑"/>
          <w:i w:val="0"/>
          <w:iCs w:val="0"/>
          <w:caps w:val="0"/>
          <w:color w:val="000000"/>
          <w:spacing w:val="0"/>
          <w:sz w:val="28"/>
          <w:szCs w:val="28"/>
          <w:shd w:val="clear" w:fill="FFFFFF"/>
          <w:lang w:eastAsia="zh-CN"/>
        </w:rPr>
        <w:t>中华人民共和国</w:t>
      </w:r>
      <w:r>
        <w:rPr>
          <w:rFonts w:hint="eastAsia" w:ascii="微软雅黑" w:hAnsi="微软雅黑" w:eastAsia="微软雅黑" w:cs="微软雅黑"/>
          <w:i w:val="0"/>
          <w:iCs w:val="0"/>
          <w:caps w:val="0"/>
          <w:color w:val="000000"/>
          <w:spacing w:val="0"/>
          <w:sz w:val="28"/>
          <w:szCs w:val="28"/>
          <w:shd w:val="clear" w:fill="FFFFFF"/>
        </w:rPr>
        <w:t>殡葬管理条例》、《福建省殡葬管理办法》</w:t>
      </w:r>
      <w:r>
        <w:rPr>
          <w:rFonts w:hint="eastAsia" w:ascii="微软雅黑" w:hAnsi="微软雅黑" w:eastAsia="微软雅黑" w:cs="微软雅黑"/>
          <w:i w:val="0"/>
          <w:iCs w:val="0"/>
          <w:caps w:val="0"/>
          <w:color w:val="000000"/>
          <w:spacing w:val="0"/>
          <w:sz w:val="28"/>
          <w:szCs w:val="28"/>
          <w:shd w:val="clear" w:fill="FFFFFF"/>
          <w:lang w:eastAsia="zh-CN"/>
        </w:rPr>
        <w:t>、</w:t>
      </w:r>
      <w:r>
        <w:rPr>
          <w:rFonts w:hint="eastAsia" w:ascii="微软雅黑" w:hAnsi="微软雅黑" w:eastAsia="微软雅黑" w:cs="微软雅黑"/>
          <w:i w:val="0"/>
          <w:iCs w:val="0"/>
          <w:caps w:val="0"/>
          <w:color w:val="000000"/>
          <w:spacing w:val="0"/>
          <w:sz w:val="28"/>
          <w:szCs w:val="28"/>
          <w:shd w:val="clear" w:fill="FFFFFF"/>
        </w:rPr>
        <w:t>《</w:t>
      </w:r>
      <w:r>
        <w:rPr>
          <w:rFonts w:hint="eastAsia" w:ascii="微软雅黑" w:hAnsi="微软雅黑" w:eastAsia="微软雅黑" w:cs="微软雅黑"/>
          <w:i w:val="0"/>
          <w:iCs w:val="0"/>
          <w:caps w:val="0"/>
          <w:color w:val="000000"/>
          <w:spacing w:val="0"/>
          <w:sz w:val="28"/>
          <w:szCs w:val="28"/>
          <w:shd w:val="clear" w:fill="FFFFFF"/>
          <w:lang w:eastAsia="zh-CN"/>
        </w:rPr>
        <w:t>民政部等9部委关于</w:t>
      </w:r>
      <w:r>
        <w:rPr>
          <w:rFonts w:hint="eastAsia" w:ascii="微软雅黑" w:hAnsi="微软雅黑" w:eastAsia="微软雅黑" w:cs="微软雅黑"/>
          <w:i w:val="0"/>
          <w:iCs w:val="0"/>
          <w:caps w:val="0"/>
          <w:color w:val="000000"/>
          <w:spacing w:val="0"/>
          <w:sz w:val="28"/>
          <w:szCs w:val="28"/>
          <w:shd w:val="clear" w:fill="FFFFFF"/>
        </w:rPr>
        <w:t>推行</w:t>
      </w:r>
      <w:r>
        <w:rPr>
          <w:rFonts w:hint="eastAsia" w:ascii="微软雅黑" w:hAnsi="微软雅黑" w:eastAsia="微软雅黑" w:cs="微软雅黑"/>
          <w:i w:val="0"/>
          <w:iCs w:val="0"/>
          <w:caps w:val="0"/>
          <w:color w:val="000000"/>
          <w:spacing w:val="0"/>
          <w:sz w:val="28"/>
          <w:szCs w:val="28"/>
          <w:shd w:val="clear" w:fill="FFFFFF"/>
          <w:lang w:eastAsia="zh-CN"/>
        </w:rPr>
        <w:t>节地生态安葬的</w:t>
      </w:r>
      <w:r>
        <w:rPr>
          <w:rFonts w:hint="eastAsia" w:ascii="微软雅黑" w:hAnsi="微软雅黑" w:eastAsia="微软雅黑" w:cs="微软雅黑"/>
          <w:i w:val="0"/>
          <w:iCs w:val="0"/>
          <w:caps w:val="0"/>
          <w:color w:val="000000"/>
          <w:spacing w:val="0"/>
          <w:sz w:val="28"/>
          <w:szCs w:val="28"/>
          <w:shd w:val="clear" w:fill="FFFFFF"/>
        </w:rPr>
        <w:t>指导意见》</w:t>
      </w:r>
      <w:r>
        <w:rPr>
          <w:rFonts w:hint="eastAsia" w:ascii="微软雅黑" w:hAnsi="微软雅黑" w:eastAsia="微软雅黑" w:cs="微软雅黑"/>
          <w:i w:val="0"/>
          <w:iCs w:val="0"/>
          <w:caps w:val="0"/>
          <w:color w:val="000000"/>
          <w:spacing w:val="0"/>
          <w:sz w:val="28"/>
          <w:szCs w:val="28"/>
          <w:shd w:val="clear" w:fill="FFFFFF"/>
          <w:lang w:eastAsia="zh-CN"/>
        </w:rPr>
        <w:t>、</w:t>
      </w:r>
      <w:r>
        <w:rPr>
          <w:rFonts w:hint="eastAsia" w:ascii="微软雅黑" w:hAnsi="微软雅黑" w:eastAsia="微软雅黑" w:cs="微软雅黑"/>
          <w:i w:val="0"/>
          <w:iCs w:val="0"/>
          <w:caps w:val="0"/>
          <w:color w:val="000000"/>
          <w:spacing w:val="0"/>
          <w:sz w:val="28"/>
          <w:szCs w:val="28"/>
          <w:shd w:val="clear" w:fill="FFFFFF"/>
        </w:rPr>
        <w:t>《中共</w:t>
      </w:r>
      <w:r>
        <w:rPr>
          <w:rFonts w:hint="eastAsia" w:ascii="微软雅黑" w:hAnsi="微软雅黑" w:eastAsia="微软雅黑" w:cs="微软雅黑"/>
          <w:i w:val="0"/>
          <w:iCs w:val="0"/>
          <w:caps w:val="0"/>
          <w:color w:val="000000"/>
          <w:spacing w:val="0"/>
          <w:sz w:val="28"/>
          <w:szCs w:val="28"/>
          <w:shd w:val="clear" w:fill="FFFFFF"/>
          <w:lang w:eastAsia="zh-CN"/>
        </w:rPr>
        <w:t>福建省委 福建省人民政府关于更高起点建设生态强省谱写美丽中国建设福建篇章的实施方案》</w:t>
      </w:r>
      <w:r>
        <w:rPr>
          <w:rFonts w:hint="eastAsia" w:ascii="微软雅黑" w:hAnsi="微软雅黑" w:eastAsia="微软雅黑" w:cs="微软雅黑"/>
          <w:i w:val="0"/>
          <w:iCs w:val="0"/>
          <w:caps w:val="0"/>
          <w:color w:val="000000"/>
          <w:spacing w:val="0"/>
          <w:sz w:val="28"/>
          <w:szCs w:val="28"/>
          <w:shd w:val="clear" w:fill="FFFFFF"/>
        </w:rPr>
        <w:t>、《福建省民政厅等17 部门关于进一步推动殡葬改革促进殡葬事业发展的实施意见》、《福建省</w:t>
      </w:r>
      <w:r>
        <w:rPr>
          <w:rFonts w:hint="eastAsia" w:ascii="微软雅黑" w:hAnsi="微软雅黑" w:eastAsia="微软雅黑" w:cs="微软雅黑"/>
          <w:i w:val="0"/>
          <w:iCs w:val="0"/>
          <w:caps w:val="0"/>
          <w:color w:val="000000"/>
          <w:spacing w:val="0"/>
          <w:sz w:val="28"/>
          <w:szCs w:val="28"/>
          <w:shd w:val="clear" w:fill="FFFFFF"/>
          <w:lang w:eastAsia="zh-CN"/>
        </w:rPr>
        <w:t>人民政府关于推进城乡公益性骨灰楼堂和公墓建设的意见》、</w:t>
      </w:r>
      <w:r>
        <w:rPr>
          <w:rFonts w:hint="eastAsia" w:ascii="微软雅黑" w:hAnsi="微软雅黑" w:eastAsia="微软雅黑" w:cs="微软雅黑"/>
          <w:i w:val="0"/>
          <w:iCs w:val="0"/>
          <w:caps w:val="0"/>
          <w:color w:val="000000"/>
          <w:spacing w:val="0"/>
          <w:sz w:val="28"/>
          <w:szCs w:val="28"/>
          <w:shd w:val="clear" w:fill="FFFFFF"/>
        </w:rPr>
        <w:t>《龙岩市人民政府关于进一步加强殡葬改革工作的意见》的要求，结合我县殡葬改革工作实际和国土、农林、</w:t>
      </w:r>
      <w:r>
        <w:rPr>
          <w:rFonts w:hint="eastAsia" w:ascii="微软雅黑" w:hAnsi="微软雅黑" w:eastAsia="微软雅黑" w:cs="微软雅黑"/>
          <w:i w:val="0"/>
          <w:iCs w:val="0"/>
          <w:caps w:val="0"/>
          <w:color w:val="000000"/>
          <w:spacing w:val="0"/>
          <w:sz w:val="28"/>
          <w:szCs w:val="28"/>
          <w:shd w:val="clear" w:fill="FFFFFF"/>
          <w:lang w:eastAsia="zh-CN"/>
        </w:rPr>
        <w:t>水利、</w:t>
      </w:r>
      <w:r>
        <w:rPr>
          <w:rFonts w:hint="eastAsia" w:ascii="微软雅黑" w:hAnsi="微软雅黑" w:eastAsia="微软雅黑" w:cs="微软雅黑"/>
          <w:i w:val="0"/>
          <w:iCs w:val="0"/>
          <w:caps w:val="0"/>
          <w:color w:val="000000"/>
          <w:spacing w:val="0"/>
          <w:sz w:val="28"/>
          <w:szCs w:val="28"/>
          <w:shd w:val="clear" w:fill="FFFFFF"/>
        </w:rPr>
        <w:t>环保等部门的规划需要，整合现有殡葬资源，特编制《</w:t>
      </w:r>
      <w:r>
        <w:rPr>
          <w:rFonts w:hint="eastAsia" w:ascii="微软雅黑" w:hAnsi="微软雅黑" w:eastAsia="微软雅黑" w:cs="微软雅黑"/>
          <w:i w:val="0"/>
          <w:iCs w:val="0"/>
          <w:caps w:val="0"/>
          <w:color w:val="000000"/>
          <w:spacing w:val="0"/>
          <w:sz w:val="28"/>
          <w:szCs w:val="28"/>
          <w:shd w:val="clear" w:fill="FFFFFF"/>
          <w:lang w:eastAsia="zh-CN"/>
        </w:rPr>
        <w:t>长汀</w:t>
      </w:r>
      <w:r>
        <w:rPr>
          <w:rFonts w:hint="eastAsia" w:ascii="微软雅黑" w:hAnsi="微软雅黑" w:eastAsia="微软雅黑" w:cs="微软雅黑"/>
          <w:i w:val="0"/>
          <w:iCs w:val="0"/>
          <w:caps w:val="0"/>
          <w:color w:val="000000"/>
          <w:spacing w:val="0"/>
          <w:sz w:val="28"/>
          <w:szCs w:val="28"/>
          <w:shd w:val="clear" w:fill="FFFFFF"/>
        </w:rPr>
        <w:t>县殡葬设施布局专项规划（202</w:t>
      </w:r>
      <w:r>
        <w:rPr>
          <w:rFonts w:hint="eastAsia" w:ascii="微软雅黑" w:hAnsi="微软雅黑" w:eastAsia="微软雅黑" w:cs="微软雅黑"/>
          <w:i w:val="0"/>
          <w:iCs w:val="0"/>
          <w:caps w:val="0"/>
          <w:color w:val="000000"/>
          <w:spacing w:val="0"/>
          <w:sz w:val="28"/>
          <w:szCs w:val="28"/>
          <w:shd w:val="clear" w:fill="FFFFFF"/>
          <w:lang w:eastAsia="zh-CN"/>
        </w:rPr>
        <w:t>5</w:t>
      </w:r>
      <w:r>
        <w:rPr>
          <w:rFonts w:hint="eastAsia" w:ascii="微软雅黑" w:hAnsi="微软雅黑" w:eastAsia="微软雅黑" w:cs="微软雅黑"/>
          <w:i w:val="0"/>
          <w:iCs w:val="0"/>
          <w:caps w:val="0"/>
          <w:color w:val="000000"/>
          <w:spacing w:val="0"/>
          <w:sz w:val="28"/>
          <w:szCs w:val="28"/>
          <w:shd w:val="clear" w:fill="FFFFFF"/>
        </w:rPr>
        <w:t>-2035年）》。</w:t>
      </w:r>
    </w:p>
    <w:p w14:paraId="1B7602FA">
      <w:pPr>
        <w:numPr>
          <w:ilvl w:val="0"/>
          <w:numId w:val="0"/>
        </w:numPr>
        <w:ind w:left="0" w:leftChars="0" w:firstLine="560" w:firstLineChars="200"/>
        <w:outlineLvl w:val="1"/>
        <w:rPr>
          <w:rFonts w:hint="eastAsia" w:ascii="微软雅黑" w:hAnsi="微软雅黑" w:eastAsia="微软雅黑" w:cs="微软雅黑"/>
          <w:i w:val="0"/>
          <w:iCs w:val="0"/>
          <w:caps w:val="0"/>
          <w:color w:val="000000"/>
          <w:spacing w:val="0"/>
          <w:sz w:val="28"/>
          <w:szCs w:val="28"/>
          <w:shd w:val="clear" w:fill="FFFFFF"/>
          <w:lang w:eastAsia="zh-CN"/>
        </w:rPr>
      </w:pPr>
      <w:bookmarkStart w:id="5" w:name="_Toc28"/>
      <w:bookmarkStart w:id="6" w:name="_Toc29487"/>
      <w:bookmarkStart w:id="7" w:name="_Toc30646"/>
      <w:r>
        <w:rPr>
          <w:rFonts w:hint="eastAsia" w:ascii="微软雅黑" w:hAnsi="微软雅黑" w:eastAsia="微软雅黑" w:cs="微软雅黑"/>
          <w:i w:val="0"/>
          <w:iCs w:val="0"/>
          <w:caps w:val="0"/>
          <w:color w:val="000000"/>
          <w:spacing w:val="0"/>
          <w:sz w:val="28"/>
          <w:szCs w:val="28"/>
          <w:shd w:val="clear" w:fill="FFFFFF"/>
          <w:lang w:eastAsia="zh-CN"/>
        </w:rPr>
        <w:t>2.民生背景</w:t>
      </w:r>
      <w:bookmarkEnd w:id="5"/>
    </w:p>
    <w:p w14:paraId="02E18E22">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殡葬是重大民生事项，关系人民群众切身利益，关系社会主义精神文明和生态文明建设。作为全生命周期的服务，殡葬设施已成为人文、情感、缅怀的东西；散埋乱葬、占地毁林建坟现象与绿色生态、乡村振兴冲突，将导致迟滞公益项目的建设，易引起民间纠纷；集中安放的费用比自建坟墓便宜，可减轻居民负担，满足人民群众对美好生活的期待，间接促进了乡村振兴。</w:t>
      </w:r>
    </w:p>
    <w:p w14:paraId="7B7A8BEC">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长汀县近些年在加强殡葬管理、推进殡葬改革、服务群众治丧、促进殡葬事业发展方面做了巨大的努力，取得了一定的成效，制止了明目张胆的散埋乱葬现象。虽然有成绩，但也有难点，受政策限制，城区用地不够。随着城市化人口水平的提高以及项目建设，坟墓征迁，城区死亡人员和重点项目坟墓迁移安置的需求日益加大，现有公墓内墓穴呈现供求紧张态势，已基本无墓穴可供应，间接地引发了城市周边的各村村民私下出售土地建墓的现象，出现了大量出售山坡地、林地建造超大墓、活人墓的行为，严重影响了城市规划以及县城的整体环境，并造成土地资源浪费和水土流失。</w:t>
      </w:r>
    </w:p>
    <w:p w14:paraId="5C81D3BF">
      <w:pPr>
        <w:numPr>
          <w:ilvl w:val="0"/>
          <w:numId w:val="0"/>
        </w:numPr>
        <w:ind w:firstLine="560" w:firstLineChars="200"/>
        <w:rPr>
          <w:rFonts w:hint="eastAsia" w:ascii="微软雅黑" w:hAnsi="微软雅黑" w:eastAsia="微软雅黑" w:cs="微软雅黑"/>
          <w:i w:val="0"/>
          <w:iCs w:val="0"/>
          <w:caps w:val="0"/>
          <w:color w:val="FF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长汀县是革命老区、优抚大县，在革命战争年代，长汀老区人民有1万多人为国捐躯，现有在册革命烈士6760人，同时长汀县还有较多的散葬烈士墓，长汀县目前共建有馆前镇烈士纪念园、长汀县革命烈士公墓、长汀县烈士纪念园、四都镇革命烈士公墓、羊牯乡烈士纪念园5处零散烈士墓集中安葬点，基本能满足</w:t>
      </w:r>
      <w:r>
        <w:rPr>
          <w:rFonts w:hint="eastAsia" w:ascii="微软雅黑" w:hAnsi="微软雅黑" w:eastAsia="微软雅黑" w:cs="微软雅黑"/>
          <w:i w:val="0"/>
          <w:iCs w:val="0"/>
          <w:caps w:val="0"/>
          <w:color w:val="000000"/>
          <w:spacing w:val="0"/>
          <w:sz w:val="28"/>
          <w:szCs w:val="28"/>
          <w:shd w:val="clear" w:fill="FFFFFF"/>
          <w:lang w:val="en-US" w:eastAsia="zh-CN"/>
        </w:rPr>
        <w:t>零</w:t>
      </w:r>
      <w:r>
        <w:rPr>
          <w:rFonts w:hint="eastAsia" w:ascii="微软雅黑" w:hAnsi="微软雅黑" w:eastAsia="微软雅黑" w:cs="微软雅黑"/>
          <w:i w:val="0"/>
          <w:iCs w:val="0"/>
          <w:caps w:val="0"/>
          <w:color w:val="000000"/>
          <w:spacing w:val="0"/>
          <w:sz w:val="28"/>
          <w:szCs w:val="28"/>
          <w:shd w:val="clear" w:fill="FFFFFF"/>
          <w:lang w:eastAsia="zh-CN"/>
        </w:rPr>
        <w:t>散葬烈士</w:t>
      </w:r>
      <w:r>
        <w:rPr>
          <w:rFonts w:hint="eastAsia" w:ascii="微软雅黑" w:hAnsi="微软雅黑" w:eastAsia="微软雅黑" w:cs="微软雅黑"/>
          <w:i w:val="0"/>
          <w:iCs w:val="0"/>
          <w:caps w:val="0"/>
          <w:color w:val="000000"/>
          <w:spacing w:val="0"/>
          <w:sz w:val="28"/>
          <w:szCs w:val="28"/>
          <w:shd w:val="clear" w:fill="FFFFFF"/>
          <w:lang w:val="en-US" w:eastAsia="zh-CN"/>
        </w:rPr>
        <w:t>墓</w:t>
      </w:r>
      <w:r>
        <w:rPr>
          <w:rFonts w:hint="eastAsia" w:ascii="微软雅黑" w:hAnsi="微软雅黑" w:eastAsia="微软雅黑" w:cs="微软雅黑"/>
          <w:i w:val="0"/>
          <w:iCs w:val="0"/>
          <w:caps w:val="0"/>
          <w:color w:val="000000"/>
          <w:spacing w:val="0"/>
          <w:sz w:val="28"/>
          <w:szCs w:val="28"/>
          <w:shd w:val="clear" w:fill="FFFFFF"/>
          <w:lang w:eastAsia="zh-CN"/>
        </w:rPr>
        <w:t>集中安葬要求。</w:t>
      </w:r>
    </w:p>
    <w:p w14:paraId="4032E27F">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长汀县是人口大县，退役军人较多，每年去世退役军人在 100人以上，死亡人口数量比较大，为促进军民融合、增强退役军人的社会归属感、推动全社会拥军优属，崇尚英雄的氛围，必须建设军人公墓，而目前长汀县尚没有一处军人公墓。</w:t>
      </w:r>
    </w:p>
    <w:p w14:paraId="41EC67A3">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随着我国经济社会发展和人民群众对美好生活的期待，为殡葬事业健康有序发展营造良好法治环境，补齐殡葬工作制度短板，切实解决人民群众殡葬方面急难愁盼问题，根据长汀县民政局的要求，特编制本专项规划。</w:t>
      </w:r>
    </w:p>
    <w:p w14:paraId="0CEB102F">
      <w:pPr>
        <w:numPr>
          <w:ilvl w:val="0"/>
          <w:numId w:val="0"/>
        </w:numPr>
        <w:ind w:left="0" w:leftChars="0" w:firstLine="0" w:firstLineChars="0"/>
        <w:outlineLvl w:val="0"/>
        <w:rPr>
          <w:rFonts w:hint="eastAsia" w:ascii="微软雅黑" w:hAnsi="微软雅黑" w:eastAsia="微软雅黑" w:cs="微软雅黑"/>
          <w:b/>
          <w:bCs/>
          <w:i w:val="0"/>
          <w:iCs w:val="0"/>
          <w:caps w:val="0"/>
          <w:color w:val="000000"/>
          <w:spacing w:val="0"/>
          <w:sz w:val="28"/>
          <w:szCs w:val="28"/>
          <w:shd w:val="clear" w:fill="FFFFFF"/>
          <w:lang w:eastAsia="zh-CN"/>
        </w:rPr>
      </w:pPr>
      <w:bookmarkStart w:id="8" w:name="_Toc20551"/>
      <w:r>
        <w:rPr>
          <w:rFonts w:hint="eastAsia" w:ascii="微软雅黑" w:hAnsi="微软雅黑" w:eastAsia="微软雅黑" w:cs="微软雅黑"/>
          <w:b/>
          <w:bCs/>
          <w:i w:val="0"/>
          <w:iCs w:val="0"/>
          <w:caps w:val="0"/>
          <w:color w:val="000000"/>
          <w:spacing w:val="0"/>
          <w:sz w:val="28"/>
          <w:szCs w:val="28"/>
          <w:shd w:val="clear" w:fill="FFFFFF"/>
          <w:lang w:eastAsia="zh-CN"/>
        </w:rPr>
        <w:t xml:space="preserve">二、 </w:t>
      </w:r>
      <w:r>
        <w:rPr>
          <w:rFonts w:ascii="微软雅黑" w:hAnsi="微软雅黑" w:eastAsia="微软雅黑" w:cs="微软雅黑"/>
          <w:b/>
          <w:bCs/>
          <w:i w:val="0"/>
          <w:iCs w:val="0"/>
          <w:caps w:val="0"/>
          <w:color w:val="000000"/>
          <w:spacing w:val="0"/>
          <w:sz w:val="28"/>
          <w:szCs w:val="28"/>
          <w:shd w:val="clear" w:fill="FFFFFF"/>
        </w:rPr>
        <w:t>规划</w:t>
      </w:r>
      <w:r>
        <w:rPr>
          <w:rFonts w:hint="eastAsia" w:ascii="微软雅黑" w:hAnsi="微软雅黑" w:eastAsia="微软雅黑" w:cs="微软雅黑"/>
          <w:b/>
          <w:bCs/>
          <w:i w:val="0"/>
          <w:iCs w:val="0"/>
          <w:caps w:val="0"/>
          <w:color w:val="000000"/>
          <w:spacing w:val="0"/>
          <w:sz w:val="28"/>
          <w:szCs w:val="28"/>
          <w:shd w:val="clear" w:fill="FFFFFF"/>
          <w:lang w:eastAsia="zh-CN"/>
        </w:rPr>
        <w:t>指导思想</w:t>
      </w:r>
      <w:bookmarkEnd w:id="8"/>
    </w:p>
    <w:p w14:paraId="409DE286">
      <w:pPr>
        <w:numPr>
          <w:ilvl w:val="0"/>
          <w:numId w:val="0"/>
        </w:numPr>
        <w:ind w:left="0" w:leftChars="0" w:firstLine="560" w:firstLineChars="200"/>
        <w:outlineLvl w:val="1"/>
        <w:rPr>
          <w:rFonts w:hint="eastAsia" w:ascii="微软雅黑" w:hAnsi="微软雅黑" w:eastAsia="微软雅黑" w:cs="微软雅黑"/>
          <w:b/>
          <w:bCs/>
          <w:i w:val="0"/>
          <w:iCs w:val="0"/>
          <w:caps w:val="0"/>
          <w:color w:val="000000"/>
          <w:spacing w:val="0"/>
          <w:sz w:val="28"/>
          <w:szCs w:val="28"/>
          <w:shd w:val="clear" w:fill="FFFFFF"/>
          <w:lang w:eastAsia="zh-CN"/>
        </w:rPr>
      </w:pPr>
      <w:bookmarkStart w:id="9" w:name="_Toc24610"/>
      <w:r>
        <w:rPr>
          <w:rFonts w:hint="eastAsia" w:ascii="微软雅黑" w:hAnsi="微软雅黑" w:eastAsia="微软雅黑" w:cs="微软雅黑"/>
          <w:b/>
          <w:bCs/>
          <w:i w:val="0"/>
          <w:iCs w:val="0"/>
          <w:caps w:val="0"/>
          <w:color w:val="000000"/>
          <w:spacing w:val="0"/>
          <w:sz w:val="28"/>
          <w:szCs w:val="28"/>
          <w:shd w:val="clear" w:fill="FFFFFF"/>
          <w:lang w:eastAsia="zh-CN"/>
        </w:rPr>
        <w:t>1. 指导思想</w:t>
      </w:r>
      <w:bookmarkEnd w:id="9"/>
    </w:p>
    <w:p w14:paraId="66CF31B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560" w:firstLineChars="200"/>
        <w:jc w:val="both"/>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sz w:val="28"/>
          <w:szCs w:val="28"/>
          <w:shd w:val="clear" w:fill="FFFFFF"/>
          <w:lang w:val="en-US" w:eastAsia="zh-CN"/>
        </w:rPr>
        <w:t>坚持以习近平</w:t>
      </w: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新时代中国特色社会主义思想为指导，深入贯彻党的二十大和二十届二中、三中全会精神，全面贯彻习近平总书记关于殡葬工作重要指示，全面落实为全面推进美丽中国建设，加快推进人与自然和谐共生的现代化的战略部署，加强殡葬管理，强化殡葬行业公益属性，保障公民基本殡葬服务需求，促进社会主义精神文明和生态文明建设，构建覆盖城乡、功能完善、布局合理的殡葬公共服务体系，保障遗体接运、存放、告别、火化、骨灰格位安葬、生态安葬等基本殡葬服务公平可及。</w:t>
      </w:r>
    </w:p>
    <w:p w14:paraId="2D092FD3">
      <w:pPr>
        <w:numPr>
          <w:ilvl w:val="0"/>
          <w:numId w:val="0"/>
        </w:numPr>
        <w:ind w:left="0" w:leftChars="0" w:firstLine="0" w:firstLineChars="0"/>
        <w:outlineLvl w:val="1"/>
        <w:rPr>
          <w:rFonts w:hint="eastAsia" w:ascii="微软雅黑" w:hAnsi="微软雅黑" w:eastAsia="微软雅黑" w:cs="微软雅黑"/>
          <w:b/>
          <w:bCs/>
          <w:i w:val="0"/>
          <w:iCs w:val="0"/>
          <w:caps w:val="0"/>
          <w:color w:val="000000"/>
          <w:spacing w:val="0"/>
          <w:sz w:val="28"/>
          <w:szCs w:val="28"/>
          <w:shd w:val="clear" w:fill="FFFFFF"/>
          <w:lang w:eastAsia="zh-CN"/>
        </w:rPr>
      </w:pPr>
      <w:r>
        <w:rPr>
          <w:rFonts w:hint="eastAsia" w:ascii="微软雅黑" w:hAnsi="微软雅黑" w:eastAsia="微软雅黑" w:cs="微软雅黑"/>
          <w:b/>
          <w:bCs/>
          <w:i w:val="0"/>
          <w:iCs w:val="0"/>
          <w:caps w:val="0"/>
          <w:color w:val="000000"/>
          <w:spacing w:val="0"/>
          <w:sz w:val="28"/>
          <w:szCs w:val="28"/>
          <w:shd w:val="clear" w:fill="FFFFFF"/>
          <w:lang w:eastAsia="zh-CN"/>
        </w:rPr>
        <w:t xml:space="preserve">    </w:t>
      </w:r>
      <w:bookmarkStart w:id="10" w:name="_Toc2731"/>
      <w:r>
        <w:rPr>
          <w:rFonts w:hint="eastAsia" w:ascii="微软雅黑" w:hAnsi="微软雅黑" w:eastAsia="微软雅黑" w:cs="微软雅黑"/>
          <w:b/>
          <w:bCs/>
          <w:i w:val="0"/>
          <w:iCs w:val="0"/>
          <w:caps w:val="0"/>
          <w:color w:val="000000"/>
          <w:spacing w:val="0"/>
          <w:sz w:val="28"/>
          <w:szCs w:val="28"/>
          <w:shd w:val="clear" w:fill="FFFFFF"/>
          <w:lang w:eastAsia="zh-CN"/>
        </w:rPr>
        <w:t>2.规划原则</w:t>
      </w:r>
      <w:bookmarkEnd w:id="10"/>
    </w:p>
    <w:p w14:paraId="34B33BB9">
      <w:pPr>
        <w:numPr>
          <w:ilvl w:val="0"/>
          <w:numId w:val="0"/>
        </w:numPr>
        <w:ind w:left="0" w:leftChars="0" w:firstLine="560" w:firstLineChars="200"/>
        <w:outlineLvl w:val="2"/>
        <w:rPr>
          <w:rFonts w:ascii="微软雅黑" w:hAnsi="微软雅黑" w:eastAsia="微软雅黑" w:cs="微软雅黑"/>
          <w:i w:val="0"/>
          <w:iCs w:val="0"/>
          <w:caps w:val="0"/>
          <w:color w:val="000000"/>
          <w:spacing w:val="0"/>
          <w:sz w:val="28"/>
          <w:szCs w:val="28"/>
          <w:shd w:val="clear" w:fill="FFFFFF"/>
        </w:rPr>
      </w:pPr>
      <w:bookmarkStart w:id="11" w:name="_Toc30696"/>
      <w:bookmarkStart w:id="12" w:name="_Toc11061"/>
      <w:r>
        <w:rPr>
          <w:rFonts w:hint="eastAsia" w:ascii="微软雅黑" w:hAnsi="微软雅黑" w:eastAsia="微软雅黑" w:cs="微软雅黑"/>
          <w:i w:val="0"/>
          <w:iCs w:val="0"/>
          <w:caps w:val="0"/>
          <w:color w:val="000000"/>
          <w:spacing w:val="0"/>
          <w:sz w:val="28"/>
          <w:szCs w:val="28"/>
          <w:shd w:val="clear" w:fill="FFFFFF"/>
          <w:lang w:eastAsia="zh-CN"/>
        </w:rPr>
        <w:t>2.1</w:t>
      </w:r>
      <w:r>
        <w:rPr>
          <w:rFonts w:ascii="微软雅黑" w:hAnsi="微软雅黑" w:eastAsia="微软雅黑" w:cs="微软雅黑"/>
          <w:i w:val="0"/>
          <w:iCs w:val="0"/>
          <w:caps w:val="0"/>
          <w:color w:val="000000"/>
          <w:spacing w:val="0"/>
          <w:sz w:val="28"/>
          <w:szCs w:val="28"/>
          <w:shd w:val="clear" w:fill="FFFFFF"/>
        </w:rPr>
        <w:t>统筹规划、合理布局</w:t>
      </w:r>
      <w:bookmarkEnd w:id="11"/>
      <w:bookmarkEnd w:id="12"/>
      <w:r>
        <w:rPr>
          <w:rFonts w:ascii="微软雅黑" w:hAnsi="微软雅黑" w:eastAsia="微软雅黑" w:cs="微软雅黑"/>
          <w:i w:val="0"/>
          <w:iCs w:val="0"/>
          <w:caps w:val="0"/>
          <w:color w:val="000000"/>
          <w:spacing w:val="0"/>
          <w:sz w:val="28"/>
          <w:szCs w:val="28"/>
          <w:shd w:val="clear" w:fill="FFFFFF"/>
        </w:rPr>
        <w:t xml:space="preserve"> </w:t>
      </w:r>
    </w:p>
    <w:p w14:paraId="384FA9B1">
      <w:pPr>
        <w:numPr>
          <w:ilvl w:val="0"/>
          <w:numId w:val="0"/>
        </w:numPr>
        <w:ind w:firstLine="560" w:firstLineChars="200"/>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在</w:t>
      </w:r>
      <w:r>
        <w:rPr>
          <w:rFonts w:hint="eastAsia" w:ascii="微软雅黑" w:hAnsi="微软雅黑" w:eastAsia="微软雅黑" w:cs="微软雅黑"/>
          <w:i w:val="0"/>
          <w:iCs w:val="0"/>
          <w:caps w:val="0"/>
          <w:color w:val="000000"/>
          <w:spacing w:val="0"/>
          <w:sz w:val="28"/>
          <w:szCs w:val="28"/>
          <w:shd w:val="clear" w:fill="FFFFFF"/>
          <w:lang w:eastAsia="zh-CN"/>
        </w:rPr>
        <w:t>长汀县</w:t>
      </w:r>
      <w:r>
        <w:rPr>
          <w:rFonts w:ascii="微软雅黑" w:hAnsi="微软雅黑" w:eastAsia="微软雅黑" w:cs="微软雅黑"/>
          <w:i w:val="0"/>
          <w:iCs w:val="0"/>
          <w:caps w:val="0"/>
          <w:color w:val="000000"/>
          <w:spacing w:val="0"/>
          <w:sz w:val="28"/>
          <w:szCs w:val="28"/>
          <w:shd w:val="clear" w:fill="FFFFFF"/>
        </w:rPr>
        <w:t>经济社会发展总体规划和城乡建设规划的基础上，结合各乡镇的人员结构和未来发展潜力，以土地资源优化利用与民众使用方便为前提。一</w:t>
      </w:r>
      <w:r>
        <w:rPr>
          <w:rFonts w:hint="eastAsia" w:ascii="微软雅黑" w:hAnsi="微软雅黑" w:eastAsia="微软雅黑" w:cs="微软雅黑"/>
          <w:i w:val="0"/>
          <w:iCs w:val="0"/>
          <w:caps w:val="0"/>
          <w:color w:val="000000"/>
          <w:spacing w:val="0"/>
          <w:sz w:val="28"/>
          <w:szCs w:val="28"/>
          <w:shd w:val="clear" w:fill="FFFFFF"/>
          <w:lang w:eastAsia="zh-CN"/>
        </w:rPr>
        <w:t>是</w:t>
      </w:r>
      <w:r>
        <w:rPr>
          <w:rFonts w:ascii="微软雅黑" w:hAnsi="微软雅黑" w:eastAsia="微软雅黑" w:cs="微软雅黑"/>
          <w:i w:val="0"/>
          <w:iCs w:val="0"/>
          <w:caps w:val="0"/>
          <w:color w:val="000000"/>
          <w:spacing w:val="0"/>
          <w:sz w:val="28"/>
          <w:szCs w:val="28"/>
          <w:shd w:val="clear" w:fill="FFFFFF"/>
        </w:rPr>
        <w:t>充分考虑我县未来对殡葬设施的潜在需求，二</w:t>
      </w:r>
      <w:r>
        <w:rPr>
          <w:rFonts w:hint="eastAsia" w:ascii="微软雅黑" w:hAnsi="微软雅黑" w:eastAsia="微软雅黑" w:cs="微软雅黑"/>
          <w:i w:val="0"/>
          <w:iCs w:val="0"/>
          <w:caps w:val="0"/>
          <w:color w:val="000000"/>
          <w:spacing w:val="0"/>
          <w:sz w:val="28"/>
          <w:szCs w:val="28"/>
          <w:shd w:val="clear" w:fill="FFFFFF"/>
          <w:lang w:eastAsia="zh-CN"/>
        </w:rPr>
        <w:t>是</w:t>
      </w:r>
      <w:r>
        <w:rPr>
          <w:rFonts w:ascii="微软雅黑" w:hAnsi="微软雅黑" w:eastAsia="微软雅黑" w:cs="微软雅黑"/>
          <w:i w:val="0"/>
          <w:iCs w:val="0"/>
          <w:caps w:val="0"/>
          <w:color w:val="000000"/>
          <w:spacing w:val="0"/>
          <w:sz w:val="28"/>
          <w:szCs w:val="28"/>
          <w:shd w:val="clear" w:fill="FFFFFF"/>
        </w:rPr>
        <w:t>努力做到布局合理、方便群众，三</w:t>
      </w:r>
      <w:r>
        <w:rPr>
          <w:rFonts w:hint="eastAsia" w:ascii="微软雅黑" w:hAnsi="微软雅黑" w:eastAsia="微软雅黑" w:cs="微软雅黑"/>
          <w:i w:val="0"/>
          <w:iCs w:val="0"/>
          <w:caps w:val="0"/>
          <w:color w:val="000000"/>
          <w:spacing w:val="0"/>
          <w:sz w:val="28"/>
          <w:szCs w:val="28"/>
          <w:shd w:val="clear" w:fill="FFFFFF"/>
          <w:lang w:eastAsia="zh-CN"/>
        </w:rPr>
        <w:t>是</w:t>
      </w:r>
      <w:r>
        <w:rPr>
          <w:rFonts w:ascii="微软雅黑" w:hAnsi="微软雅黑" w:eastAsia="微软雅黑" w:cs="微软雅黑"/>
          <w:i w:val="0"/>
          <w:iCs w:val="0"/>
          <w:caps w:val="0"/>
          <w:color w:val="000000"/>
          <w:spacing w:val="0"/>
          <w:sz w:val="28"/>
          <w:szCs w:val="28"/>
          <w:shd w:val="clear" w:fill="FFFFFF"/>
        </w:rPr>
        <w:t xml:space="preserve">照顾到各个不同群体特别是低收入阶层的经济承受能力和少数民族人口的特殊需要。   </w:t>
      </w:r>
    </w:p>
    <w:p w14:paraId="495101E4">
      <w:pPr>
        <w:numPr>
          <w:ilvl w:val="0"/>
          <w:numId w:val="0"/>
        </w:numPr>
        <w:ind w:left="0" w:leftChars="0" w:firstLine="560" w:firstLineChars="200"/>
        <w:outlineLvl w:val="2"/>
        <w:rPr>
          <w:rFonts w:ascii="微软雅黑" w:hAnsi="微软雅黑" w:eastAsia="微软雅黑" w:cs="微软雅黑"/>
          <w:i w:val="0"/>
          <w:iCs w:val="0"/>
          <w:caps w:val="0"/>
          <w:color w:val="000000"/>
          <w:spacing w:val="0"/>
          <w:sz w:val="28"/>
          <w:szCs w:val="28"/>
          <w:shd w:val="clear" w:fill="FFFFFF"/>
        </w:rPr>
      </w:pPr>
      <w:bookmarkStart w:id="13" w:name="_Toc7638"/>
      <w:bookmarkStart w:id="14" w:name="_Toc16032"/>
      <w:r>
        <w:rPr>
          <w:rFonts w:hint="eastAsia" w:ascii="微软雅黑" w:hAnsi="微软雅黑" w:eastAsia="微软雅黑" w:cs="微软雅黑"/>
          <w:i w:val="0"/>
          <w:iCs w:val="0"/>
          <w:caps w:val="0"/>
          <w:color w:val="000000"/>
          <w:spacing w:val="0"/>
          <w:sz w:val="28"/>
          <w:szCs w:val="28"/>
          <w:shd w:val="clear" w:fill="FFFFFF"/>
          <w:lang w:eastAsia="zh-CN"/>
        </w:rPr>
        <w:t>2.2</w:t>
      </w:r>
      <w:r>
        <w:rPr>
          <w:rFonts w:ascii="微软雅黑" w:hAnsi="微软雅黑" w:eastAsia="微软雅黑" w:cs="微软雅黑"/>
          <w:i w:val="0"/>
          <w:iCs w:val="0"/>
          <w:caps w:val="0"/>
          <w:color w:val="000000"/>
          <w:spacing w:val="0"/>
          <w:sz w:val="28"/>
          <w:szCs w:val="28"/>
          <w:shd w:val="clear" w:fill="FFFFFF"/>
        </w:rPr>
        <w:t>公益优先、以人为本</w:t>
      </w:r>
      <w:bookmarkEnd w:id="13"/>
      <w:bookmarkEnd w:id="14"/>
    </w:p>
    <w:p w14:paraId="3C38F0BB">
      <w:pPr>
        <w:numPr>
          <w:ilvl w:val="0"/>
          <w:numId w:val="0"/>
        </w:numPr>
        <w:ind w:left="0" w:leftChars="0" w:firstLine="0" w:firstLineChars="0"/>
        <w:rPr>
          <w:rFonts w:ascii="微软雅黑" w:hAnsi="微软雅黑" w:eastAsia="微软雅黑" w:cs="微软雅黑"/>
          <w:i w:val="0"/>
          <w:iCs w:val="0"/>
          <w:caps w:val="0"/>
          <w:color w:val="000000"/>
          <w:spacing w:val="0"/>
          <w:sz w:val="28"/>
          <w:szCs w:val="28"/>
          <w:shd w:val="clear" w:fill="FFFFFF"/>
        </w:rPr>
      </w:pPr>
      <w:r>
        <w:rPr>
          <w:rFonts w:hint="eastAsia" w:ascii="微软雅黑" w:hAnsi="微软雅黑" w:eastAsia="微软雅黑" w:cs="微软雅黑"/>
          <w:i w:val="0"/>
          <w:iCs w:val="0"/>
          <w:caps w:val="0"/>
          <w:color w:val="000000"/>
          <w:spacing w:val="0"/>
          <w:sz w:val="28"/>
          <w:szCs w:val="28"/>
          <w:shd w:val="clear" w:fill="FFFFFF"/>
          <w:lang w:eastAsia="zh-CN"/>
        </w:rPr>
        <w:t xml:space="preserve">    </w:t>
      </w:r>
      <w:r>
        <w:rPr>
          <w:rFonts w:ascii="微软雅黑" w:hAnsi="微软雅黑" w:eastAsia="微软雅黑" w:cs="微软雅黑"/>
          <w:i w:val="0"/>
          <w:iCs w:val="0"/>
          <w:caps w:val="0"/>
          <w:color w:val="000000"/>
          <w:spacing w:val="0"/>
          <w:sz w:val="28"/>
          <w:szCs w:val="28"/>
          <w:shd w:val="clear" w:fill="FFFFFF"/>
        </w:rPr>
        <w:t xml:space="preserve">从土地供应、资金来源等方面优先保证殡葬设施的建设，特别是公益性骨灰安葬（放）设施、殡仪服务等殡葬设施，满足广大群众的殡葬需求。 </w:t>
      </w:r>
    </w:p>
    <w:p w14:paraId="73B10CFD">
      <w:pPr>
        <w:numPr>
          <w:ilvl w:val="0"/>
          <w:numId w:val="0"/>
        </w:numPr>
        <w:ind w:left="0" w:leftChars="0" w:firstLine="560" w:firstLineChars="200"/>
        <w:outlineLvl w:val="2"/>
        <w:rPr>
          <w:rFonts w:ascii="微软雅黑" w:hAnsi="微软雅黑" w:eastAsia="微软雅黑" w:cs="微软雅黑"/>
          <w:i w:val="0"/>
          <w:iCs w:val="0"/>
          <w:caps w:val="0"/>
          <w:color w:val="000000"/>
          <w:spacing w:val="0"/>
          <w:sz w:val="28"/>
          <w:szCs w:val="28"/>
          <w:shd w:val="clear" w:fill="FFFFFF"/>
        </w:rPr>
      </w:pPr>
      <w:bookmarkStart w:id="15" w:name="_Toc4368"/>
      <w:bookmarkStart w:id="16" w:name="_Toc27428"/>
      <w:r>
        <w:rPr>
          <w:rFonts w:hint="eastAsia" w:ascii="微软雅黑" w:hAnsi="微软雅黑" w:eastAsia="微软雅黑" w:cs="微软雅黑"/>
          <w:i w:val="0"/>
          <w:iCs w:val="0"/>
          <w:caps w:val="0"/>
          <w:color w:val="000000"/>
          <w:spacing w:val="0"/>
          <w:sz w:val="28"/>
          <w:szCs w:val="28"/>
          <w:shd w:val="clear" w:fill="FFFFFF"/>
          <w:lang w:eastAsia="zh-CN"/>
        </w:rPr>
        <w:t>2.3</w:t>
      </w:r>
      <w:r>
        <w:rPr>
          <w:rFonts w:ascii="微软雅黑" w:hAnsi="微软雅黑" w:eastAsia="微软雅黑" w:cs="微软雅黑"/>
          <w:i w:val="0"/>
          <w:iCs w:val="0"/>
          <w:caps w:val="0"/>
          <w:color w:val="000000"/>
          <w:spacing w:val="0"/>
          <w:sz w:val="28"/>
          <w:szCs w:val="28"/>
          <w:shd w:val="clear" w:fill="FFFFFF"/>
        </w:rPr>
        <w:t>节约用地、保护生态</w:t>
      </w:r>
      <w:bookmarkEnd w:id="15"/>
      <w:bookmarkEnd w:id="16"/>
      <w:r>
        <w:rPr>
          <w:rFonts w:ascii="微软雅黑" w:hAnsi="微软雅黑" w:eastAsia="微软雅黑" w:cs="微软雅黑"/>
          <w:i w:val="0"/>
          <w:iCs w:val="0"/>
          <w:caps w:val="0"/>
          <w:color w:val="000000"/>
          <w:spacing w:val="0"/>
          <w:sz w:val="28"/>
          <w:szCs w:val="28"/>
          <w:shd w:val="clear" w:fill="FFFFFF"/>
        </w:rPr>
        <w:t xml:space="preserve"> </w:t>
      </w:r>
    </w:p>
    <w:p w14:paraId="408F5429">
      <w:pPr>
        <w:numPr>
          <w:ilvl w:val="0"/>
          <w:numId w:val="0"/>
        </w:numPr>
        <w:ind w:left="0" w:leftChars="0" w:firstLine="0" w:firstLineChars="0"/>
        <w:rPr>
          <w:rFonts w:ascii="微软雅黑" w:hAnsi="微软雅黑" w:eastAsia="微软雅黑" w:cs="微软雅黑"/>
          <w:i w:val="0"/>
          <w:iCs w:val="0"/>
          <w:caps w:val="0"/>
          <w:color w:val="000000"/>
          <w:spacing w:val="0"/>
          <w:sz w:val="28"/>
          <w:szCs w:val="28"/>
          <w:shd w:val="clear" w:fill="FFFFFF"/>
        </w:rPr>
      </w:pPr>
      <w:r>
        <w:rPr>
          <w:rFonts w:hint="eastAsia" w:ascii="微软雅黑" w:hAnsi="微软雅黑" w:eastAsia="微软雅黑" w:cs="微软雅黑"/>
          <w:i w:val="0"/>
          <w:iCs w:val="0"/>
          <w:caps w:val="0"/>
          <w:color w:val="000000"/>
          <w:spacing w:val="0"/>
          <w:sz w:val="28"/>
          <w:szCs w:val="28"/>
          <w:shd w:val="clear" w:fill="FFFFFF"/>
          <w:lang w:eastAsia="zh-CN"/>
        </w:rPr>
        <w:t xml:space="preserve">    </w:t>
      </w:r>
      <w:r>
        <w:rPr>
          <w:rFonts w:ascii="微软雅黑" w:hAnsi="微软雅黑" w:eastAsia="微软雅黑" w:cs="微软雅黑"/>
          <w:i w:val="0"/>
          <w:iCs w:val="0"/>
          <w:caps w:val="0"/>
          <w:color w:val="000000"/>
          <w:spacing w:val="0"/>
          <w:sz w:val="28"/>
          <w:szCs w:val="28"/>
          <w:shd w:val="clear" w:fill="FFFFFF"/>
        </w:rPr>
        <w:t>密切结合我县</w:t>
      </w:r>
      <w:r>
        <w:rPr>
          <w:rFonts w:hint="eastAsia" w:ascii="微软雅黑" w:hAnsi="微软雅黑" w:eastAsia="微软雅黑" w:cs="微软雅黑"/>
          <w:i w:val="0"/>
          <w:iCs w:val="0"/>
          <w:caps w:val="0"/>
          <w:color w:val="000000"/>
          <w:spacing w:val="0"/>
          <w:sz w:val="28"/>
          <w:szCs w:val="28"/>
          <w:shd w:val="clear" w:fill="FFFFFF"/>
          <w:lang w:eastAsia="zh-CN"/>
        </w:rPr>
        <w:t>生态环境建设、</w:t>
      </w:r>
      <w:r>
        <w:rPr>
          <w:rFonts w:ascii="微软雅黑" w:hAnsi="微软雅黑" w:eastAsia="微软雅黑" w:cs="微软雅黑"/>
          <w:i w:val="0"/>
          <w:iCs w:val="0"/>
          <w:caps w:val="0"/>
          <w:color w:val="000000"/>
          <w:spacing w:val="0"/>
          <w:sz w:val="28"/>
          <w:szCs w:val="28"/>
          <w:shd w:val="clear" w:fill="FFFFFF"/>
        </w:rPr>
        <w:t>旅游资源丰富、未来产业发展空间巨大、对土地开发潜在需求规模大的特点，在保证殡葬设施建设</w:t>
      </w:r>
      <w:r>
        <w:rPr>
          <w:rFonts w:hint="eastAsia" w:ascii="微软雅黑" w:hAnsi="微软雅黑" w:eastAsia="微软雅黑" w:cs="微软雅黑"/>
          <w:i w:val="0"/>
          <w:iCs w:val="0"/>
          <w:caps w:val="0"/>
          <w:color w:val="000000"/>
          <w:spacing w:val="0"/>
          <w:sz w:val="28"/>
          <w:szCs w:val="28"/>
          <w:shd w:val="clear" w:fill="FFFFFF"/>
          <w:lang w:eastAsia="zh-CN"/>
        </w:rPr>
        <w:t>，</w:t>
      </w:r>
      <w:r>
        <w:rPr>
          <w:rFonts w:ascii="微软雅黑" w:hAnsi="微软雅黑" w:eastAsia="微软雅黑" w:cs="微软雅黑"/>
          <w:i w:val="0"/>
          <w:iCs w:val="0"/>
          <w:caps w:val="0"/>
          <w:color w:val="000000"/>
          <w:spacing w:val="0"/>
          <w:sz w:val="28"/>
          <w:szCs w:val="28"/>
          <w:shd w:val="clear" w:fill="FFFFFF"/>
        </w:rPr>
        <w:t xml:space="preserve">满足未来发展需要的同时，始终坚持按照节约土地、保护耕地、保护生态环境的基本原则，充分利用荒山荒地或不宜耕种瘠地建设殡葬设施，同时保证设施建设不对生态环境和现有及未来的景区景观产生不利影响。 </w:t>
      </w:r>
    </w:p>
    <w:p w14:paraId="4FCEEA79">
      <w:pPr>
        <w:numPr>
          <w:ilvl w:val="0"/>
          <w:numId w:val="0"/>
        </w:numPr>
        <w:ind w:left="0" w:leftChars="0" w:firstLine="560" w:firstLineChars="200"/>
        <w:outlineLvl w:val="2"/>
        <w:rPr>
          <w:rFonts w:ascii="微软雅黑" w:hAnsi="微软雅黑" w:eastAsia="微软雅黑" w:cs="微软雅黑"/>
          <w:i w:val="0"/>
          <w:iCs w:val="0"/>
          <w:caps w:val="0"/>
          <w:color w:val="000000"/>
          <w:spacing w:val="0"/>
          <w:sz w:val="28"/>
          <w:szCs w:val="28"/>
          <w:shd w:val="clear" w:fill="FFFFFF"/>
        </w:rPr>
      </w:pPr>
      <w:bookmarkStart w:id="17" w:name="_Toc28121"/>
      <w:bookmarkStart w:id="18" w:name="_Toc19563"/>
      <w:r>
        <w:rPr>
          <w:rFonts w:hint="eastAsia" w:ascii="微软雅黑" w:hAnsi="微软雅黑" w:eastAsia="微软雅黑" w:cs="微软雅黑"/>
          <w:i w:val="0"/>
          <w:iCs w:val="0"/>
          <w:caps w:val="0"/>
          <w:color w:val="000000"/>
          <w:spacing w:val="0"/>
          <w:sz w:val="28"/>
          <w:szCs w:val="28"/>
          <w:shd w:val="clear" w:fill="FFFFFF"/>
          <w:lang w:eastAsia="zh-CN"/>
        </w:rPr>
        <w:t>2.4</w:t>
      </w:r>
      <w:r>
        <w:rPr>
          <w:rFonts w:ascii="微软雅黑" w:hAnsi="微软雅黑" w:eastAsia="微软雅黑" w:cs="微软雅黑"/>
          <w:i w:val="0"/>
          <w:iCs w:val="0"/>
          <w:caps w:val="0"/>
          <w:color w:val="000000"/>
          <w:spacing w:val="0"/>
          <w:sz w:val="28"/>
          <w:szCs w:val="28"/>
          <w:shd w:val="clear" w:fill="FFFFFF"/>
        </w:rPr>
        <w:t>规范建设、科学管理</w:t>
      </w:r>
      <w:bookmarkEnd w:id="17"/>
      <w:bookmarkEnd w:id="18"/>
      <w:r>
        <w:rPr>
          <w:rFonts w:ascii="微软雅黑" w:hAnsi="微软雅黑" w:eastAsia="微软雅黑" w:cs="微软雅黑"/>
          <w:i w:val="0"/>
          <w:iCs w:val="0"/>
          <w:caps w:val="0"/>
          <w:color w:val="000000"/>
          <w:spacing w:val="0"/>
          <w:sz w:val="28"/>
          <w:szCs w:val="28"/>
          <w:shd w:val="clear" w:fill="FFFFFF"/>
        </w:rPr>
        <w:t xml:space="preserve"> </w:t>
      </w:r>
    </w:p>
    <w:p w14:paraId="0F7E1357">
      <w:pPr>
        <w:numPr>
          <w:ilvl w:val="0"/>
          <w:numId w:val="0"/>
        </w:numPr>
        <w:ind w:left="0" w:leftChars="0" w:firstLine="0" w:firstLineChars="0"/>
        <w:rPr>
          <w:rFonts w:ascii="微软雅黑" w:hAnsi="微软雅黑" w:eastAsia="微软雅黑" w:cs="微软雅黑"/>
          <w:i w:val="0"/>
          <w:iCs w:val="0"/>
          <w:caps w:val="0"/>
          <w:color w:val="000000"/>
          <w:spacing w:val="0"/>
          <w:sz w:val="28"/>
          <w:szCs w:val="28"/>
          <w:shd w:val="clear" w:fill="FFFFFF"/>
        </w:rPr>
      </w:pPr>
      <w:r>
        <w:rPr>
          <w:rFonts w:hint="eastAsia" w:ascii="微软雅黑" w:hAnsi="微软雅黑" w:eastAsia="微软雅黑" w:cs="微软雅黑"/>
          <w:i w:val="0"/>
          <w:iCs w:val="0"/>
          <w:caps w:val="0"/>
          <w:color w:val="000000"/>
          <w:spacing w:val="0"/>
          <w:sz w:val="28"/>
          <w:szCs w:val="28"/>
          <w:shd w:val="clear" w:fill="FFFFFF"/>
          <w:lang w:eastAsia="zh-CN"/>
        </w:rPr>
        <w:t xml:space="preserve">    </w:t>
      </w:r>
      <w:r>
        <w:rPr>
          <w:rFonts w:ascii="微软雅黑" w:hAnsi="微软雅黑" w:eastAsia="微软雅黑" w:cs="微软雅黑"/>
          <w:i w:val="0"/>
          <w:iCs w:val="0"/>
          <w:caps w:val="0"/>
          <w:color w:val="000000"/>
          <w:spacing w:val="0"/>
          <w:sz w:val="28"/>
          <w:szCs w:val="28"/>
          <w:shd w:val="clear" w:fill="FFFFFF"/>
        </w:rPr>
        <w:t>明确管理责任，谁建设谁管理。保证各类殡葬设施建设严格按照国家</w:t>
      </w:r>
      <w:r>
        <w:rPr>
          <w:rFonts w:hint="eastAsia" w:ascii="微软雅黑" w:hAnsi="微软雅黑" w:eastAsia="微软雅黑" w:cs="微软雅黑"/>
          <w:i w:val="0"/>
          <w:iCs w:val="0"/>
          <w:caps w:val="0"/>
          <w:color w:val="000000"/>
          <w:spacing w:val="0"/>
          <w:sz w:val="28"/>
          <w:szCs w:val="28"/>
          <w:shd w:val="clear" w:fill="FFFFFF"/>
          <w:lang w:eastAsia="zh-CN"/>
        </w:rPr>
        <w:t>、</w:t>
      </w:r>
      <w:r>
        <w:rPr>
          <w:rFonts w:ascii="微软雅黑" w:hAnsi="微软雅黑" w:eastAsia="微软雅黑" w:cs="微软雅黑"/>
          <w:i w:val="0"/>
          <w:iCs w:val="0"/>
          <w:caps w:val="0"/>
          <w:color w:val="000000"/>
          <w:spacing w:val="0"/>
          <w:sz w:val="28"/>
          <w:szCs w:val="28"/>
          <w:shd w:val="clear" w:fill="FFFFFF"/>
        </w:rPr>
        <w:t>省</w:t>
      </w:r>
      <w:r>
        <w:rPr>
          <w:rFonts w:hint="eastAsia" w:ascii="微软雅黑" w:hAnsi="微软雅黑" w:eastAsia="微软雅黑" w:cs="微软雅黑"/>
          <w:i w:val="0"/>
          <w:iCs w:val="0"/>
          <w:caps w:val="0"/>
          <w:color w:val="000000"/>
          <w:spacing w:val="0"/>
          <w:sz w:val="28"/>
          <w:szCs w:val="28"/>
          <w:shd w:val="clear" w:fill="FFFFFF"/>
          <w:lang w:eastAsia="zh-CN"/>
        </w:rPr>
        <w:t>、市</w:t>
      </w:r>
      <w:r>
        <w:rPr>
          <w:rFonts w:ascii="微软雅黑" w:hAnsi="微软雅黑" w:eastAsia="微软雅黑" w:cs="微软雅黑"/>
          <w:i w:val="0"/>
          <w:iCs w:val="0"/>
          <w:caps w:val="0"/>
          <w:color w:val="000000"/>
          <w:spacing w:val="0"/>
          <w:sz w:val="28"/>
          <w:szCs w:val="28"/>
          <w:shd w:val="clear" w:fill="FFFFFF"/>
        </w:rPr>
        <w:t xml:space="preserve">有关政策规定的标准进行，通过规范来避免造成土地资源的滥用和浪费。通过科学管理提升墓区管理和群众殡葬与祭祀活动的管理与服务水平，并借此促进群众殡葬观念的改变。 </w:t>
      </w:r>
    </w:p>
    <w:p w14:paraId="3F271D59">
      <w:pPr>
        <w:numPr>
          <w:ilvl w:val="0"/>
          <w:numId w:val="0"/>
        </w:numPr>
        <w:ind w:left="0" w:leftChars="0" w:firstLine="560" w:firstLineChars="200"/>
        <w:outlineLvl w:val="2"/>
        <w:rPr>
          <w:rFonts w:ascii="微软雅黑" w:hAnsi="微软雅黑" w:eastAsia="微软雅黑" w:cs="微软雅黑"/>
          <w:i w:val="0"/>
          <w:iCs w:val="0"/>
          <w:caps w:val="0"/>
          <w:color w:val="000000"/>
          <w:spacing w:val="0"/>
          <w:sz w:val="28"/>
          <w:szCs w:val="28"/>
          <w:shd w:val="clear" w:fill="FFFFFF"/>
        </w:rPr>
      </w:pPr>
      <w:bookmarkStart w:id="19" w:name="_Toc22352"/>
      <w:bookmarkStart w:id="20" w:name="_Toc20231"/>
      <w:r>
        <w:rPr>
          <w:rFonts w:hint="eastAsia" w:ascii="微软雅黑" w:hAnsi="微软雅黑" w:eastAsia="微软雅黑" w:cs="微软雅黑"/>
          <w:i w:val="0"/>
          <w:iCs w:val="0"/>
          <w:caps w:val="0"/>
          <w:color w:val="000000"/>
          <w:spacing w:val="0"/>
          <w:sz w:val="28"/>
          <w:szCs w:val="28"/>
          <w:shd w:val="clear" w:fill="FFFFFF"/>
          <w:lang w:eastAsia="zh-CN"/>
        </w:rPr>
        <w:t>2.5</w:t>
      </w:r>
      <w:r>
        <w:rPr>
          <w:rFonts w:ascii="微软雅黑" w:hAnsi="微软雅黑" w:eastAsia="微软雅黑" w:cs="微软雅黑"/>
          <w:i w:val="0"/>
          <w:iCs w:val="0"/>
          <w:caps w:val="0"/>
          <w:color w:val="000000"/>
          <w:spacing w:val="0"/>
          <w:sz w:val="28"/>
          <w:szCs w:val="28"/>
          <w:shd w:val="clear" w:fill="FFFFFF"/>
        </w:rPr>
        <w:t>立足现实、照顾民情</w:t>
      </w:r>
      <w:bookmarkEnd w:id="19"/>
      <w:bookmarkEnd w:id="20"/>
      <w:r>
        <w:rPr>
          <w:rFonts w:ascii="微软雅黑" w:hAnsi="微软雅黑" w:eastAsia="微软雅黑" w:cs="微软雅黑"/>
          <w:i w:val="0"/>
          <w:iCs w:val="0"/>
          <w:caps w:val="0"/>
          <w:color w:val="000000"/>
          <w:spacing w:val="0"/>
          <w:sz w:val="28"/>
          <w:szCs w:val="28"/>
          <w:shd w:val="clear" w:fill="FFFFFF"/>
        </w:rPr>
        <w:t xml:space="preserve"> </w:t>
      </w:r>
    </w:p>
    <w:p w14:paraId="382DC7C4">
      <w:pPr>
        <w:numPr>
          <w:ilvl w:val="0"/>
          <w:numId w:val="0"/>
        </w:numPr>
        <w:ind w:left="0" w:leftChars="0" w:firstLine="0" w:firstLineChars="0"/>
        <w:rPr>
          <w:rFonts w:ascii="微软雅黑" w:hAnsi="微软雅黑" w:eastAsia="微软雅黑" w:cs="微软雅黑"/>
          <w:i w:val="0"/>
          <w:iCs w:val="0"/>
          <w:caps w:val="0"/>
          <w:color w:val="000000"/>
          <w:spacing w:val="0"/>
          <w:sz w:val="28"/>
          <w:szCs w:val="28"/>
          <w:shd w:val="clear" w:fill="FFFFFF"/>
        </w:rPr>
      </w:pPr>
      <w:r>
        <w:rPr>
          <w:rFonts w:hint="eastAsia" w:ascii="微软雅黑" w:hAnsi="微软雅黑" w:eastAsia="微软雅黑" w:cs="微软雅黑"/>
          <w:i w:val="0"/>
          <w:iCs w:val="0"/>
          <w:caps w:val="0"/>
          <w:color w:val="000000"/>
          <w:spacing w:val="0"/>
          <w:sz w:val="28"/>
          <w:szCs w:val="28"/>
          <w:shd w:val="clear" w:fill="FFFFFF"/>
          <w:lang w:eastAsia="zh-CN"/>
        </w:rPr>
        <w:t xml:space="preserve">    </w:t>
      </w:r>
      <w:r>
        <w:rPr>
          <w:rFonts w:ascii="微软雅黑" w:hAnsi="微软雅黑" w:eastAsia="微软雅黑" w:cs="微软雅黑"/>
          <w:i w:val="0"/>
          <w:iCs w:val="0"/>
          <w:caps w:val="0"/>
          <w:color w:val="000000"/>
          <w:spacing w:val="0"/>
          <w:sz w:val="28"/>
          <w:szCs w:val="28"/>
          <w:shd w:val="clear" w:fill="FFFFFF"/>
        </w:rPr>
        <w:t xml:space="preserve">充分考虑我县现有的民情和殡葬现状，全面推行节地生态葬法，尊重少数民族和特殊宗教信仰群众的特殊殡葬习俗和要求。 </w:t>
      </w:r>
    </w:p>
    <w:p w14:paraId="60F0408A">
      <w:pPr>
        <w:numPr>
          <w:ilvl w:val="0"/>
          <w:numId w:val="0"/>
        </w:numPr>
        <w:ind w:left="0" w:leftChars="0" w:firstLine="560" w:firstLineChars="200"/>
        <w:outlineLvl w:val="2"/>
        <w:rPr>
          <w:rFonts w:hint="eastAsia" w:ascii="微软雅黑" w:hAnsi="微软雅黑" w:eastAsia="微软雅黑" w:cs="微软雅黑"/>
          <w:i w:val="0"/>
          <w:iCs w:val="0"/>
          <w:caps w:val="0"/>
          <w:color w:val="000000"/>
          <w:spacing w:val="0"/>
          <w:sz w:val="28"/>
          <w:szCs w:val="28"/>
          <w:shd w:val="clear" w:fill="FFFFFF"/>
          <w:lang w:eastAsia="zh-CN"/>
        </w:rPr>
      </w:pPr>
      <w:bookmarkStart w:id="21" w:name="_Toc29141"/>
      <w:r>
        <w:rPr>
          <w:rFonts w:hint="eastAsia" w:ascii="微软雅黑" w:hAnsi="微软雅黑" w:eastAsia="微软雅黑" w:cs="微软雅黑"/>
          <w:i w:val="0"/>
          <w:iCs w:val="0"/>
          <w:caps w:val="0"/>
          <w:color w:val="000000"/>
          <w:spacing w:val="0"/>
          <w:sz w:val="28"/>
          <w:szCs w:val="28"/>
          <w:shd w:val="clear" w:fill="FFFFFF"/>
          <w:lang w:eastAsia="zh-CN"/>
        </w:rPr>
        <w:t>2.6公益惠民、提升服务</w:t>
      </w:r>
      <w:bookmarkEnd w:id="21"/>
    </w:p>
    <w:p w14:paraId="4C1995F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000000"/>
          <w:spacing w:val="0"/>
          <w:sz w:val="28"/>
          <w:szCs w:val="28"/>
          <w:shd w:val="clear" w:fill="FFFFFF"/>
        </w:rPr>
      </w:pPr>
      <w:r>
        <w:rPr>
          <w:rFonts w:hint="eastAsia" w:ascii="微软雅黑" w:hAnsi="微软雅黑" w:eastAsia="微软雅黑" w:cs="微软雅黑"/>
          <w:i w:val="0"/>
          <w:iCs w:val="0"/>
          <w:caps w:val="0"/>
          <w:color w:val="000000"/>
          <w:spacing w:val="0"/>
          <w:sz w:val="28"/>
          <w:szCs w:val="28"/>
          <w:shd w:val="clear" w:fill="FFFFFF"/>
        </w:rPr>
        <w:t>殡葬管理坚持公益惠民、文明节俭、绿色生态、移风易俗，完善殡葬公共服务，减轻群众负担，树立殡葬新风尚。</w:t>
      </w:r>
    </w:p>
    <w:p w14:paraId="542D15A7">
      <w:pPr>
        <w:numPr>
          <w:ilvl w:val="0"/>
          <w:numId w:val="0"/>
        </w:numPr>
        <w:ind w:left="0" w:leftChars="0" w:firstLine="0" w:firstLineChars="0"/>
        <w:outlineLvl w:val="0"/>
        <w:rPr>
          <w:rFonts w:hint="eastAsia" w:ascii="微软雅黑" w:hAnsi="微软雅黑" w:eastAsia="微软雅黑" w:cs="微软雅黑"/>
          <w:b/>
          <w:bCs/>
          <w:i w:val="0"/>
          <w:iCs w:val="0"/>
          <w:caps w:val="0"/>
          <w:color w:val="000000"/>
          <w:spacing w:val="0"/>
          <w:sz w:val="28"/>
          <w:szCs w:val="28"/>
          <w:shd w:val="clear" w:fill="FFFFFF"/>
          <w:lang w:eastAsia="zh-CN"/>
        </w:rPr>
      </w:pPr>
      <w:bookmarkStart w:id="22" w:name="_Toc23160"/>
      <w:r>
        <w:rPr>
          <w:rFonts w:hint="eastAsia" w:ascii="微软雅黑" w:hAnsi="微软雅黑" w:eastAsia="微软雅黑" w:cs="微软雅黑"/>
          <w:b/>
          <w:bCs/>
          <w:i w:val="0"/>
          <w:iCs w:val="0"/>
          <w:caps w:val="0"/>
          <w:color w:val="000000"/>
          <w:spacing w:val="0"/>
          <w:sz w:val="28"/>
          <w:szCs w:val="28"/>
          <w:shd w:val="clear" w:fill="FFFFFF"/>
          <w:lang w:eastAsia="zh-CN"/>
        </w:rPr>
        <w:t>三、规划对象</w:t>
      </w:r>
      <w:bookmarkEnd w:id="22"/>
    </w:p>
    <w:p w14:paraId="58679F5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本规划的</w:t>
      </w:r>
      <w:r>
        <w:rPr>
          <w:rFonts w:hint="eastAsia" w:ascii="微软雅黑" w:hAnsi="微软雅黑" w:eastAsia="微软雅黑" w:cs="微软雅黑"/>
          <w:i w:val="0"/>
          <w:iCs w:val="0"/>
          <w:caps w:val="0"/>
          <w:color w:val="000000"/>
          <w:spacing w:val="0"/>
          <w:sz w:val="28"/>
          <w:szCs w:val="28"/>
          <w:shd w:val="clear" w:fill="FFFFFF"/>
        </w:rPr>
        <w:t>殡葬设施是满足群众殡葬服务需求所必需的设施，包括</w:t>
      </w:r>
      <w:r>
        <w:rPr>
          <w:rFonts w:hint="eastAsia" w:ascii="微软雅黑" w:hAnsi="微软雅黑" w:eastAsia="微软雅黑" w:cs="微软雅黑"/>
          <w:i w:val="0"/>
          <w:iCs w:val="0"/>
          <w:caps w:val="0"/>
          <w:color w:val="000000"/>
          <w:spacing w:val="0"/>
          <w:sz w:val="28"/>
          <w:szCs w:val="28"/>
          <w:shd w:val="clear" w:fill="FFFFFF"/>
          <w:lang w:eastAsia="zh-CN"/>
        </w:rPr>
        <w:t>殡仪服务设施：县</w:t>
      </w:r>
      <w:r>
        <w:rPr>
          <w:rFonts w:hint="eastAsia" w:ascii="微软雅黑" w:hAnsi="微软雅黑" w:eastAsia="微软雅黑" w:cs="微软雅黑"/>
          <w:i w:val="0"/>
          <w:iCs w:val="0"/>
          <w:caps w:val="0"/>
          <w:color w:val="000000"/>
          <w:spacing w:val="0"/>
          <w:sz w:val="28"/>
          <w:szCs w:val="28"/>
          <w:shd w:val="clear" w:fill="FFFFFF"/>
        </w:rPr>
        <w:t>殡仪</w:t>
      </w:r>
      <w:r>
        <w:rPr>
          <w:rFonts w:hint="eastAsia" w:ascii="微软雅黑" w:hAnsi="微软雅黑" w:eastAsia="微软雅黑" w:cs="微软雅黑"/>
          <w:i w:val="0"/>
          <w:iCs w:val="0"/>
          <w:caps w:val="0"/>
          <w:color w:val="000000"/>
          <w:spacing w:val="0"/>
          <w:sz w:val="28"/>
          <w:szCs w:val="28"/>
          <w:shd w:val="clear" w:fill="FFFFFF"/>
          <w:lang w:eastAsia="zh-CN"/>
        </w:rPr>
        <w:t>服务中心</w:t>
      </w:r>
      <w:r>
        <w:rPr>
          <w:rFonts w:hint="eastAsia" w:ascii="微软雅黑" w:hAnsi="微软雅黑" w:eastAsia="微软雅黑" w:cs="微软雅黑"/>
          <w:i w:val="0"/>
          <w:iCs w:val="0"/>
          <w:caps w:val="0"/>
          <w:color w:val="000000"/>
          <w:spacing w:val="0"/>
          <w:sz w:val="28"/>
          <w:szCs w:val="28"/>
          <w:shd w:val="clear" w:fill="FFFFFF"/>
        </w:rPr>
        <w:t>、</w:t>
      </w:r>
      <w:r>
        <w:rPr>
          <w:rFonts w:hint="eastAsia" w:ascii="微软雅黑" w:hAnsi="微软雅黑" w:eastAsia="微软雅黑" w:cs="微软雅黑"/>
          <w:i w:val="0"/>
          <w:iCs w:val="0"/>
          <w:caps w:val="0"/>
          <w:color w:val="000000"/>
          <w:spacing w:val="0"/>
          <w:sz w:val="28"/>
          <w:szCs w:val="28"/>
          <w:shd w:val="clear" w:fill="FFFFFF"/>
          <w:lang w:eastAsia="zh-CN"/>
        </w:rPr>
        <w:t>殡葬智慧服务管理信息中心、乡镇</w:t>
      </w:r>
      <w:r>
        <w:rPr>
          <w:rFonts w:hint="eastAsia" w:ascii="微软雅黑" w:hAnsi="微软雅黑" w:eastAsia="微软雅黑" w:cs="微软雅黑"/>
          <w:i w:val="0"/>
          <w:iCs w:val="0"/>
          <w:caps w:val="0"/>
          <w:color w:val="000000"/>
          <w:spacing w:val="0"/>
          <w:sz w:val="28"/>
          <w:szCs w:val="28"/>
          <w:shd w:val="clear" w:fill="FFFFFF"/>
        </w:rPr>
        <w:t>殡仪</w:t>
      </w:r>
      <w:r>
        <w:rPr>
          <w:rFonts w:hint="eastAsia" w:ascii="微软雅黑" w:hAnsi="微软雅黑" w:eastAsia="微软雅黑" w:cs="微软雅黑"/>
          <w:i w:val="0"/>
          <w:iCs w:val="0"/>
          <w:caps w:val="0"/>
          <w:color w:val="000000"/>
          <w:spacing w:val="0"/>
          <w:sz w:val="28"/>
          <w:szCs w:val="28"/>
          <w:shd w:val="clear" w:fill="FFFFFF"/>
          <w:lang w:eastAsia="zh-CN"/>
        </w:rPr>
        <w:t>服务站、村（社）集中办丧场所；安葬服务设施：公益性公墓、骨灰安放设施、生命公园等。</w:t>
      </w:r>
    </w:p>
    <w:p w14:paraId="79683E1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rightChars="0" w:firstLine="420" w:firstLineChars="0"/>
        <w:jc w:val="both"/>
        <w:outlineLvl w:val="1"/>
        <w:rPr>
          <w:rFonts w:hint="eastAsia" w:ascii="微软雅黑" w:hAnsi="微软雅黑" w:eastAsia="微软雅黑" w:cs="微软雅黑"/>
          <w:i w:val="0"/>
          <w:iCs w:val="0"/>
          <w:caps w:val="0"/>
          <w:color w:val="000000"/>
          <w:spacing w:val="0"/>
          <w:sz w:val="28"/>
          <w:szCs w:val="28"/>
          <w:shd w:val="clear" w:fill="FFFFFF"/>
          <w:lang w:eastAsia="zh-CN"/>
        </w:rPr>
      </w:pPr>
      <w:bookmarkStart w:id="23" w:name="_Toc300"/>
      <w:r>
        <w:rPr>
          <w:rFonts w:hint="eastAsia" w:ascii="微软雅黑" w:hAnsi="微软雅黑" w:eastAsia="微软雅黑" w:cs="微软雅黑"/>
          <w:i w:val="0"/>
          <w:iCs w:val="0"/>
          <w:caps w:val="0"/>
          <w:color w:val="000000"/>
          <w:spacing w:val="0"/>
          <w:sz w:val="28"/>
          <w:szCs w:val="28"/>
          <w:shd w:val="clear" w:fill="FFFFFF"/>
          <w:lang w:eastAsia="zh-CN"/>
        </w:rPr>
        <w:t>1.殡仪服务中心</w:t>
      </w:r>
      <w:bookmarkEnd w:id="23"/>
    </w:p>
    <w:p w14:paraId="682EEED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殡仪服务中心是指提供遗体处置、火化、悼念、守灵以及骨灰安置等殡仪服务活动的综合性场所。</w:t>
      </w:r>
    </w:p>
    <w:p w14:paraId="749CAEE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rightChars="0" w:firstLine="420" w:firstLineChars="0"/>
        <w:jc w:val="both"/>
        <w:outlineLvl w:val="1"/>
        <w:rPr>
          <w:rFonts w:hint="eastAsia" w:ascii="微软雅黑" w:hAnsi="微软雅黑" w:eastAsia="微软雅黑" w:cs="微软雅黑"/>
          <w:i w:val="0"/>
          <w:iCs w:val="0"/>
          <w:caps w:val="0"/>
          <w:color w:val="000000"/>
          <w:spacing w:val="0"/>
          <w:sz w:val="28"/>
          <w:szCs w:val="28"/>
          <w:shd w:val="clear" w:fill="FFFFFF"/>
          <w:lang w:eastAsia="zh-CN"/>
        </w:rPr>
      </w:pPr>
      <w:bookmarkStart w:id="24" w:name="_Toc4005"/>
      <w:r>
        <w:rPr>
          <w:rFonts w:hint="eastAsia" w:ascii="微软雅黑" w:hAnsi="微软雅黑" w:eastAsia="微软雅黑" w:cs="微软雅黑"/>
          <w:i w:val="0"/>
          <w:iCs w:val="0"/>
          <w:caps w:val="0"/>
          <w:color w:val="000000"/>
          <w:spacing w:val="0"/>
          <w:sz w:val="28"/>
          <w:szCs w:val="28"/>
          <w:shd w:val="clear" w:fill="FFFFFF"/>
          <w:lang w:eastAsia="zh-CN"/>
        </w:rPr>
        <w:t>2.殡葬智慧服务管理信息中心</w:t>
      </w:r>
      <w:bookmarkEnd w:id="24"/>
    </w:p>
    <w:p w14:paraId="17E73B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民政部门会同公安、卫生健康等有关部门建立健全信息共享平台。并将殡葬设施信息、殡葬服务主体和相关从业人员纳入系统管理，提供便民殡葬服务。</w:t>
      </w:r>
    </w:p>
    <w:p w14:paraId="2181CE2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rightChars="0" w:firstLine="420" w:firstLineChars="0"/>
        <w:jc w:val="both"/>
        <w:outlineLvl w:val="1"/>
        <w:rPr>
          <w:rFonts w:hint="eastAsia" w:ascii="微软雅黑" w:hAnsi="微软雅黑" w:eastAsia="微软雅黑" w:cs="微软雅黑"/>
          <w:i w:val="0"/>
          <w:iCs w:val="0"/>
          <w:caps w:val="0"/>
          <w:color w:val="000000"/>
          <w:spacing w:val="0"/>
          <w:sz w:val="28"/>
          <w:szCs w:val="28"/>
          <w:shd w:val="clear" w:fill="FFFFFF"/>
          <w:lang w:eastAsia="zh-CN"/>
        </w:rPr>
      </w:pPr>
      <w:bookmarkStart w:id="25" w:name="_Toc12075"/>
      <w:r>
        <w:rPr>
          <w:rFonts w:hint="eastAsia" w:ascii="微软雅黑" w:hAnsi="微软雅黑" w:eastAsia="微软雅黑" w:cs="微软雅黑"/>
          <w:i w:val="0"/>
          <w:iCs w:val="0"/>
          <w:caps w:val="0"/>
          <w:color w:val="000000"/>
          <w:spacing w:val="0"/>
          <w:sz w:val="28"/>
          <w:szCs w:val="28"/>
          <w:shd w:val="clear" w:fill="FFFFFF"/>
          <w:lang w:eastAsia="zh-CN"/>
        </w:rPr>
        <w:t>3.殡仪服务站</w:t>
      </w:r>
      <w:bookmarkEnd w:id="25"/>
    </w:p>
    <w:p w14:paraId="25C1668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殡仪服务站是指具有一项或多项的殡葬服务功能的殡葬服务机构。</w:t>
      </w:r>
    </w:p>
    <w:p w14:paraId="320B02A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rightChars="0" w:firstLine="420" w:firstLineChars="0"/>
        <w:jc w:val="both"/>
        <w:outlineLvl w:val="1"/>
        <w:rPr>
          <w:rFonts w:hint="eastAsia" w:ascii="微软雅黑" w:hAnsi="微软雅黑" w:eastAsia="微软雅黑" w:cs="微软雅黑"/>
          <w:i w:val="0"/>
          <w:iCs w:val="0"/>
          <w:caps w:val="0"/>
          <w:color w:val="000000"/>
          <w:spacing w:val="0"/>
          <w:sz w:val="28"/>
          <w:szCs w:val="28"/>
          <w:shd w:val="clear" w:fill="FFFFFF"/>
          <w:lang w:eastAsia="zh-CN"/>
        </w:rPr>
      </w:pPr>
      <w:bookmarkStart w:id="26" w:name="_Toc14262"/>
      <w:r>
        <w:rPr>
          <w:rFonts w:hint="eastAsia" w:ascii="微软雅黑" w:hAnsi="微软雅黑" w:eastAsia="微软雅黑" w:cs="微软雅黑"/>
          <w:i w:val="0"/>
          <w:iCs w:val="0"/>
          <w:caps w:val="0"/>
          <w:color w:val="000000"/>
          <w:spacing w:val="0"/>
          <w:sz w:val="28"/>
          <w:szCs w:val="28"/>
          <w:shd w:val="clear" w:fill="FFFFFF"/>
          <w:lang w:eastAsia="zh-CN"/>
        </w:rPr>
        <w:t>4.村（社）集中办丧场所</w:t>
      </w:r>
      <w:bookmarkEnd w:id="26"/>
    </w:p>
    <w:p w14:paraId="152965B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村（社）集中办丧场所，在行政村和社区，设置</w:t>
      </w:r>
      <w:r>
        <w:rPr>
          <w:rFonts w:hint="eastAsia" w:ascii="微软雅黑" w:hAnsi="微软雅黑" w:eastAsia="微软雅黑" w:cs="微软雅黑"/>
          <w:i w:val="0"/>
          <w:iCs w:val="0"/>
          <w:caps w:val="0"/>
          <w:color w:val="000000"/>
          <w:spacing w:val="0"/>
          <w:sz w:val="28"/>
          <w:szCs w:val="28"/>
          <w:shd w:val="clear" w:fill="FFFFFF"/>
        </w:rPr>
        <w:t>办理告别等丧事活动</w:t>
      </w:r>
      <w:r>
        <w:rPr>
          <w:rFonts w:hint="eastAsia" w:ascii="微软雅黑" w:hAnsi="微软雅黑" w:eastAsia="微软雅黑" w:cs="微软雅黑"/>
          <w:i w:val="0"/>
          <w:iCs w:val="0"/>
          <w:caps w:val="0"/>
          <w:color w:val="000000"/>
          <w:spacing w:val="0"/>
          <w:sz w:val="28"/>
          <w:szCs w:val="28"/>
          <w:shd w:val="clear" w:fill="FFFFFF"/>
          <w:lang w:eastAsia="zh-CN"/>
        </w:rPr>
        <w:t>的集中场所。</w:t>
      </w:r>
    </w:p>
    <w:p w14:paraId="27B43E9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rightChars="0" w:firstLine="0" w:firstLineChars="0"/>
        <w:jc w:val="both"/>
        <w:outlineLvl w:val="1"/>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 xml:space="preserve">    </w:t>
      </w:r>
      <w:bookmarkStart w:id="27" w:name="_Toc20719"/>
      <w:r>
        <w:rPr>
          <w:rFonts w:hint="eastAsia" w:ascii="微软雅黑" w:hAnsi="微软雅黑" w:eastAsia="微软雅黑" w:cs="微软雅黑"/>
          <w:i w:val="0"/>
          <w:iCs w:val="0"/>
          <w:caps w:val="0"/>
          <w:color w:val="000000"/>
          <w:spacing w:val="0"/>
          <w:sz w:val="28"/>
          <w:szCs w:val="28"/>
          <w:shd w:val="clear" w:fill="FFFFFF"/>
          <w:lang w:eastAsia="zh-CN"/>
        </w:rPr>
        <w:t>5.公益性公墓</w:t>
      </w:r>
      <w:bookmarkEnd w:id="27"/>
    </w:p>
    <w:p w14:paraId="36806F7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firstLine="0" w:firstLineChars="0"/>
        <w:jc w:val="both"/>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 xml:space="preserve">    公益性公墓是指为农村农民提供骨灰安葬服务的设施，也为新市镇和涉农街道的城镇居民提供公益性骨灰安置服务。</w:t>
      </w:r>
    </w:p>
    <w:p w14:paraId="79F6877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rightChars="0" w:firstLine="420" w:firstLineChars="0"/>
        <w:jc w:val="both"/>
        <w:outlineLvl w:val="1"/>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 xml:space="preserve"> </w:t>
      </w:r>
      <w:bookmarkStart w:id="28" w:name="_Toc29731"/>
      <w:r>
        <w:rPr>
          <w:rFonts w:hint="eastAsia" w:ascii="微软雅黑" w:hAnsi="微软雅黑" w:eastAsia="微软雅黑" w:cs="微软雅黑"/>
          <w:i w:val="0"/>
          <w:iCs w:val="0"/>
          <w:caps w:val="0"/>
          <w:color w:val="000000"/>
          <w:spacing w:val="0"/>
          <w:sz w:val="28"/>
          <w:szCs w:val="28"/>
          <w:shd w:val="clear" w:fill="FFFFFF"/>
          <w:lang w:eastAsia="zh-CN"/>
        </w:rPr>
        <w:t>6.骨灰安放设施</w:t>
      </w:r>
      <w:bookmarkEnd w:id="28"/>
    </w:p>
    <w:p w14:paraId="3E64762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 xml:space="preserve"> 骨灰安放设施是指为城乡居民提供骨灰安置服务的设施。</w:t>
      </w:r>
    </w:p>
    <w:p w14:paraId="03B03DCF">
      <w:pPr>
        <w:numPr>
          <w:ilvl w:val="0"/>
          <w:numId w:val="1"/>
        </w:numPr>
        <w:ind w:left="0" w:leftChars="0" w:firstLine="560" w:firstLineChars="200"/>
        <w:outlineLvl w:val="1"/>
        <w:rPr>
          <w:rFonts w:hint="eastAsia" w:ascii="微软雅黑" w:hAnsi="微软雅黑" w:eastAsia="微软雅黑" w:cs="微软雅黑"/>
          <w:i w:val="0"/>
          <w:iCs w:val="0"/>
          <w:caps w:val="0"/>
          <w:color w:val="000000"/>
          <w:spacing w:val="0"/>
          <w:sz w:val="28"/>
          <w:szCs w:val="28"/>
          <w:shd w:val="clear" w:fill="FFFFFF"/>
          <w:lang w:eastAsia="zh-CN"/>
        </w:rPr>
      </w:pPr>
      <w:bookmarkStart w:id="29" w:name="_Toc26523"/>
      <w:r>
        <w:rPr>
          <w:rFonts w:hint="eastAsia" w:ascii="微软雅黑" w:hAnsi="微软雅黑" w:eastAsia="微软雅黑" w:cs="微软雅黑"/>
          <w:i w:val="0"/>
          <w:iCs w:val="0"/>
          <w:caps w:val="0"/>
          <w:color w:val="000000"/>
          <w:spacing w:val="0"/>
          <w:sz w:val="28"/>
          <w:szCs w:val="28"/>
          <w:shd w:val="clear" w:fill="FFFFFF"/>
          <w:lang w:eastAsia="zh-CN"/>
        </w:rPr>
        <w:t>生命公园</w:t>
      </w:r>
      <w:bookmarkEnd w:id="29"/>
    </w:p>
    <w:p w14:paraId="33141C9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560" w:firstLineChars="200"/>
        <w:jc w:val="both"/>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在林地、草地或者其他适当场所划定一定区域，实施生态安葬，</w:t>
      </w:r>
      <w:r>
        <w:rPr>
          <w:rFonts w:hint="eastAsia" w:ascii="微软雅黑" w:hAnsi="微软雅黑" w:eastAsia="微软雅黑" w:cs="微软雅黑"/>
          <w:i w:val="0"/>
          <w:iCs w:val="0"/>
          <w:caps w:val="0"/>
          <w:color w:val="000000"/>
          <w:spacing w:val="0"/>
          <w:sz w:val="28"/>
          <w:szCs w:val="28"/>
          <w:shd w:val="clear" w:fill="FFFFFF"/>
        </w:rPr>
        <w:t>鼓励和引导骨灰树葬、花葬、草坪葬等生态安葬</w:t>
      </w:r>
      <w:r>
        <w:rPr>
          <w:rFonts w:hint="eastAsia" w:ascii="微软雅黑" w:hAnsi="微软雅黑" w:eastAsia="微软雅黑" w:cs="微软雅黑"/>
          <w:i w:val="0"/>
          <w:iCs w:val="0"/>
          <w:caps w:val="0"/>
          <w:color w:val="000000"/>
          <w:spacing w:val="0"/>
          <w:sz w:val="28"/>
          <w:szCs w:val="28"/>
          <w:shd w:val="clear" w:fill="FFFFFF"/>
          <w:lang w:eastAsia="zh-CN"/>
        </w:rPr>
        <w:t>。</w:t>
      </w:r>
    </w:p>
    <w:p w14:paraId="3C3E0105">
      <w:pPr>
        <w:numPr>
          <w:ilvl w:val="0"/>
          <w:numId w:val="0"/>
        </w:numPr>
        <w:ind w:left="0" w:leftChars="0" w:firstLine="0" w:firstLineChars="0"/>
        <w:outlineLvl w:val="0"/>
        <w:rPr>
          <w:rFonts w:hint="eastAsia" w:ascii="微软雅黑" w:hAnsi="微软雅黑" w:eastAsia="微软雅黑" w:cs="微软雅黑"/>
          <w:b/>
          <w:bCs/>
          <w:i w:val="0"/>
          <w:iCs w:val="0"/>
          <w:caps w:val="0"/>
          <w:color w:val="000000"/>
          <w:spacing w:val="0"/>
          <w:sz w:val="28"/>
          <w:szCs w:val="28"/>
          <w:shd w:val="clear" w:fill="FFFFFF"/>
          <w:lang w:eastAsia="zh-CN"/>
        </w:rPr>
      </w:pPr>
      <w:bookmarkStart w:id="30" w:name="_Toc14566"/>
      <w:r>
        <w:rPr>
          <w:rFonts w:hint="eastAsia" w:ascii="微软雅黑" w:hAnsi="微软雅黑" w:eastAsia="微软雅黑" w:cs="微软雅黑"/>
          <w:b/>
          <w:bCs/>
          <w:i w:val="0"/>
          <w:iCs w:val="0"/>
          <w:caps w:val="0"/>
          <w:color w:val="000000"/>
          <w:spacing w:val="0"/>
          <w:sz w:val="28"/>
          <w:szCs w:val="28"/>
          <w:shd w:val="clear" w:fill="FFFFFF"/>
          <w:lang w:eastAsia="zh-CN"/>
        </w:rPr>
        <w:t>四、发展战略和分期目标</w:t>
      </w:r>
      <w:bookmarkEnd w:id="30"/>
    </w:p>
    <w:p w14:paraId="3525A186">
      <w:pPr>
        <w:numPr>
          <w:ilvl w:val="0"/>
          <w:numId w:val="0"/>
        </w:numPr>
        <w:ind w:firstLine="560" w:firstLineChars="200"/>
        <w:outlineLvl w:val="1"/>
        <w:rPr>
          <w:rFonts w:hint="eastAsia" w:ascii="微软雅黑" w:hAnsi="微软雅黑" w:eastAsia="微软雅黑" w:cs="微软雅黑"/>
          <w:i w:val="0"/>
          <w:iCs w:val="0"/>
          <w:caps w:val="0"/>
          <w:color w:val="000000"/>
          <w:spacing w:val="0"/>
          <w:sz w:val="28"/>
          <w:szCs w:val="28"/>
          <w:shd w:val="clear" w:fill="FFFFFF"/>
          <w:lang w:eastAsia="zh-CN"/>
        </w:rPr>
      </w:pPr>
      <w:bookmarkStart w:id="31" w:name="_Toc14837"/>
      <w:bookmarkStart w:id="32" w:name="_Toc25944"/>
      <w:bookmarkStart w:id="33" w:name="_Toc14618"/>
      <w:r>
        <w:rPr>
          <w:rFonts w:hint="eastAsia" w:ascii="微软雅黑" w:hAnsi="微软雅黑" w:eastAsia="微软雅黑" w:cs="微软雅黑"/>
          <w:i w:val="0"/>
          <w:iCs w:val="0"/>
          <w:caps w:val="0"/>
          <w:color w:val="000000"/>
          <w:spacing w:val="0"/>
          <w:sz w:val="28"/>
          <w:szCs w:val="28"/>
          <w:shd w:val="clear" w:fill="FFFFFF"/>
          <w:lang w:eastAsia="zh-CN"/>
        </w:rPr>
        <w:t>1.</w:t>
      </w:r>
      <w:bookmarkEnd w:id="31"/>
      <w:bookmarkEnd w:id="32"/>
      <w:r>
        <w:rPr>
          <w:rFonts w:hint="eastAsia" w:ascii="微软雅黑" w:hAnsi="微软雅黑" w:eastAsia="微软雅黑" w:cs="微软雅黑"/>
          <w:i w:val="0"/>
          <w:iCs w:val="0"/>
          <w:caps w:val="0"/>
          <w:color w:val="000000"/>
          <w:spacing w:val="0"/>
          <w:sz w:val="28"/>
          <w:szCs w:val="28"/>
          <w:shd w:val="clear" w:fill="FFFFFF"/>
          <w:lang w:eastAsia="zh-CN"/>
        </w:rPr>
        <w:t>发展战略</w:t>
      </w:r>
      <w:bookmarkEnd w:id="33"/>
      <w:r>
        <w:rPr>
          <w:rFonts w:hint="eastAsia" w:ascii="微软雅黑" w:hAnsi="微软雅黑" w:eastAsia="微软雅黑" w:cs="微软雅黑"/>
          <w:i w:val="0"/>
          <w:iCs w:val="0"/>
          <w:caps w:val="0"/>
          <w:color w:val="000000"/>
          <w:spacing w:val="0"/>
          <w:sz w:val="28"/>
          <w:szCs w:val="28"/>
          <w:shd w:val="clear" w:fill="FFFFFF"/>
          <w:lang w:eastAsia="zh-CN"/>
        </w:rPr>
        <w:t xml:space="preserve"> </w:t>
      </w:r>
    </w:p>
    <w:p w14:paraId="41B4F2D1">
      <w:pPr>
        <w:numPr>
          <w:ilvl w:val="0"/>
          <w:numId w:val="0"/>
        </w:numPr>
        <w:ind w:left="0" w:leftChars="0" w:firstLine="560" w:firstLineChars="200"/>
        <w:outlineLvl w:val="9"/>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 xml:space="preserve">坚持以人民为中心的发展思想，以新时代民政事业高质量发展为指导，以推行惠民、绿色殡葬为目的，合理有序推进殡葬设施建设，保障人民群众“逝有所安”的基本殡葬需求；构建“一心两体系”殡葬设施功能格局；将殡葬改革与移风易俗相结合，弘扬优秀传统殡葬文化，培育文明乡风、良好家风，为促进精神文明和生态文明建设作出贡献。 </w:t>
      </w:r>
    </w:p>
    <w:p w14:paraId="054172E7">
      <w:pPr>
        <w:numPr>
          <w:ilvl w:val="0"/>
          <w:numId w:val="0"/>
        </w:numPr>
        <w:ind w:firstLine="560" w:firstLineChars="200"/>
        <w:outlineLvl w:val="1"/>
        <w:rPr>
          <w:rFonts w:hint="eastAsia" w:ascii="微软雅黑" w:hAnsi="微软雅黑" w:eastAsia="微软雅黑" w:cs="微软雅黑"/>
          <w:i w:val="0"/>
          <w:iCs w:val="0"/>
          <w:caps w:val="0"/>
          <w:color w:val="000000"/>
          <w:spacing w:val="0"/>
          <w:sz w:val="28"/>
          <w:szCs w:val="28"/>
          <w:shd w:val="clear" w:fill="FFFFFF"/>
          <w:lang w:eastAsia="zh-CN"/>
        </w:rPr>
      </w:pPr>
      <w:bookmarkStart w:id="34" w:name="_Toc27122"/>
      <w:bookmarkStart w:id="35" w:name="_Toc4230"/>
      <w:bookmarkStart w:id="36" w:name="_Toc14004"/>
      <w:r>
        <w:rPr>
          <w:rFonts w:hint="eastAsia" w:ascii="微软雅黑" w:hAnsi="微软雅黑" w:eastAsia="微软雅黑" w:cs="微软雅黑"/>
          <w:i w:val="0"/>
          <w:iCs w:val="0"/>
          <w:caps w:val="0"/>
          <w:color w:val="000000"/>
          <w:spacing w:val="0"/>
          <w:sz w:val="28"/>
          <w:szCs w:val="28"/>
          <w:shd w:val="clear" w:fill="FFFFFF"/>
          <w:lang w:eastAsia="zh-CN"/>
        </w:rPr>
        <w:t>2.近期目标（2025-20</w:t>
      </w:r>
      <w:bookmarkEnd w:id="34"/>
      <w:r>
        <w:rPr>
          <w:rFonts w:hint="eastAsia" w:ascii="微软雅黑" w:hAnsi="微软雅黑" w:eastAsia="微软雅黑" w:cs="微软雅黑"/>
          <w:i w:val="0"/>
          <w:iCs w:val="0"/>
          <w:caps w:val="0"/>
          <w:color w:val="000000"/>
          <w:spacing w:val="0"/>
          <w:sz w:val="28"/>
          <w:szCs w:val="28"/>
          <w:shd w:val="clear" w:fill="FFFFFF"/>
          <w:lang w:eastAsia="zh-CN"/>
        </w:rPr>
        <w:t>30）</w:t>
      </w:r>
      <w:bookmarkEnd w:id="35"/>
      <w:bookmarkEnd w:id="36"/>
    </w:p>
    <w:p w14:paraId="66E87A2A">
      <w:pPr>
        <w:numPr>
          <w:ilvl w:val="0"/>
          <w:numId w:val="0"/>
        </w:numPr>
        <w:ind w:left="0" w:leftChars="0" w:firstLine="560" w:firstLineChars="200"/>
        <w:outlineLvl w:val="9"/>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重点优化中心城区，319国道、高速公路、高铁沿线，汀江源国家级自然保护区与汀江国家湿地公园等重点区域内殡葬设施的布局；将公益性殡葬设施建设纳入长汀县国土空间总体规划。以张坊岽生命公园，长汀县</w:t>
      </w:r>
      <w:r>
        <w:rPr>
          <w:rFonts w:hint="eastAsia" w:ascii="微软雅黑" w:hAnsi="微软雅黑" w:eastAsia="微软雅黑" w:cs="微软雅黑"/>
          <w:i w:val="0"/>
          <w:iCs w:val="0"/>
          <w:caps w:val="0"/>
          <w:color w:val="000000"/>
          <w:spacing w:val="0"/>
          <w:sz w:val="28"/>
          <w:szCs w:val="28"/>
          <w:shd w:val="clear" w:fill="FFFFFF"/>
          <w:lang w:val="en-US" w:eastAsia="zh-CN"/>
        </w:rPr>
        <w:t>殡葬服务中心</w:t>
      </w:r>
      <w:r>
        <w:rPr>
          <w:rFonts w:hint="eastAsia" w:ascii="微软雅黑" w:hAnsi="微软雅黑" w:eastAsia="微软雅黑" w:cs="微软雅黑"/>
          <w:i w:val="0"/>
          <w:iCs w:val="0"/>
          <w:caps w:val="0"/>
          <w:color w:val="000000"/>
          <w:spacing w:val="0"/>
          <w:sz w:val="28"/>
          <w:szCs w:val="28"/>
          <w:shd w:val="clear" w:fill="FFFFFF"/>
          <w:lang w:eastAsia="zh-CN"/>
        </w:rPr>
        <w:t>改扩建为抓手，引领重点区域内公益</w:t>
      </w:r>
      <w:r>
        <w:rPr>
          <w:rFonts w:hint="eastAsia" w:ascii="微软雅黑" w:hAnsi="微软雅黑" w:eastAsia="微软雅黑" w:cs="微软雅黑"/>
          <w:i w:val="0"/>
          <w:iCs w:val="0"/>
          <w:caps w:val="0"/>
          <w:color w:val="000000"/>
          <w:spacing w:val="0"/>
          <w:sz w:val="28"/>
          <w:szCs w:val="28"/>
          <w:shd w:val="clear" w:fill="FFFFFF"/>
          <w:lang w:val="en-US" w:eastAsia="zh-CN"/>
        </w:rPr>
        <w:t>性</w:t>
      </w:r>
      <w:r>
        <w:rPr>
          <w:rFonts w:hint="eastAsia" w:ascii="微软雅黑" w:hAnsi="微软雅黑" w:eastAsia="微软雅黑" w:cs="微软雅黑"/>
          <w:i w:val="0"/>
          <w:iCs w:val="0"/>
          <w:caps w:val="0"/>
          <w:color w:val="000000"/>
          <w:spacing w:val="0"/>
          <w:sz w:val="28"/>
          <w:szCs w:val="28"/>
          <w:shd w:val="clear" w:fill="FFFFFF"/>
          <w:lang w:eastAsia="zh-CN"/>
        </w:rPr>
        <w:t>公墓、生命公园、骨灰楼堂安葬体系的建成；建立健全县基本殡葬公共服务体系。到2030年，城市规划区核心范围内殡葬设施覆盖率达到90%以上；重点乡镇、村殡葬设施覆盖率达到80%以上；其他乡镇、村殡葬设施覆盖率达到60%以上。全县节地生态安葬率达到95%以上，其中公益</w:t>
      </w:r>
      <w:r>
        <w:rPr>
          <w:rFonts w:hint="eastAsia" w:ascii="微软雅黑" w:hAnsi="微软雅黑" w:eastAsia="微软雅黑" w:cs="微软雅黑"/>
          <w:i w:val="0"/>
          <w:iCs w:val="0"/>
          <w:caps w:val="0"/>
          <w:color w:val="000000"/>
          <w:spacing w:val="0"/>
          <w:sz w:val="28"/>
          <w:szCs w:val="28"/>
          <w:shd w:val="clear" w:fill="FFFFFF"/>
          <w:lang w:val="en-US" w:eastAsia="zh-CN"/>
        </w:rPr>
        <w:t>性</w:t>
      </w:r>
      <w:r>
        <w:rPr>
          <w:rFonts w:hint="eastAsia" w:ascii="微软雅黑" w:hAnsi="微软雅黑" w:eastAsia="微软雅黑" w:cs="微软雅黑"/>
          <w:i w:val="0"/>
          <w:iCs w:val="0"/>
          <w:caps w:val="0"/>
          <w:color w:val="000000"/>
          <w:spacing w:val="0"/>
          <w:sz w:val="28"/>
          <w:szCs w:val="28"/>
          <w:shd w:val="clear" w:fill="FFFFFF"/>
          <w:lang w:eastAsia="zh-CN"/>
        </w:rPr>
        <w:t>公墓</w:t>
      </w:r>
      <w:r>
        <w:rPr>
          <w:rFonts w:hint="eastAsia" w:ascii="微软雅黑" w:hAnsi="微软雅黑" w:eastAsia="微软雅黑" w:cs="微软雅黑"/>
          <w:i w:val="0"/>
          <w:iCs w:val="0"/>
          <w:caps w:val="0"/>
          <w:color w:val="000000"/>
          <w:spacing w:val="0"/>
          <w:sz w:val="28"/>
          <w:szCs w:val="28"/>
          <w:shd w:val="clear" w:fill="FFFFFF"/>
          <w:lang w:val="en-US" w:eastAsia="zh-CN"/>
        </w:rPr>
        <w:t>50</w:t>
      </w:r>
      <w:r>
        <w:rPr>
          <w:rFonts w:hint="eastAsia" w:ascii="微软雅黑" w:hAnsi="微软雅黑" w:eastAsia="微软雅黑" w:cs="微软雅黑"/>
          <w:i w:val="0"/>
          <w:iCs w:val="0"/>
          <w:caps w:val="0"/>
          <w:color w:val="000000"/>
          <w:spacing w:val="0"/>
          <w:sz w:val="28"/>
          <w:szCs w:val="28"/>
          <w:shd w:val="clear" w:fill="FFFFFF"/>
          <w:lang w:eastAsia="zh-CN"/>
        </w:rPr>
        <w:t>%、骨灰楼堂3</w:t>
      </w:r>
      <w:r>
        <w:rPr>
          <w:rFonts w:hint="eastAsia" w:ascii="微软雅黑" w:hAnsi="微软雅黑" w:eastAsia="微软雅黑" w:cs="微软雅黑"/>
          <w:i w:val="0"/>
          <w:iCs w:val="0"/>
          <w:caps w:val="0"/>
          <w:color w:val="000000"/>
          <w:spacing w:val="0"/>
          <w:sz w:val="28"/>
          <w:szCs w:val="28"/>
          <w:shd w:val="clear" w:fill="FFFFFF"/>
          <w:lang w:val="en-US" w:eastAsia="zh-CN"/>
        </w:rPr>
        <w:t>5</w:t>
      </w:r>
      <w:r>
        <w:rPr>
          <w:rFonts w:hint="eastAsia" w:ascii="微软雅黑" w:hAnsi="微软雅黑" w:eastAsia="微软雅黑" w:cs="微软雅黑"/>
          <w:i w:val="0"/>
          <w:iCs w:val="0"/>
          <w:caps w:val="0"/>
          <w:color w:val="000000"/>
          <w:spacing w:val="0"/>
          <w:sz w:val="28"/>
          <w:szCs w:val="28"/>
          <w:shd w:val="clear" w:fill="FFFFFF"/>
          <w:lang w:eastAsia="zh-CN"/>
        </w:rPr>
        <w:t>%、生命公园1</w:t>
      </w:r>
      <w:r>
        <w:rPr>
          <w:rFonts w:hint="eastAsia" w:ascii="微软雅黑" w:hAnsi="微软雅黑" w:eastAsia="微软雅黑" w:cs="微软雅黑"/>
          <w:i w:val="0"/>
          <w:iCs w:val="0"/>
          <w:caps w:val="0"/>
          <w:color w:val="000000"/>
          <w:spacing w:val="0"/>
          <w:sz w:val="28"/>
          <w:szCs w:val="28"/>
          <w:shd w:val="clear" w:fill="FFFFFF"/>
          <w:lang w:val="en-US" w:eastAsia="zh-CN"/>
        </w:rPr>
        <w:t>5</w:t>
      </w:r>
      <w:r>
        <w:rPr>
          <w:rFonts w:hint="eastAsia" w:ascii="微软雅黑" w:hAnsi="微软雅黑" w:eastAsia="微软雅黑" w:cs="微软雅黑"/>
          <w:i w:val="0"/>
          <w:iCs w:val="0"/>
          <w:caps w:val="0"/>
          <w:color w:val="000000"/>
          <w:spacing w:val="0"/>
          <w:sz w:val="28"/>
          <w:szCs w:val="28"/>
          <w:shd w:val="clear" w:fill="FFFFFF"/>
          <w:lang w:eastAsia="zh-CN"/>
        </w:rPr>
        <w:t>%。殡</w:t>
      </w:r>
      <w:r>
        <w:rPr>
          <w:rFonts w:hint="eastAsia" w:ascii="微软雅黑" w:hAnsi="微软雅黑" w:eastAsia="微软雅黑" w:cs="微软雅黑"/>
          <w:i w:val="0"/>
          <w:iCs w:val="0"/>
          <w:caps w:val="0"/>
          <w:color w:val="000000"/>
          <w:spacing w:val="0"/>
          <w:sz w:val="28"/>
          <w:szCs w:val="28"/>
          <w:shd w:val="clear" w:fill="FFFFFF"/>
          <w:lang w:val="en-US" w:eastAsia="zh-CN"/>
        </w:rPr>
        <w:t>葬服务中心</w:t>
      </w:r>
      <w:r>
        <w:rPr>
          <w:rFonts w:hint="eastAsia" w:ascii="微软雅黑" w:hAnsi="微软雅黑" w:eastAsia="微软雅黑" w:cs="微软雅黑"/>
          <w:i w:val="0"/>
          <w:iCs w:val="0"/>
          <w:caps w:val="0"/>
          <w:color w:val="000000"/>
          <w:spacing w:val="0"/>
          <w:sz w:val="28"/>
          <w:szCs w:val="28"/>
          <w:shd w:val="clear" w:fill="FFFFFF"/>
          <w:lang w:eastAsia="zh-CN"/>
        </w:rPr>
        <w:t>覆盖率达到100%，殡葬设施设备污染物排放标准达标率100%。树葬、花葬、草坪葬的比例不断提高，推动殡葬改革不断深化。</w:t>
      </w:r>
    </w:p>
    <w:p w14:paraId="68C05040">
      <w:pPr>
        <w:numPr>
          <w:ilvl w:val="0"/>
          <w:numId w:val="0"/>
        </w:numPr>
        <w:ind w:left="0" w:leftChars="0" w:firstLine="560" w:firstLineChars="200"/>
        <w:outlineLvl w:val="1"/>
        <w:rPr>
          <w:rFonts w:ascii="微软雅黑" w:hAnsi="微软雅黑" w:eastAsia="微软雅黑" w:cs="微软雅黑"/>
          <w:i w:val="0"/>
          <w:iCs w:val="0"/>
          <w:caps w:val="0"/>
          <w:color w:val="000000"/>
          <w:spacing w:val="0"/>
          <w:sz w:val="28"/>
          <w:szCs w:val="28"/>
          <w:shd w:val="clear" w:fill="FFFFFF"/>
        </w:rPr>
      </w:pPr>
      <w:bookmarkStart w:id="37" w:name="_Toc27798"/>
      <w:bookmarkStart w:id="38" w:name="_Toc29687"/>
      <w:bookmarkStart w:id="39" w:name="_Toc763"/>
      <w:r>
        <w:rPr>
          <w:rFonts w:hint="eastAsia" w:ascii="微软雅黑" w:hAnsi="微软雅黑" w:eastAsia="微软雅黑" w:cs="微软雅黑"/>
          <w:i w:val="0"/>
          <w:iCs w:val="0"/>
          <w:caps w:val="0"/>
          <w:color w:val="000000"/>
          <w:spacing w:val="0"/>
          <w:sz w:val="28"/>
          <w:szCs w:val="28"/>
          <w:shd w:val="clear" w:fill="FFFFFF"/>
          <w:lang w:eastAsia="zh-CN"/>
        </w:rPr>
        <w:t>3.</w:t>
      </w:r>
      <w:r>
        <w:rPr>
          <w:rFonts w:ascii="微软雅黑" w:hAnsi="微软雅黑" w:eastAsia="微软雅黑" w:cs="微软雅黑"/>
          <w:i w:val="0"/>
          <w:iCs w:val="0"/>
          <w:caps w:val="0"/>
          <w:color w:val="000000"/>
          <w:spacing w:val="0"/>
          <w:sz w:val="28"/>
          <w:szCs w:val="28"/>
          <w:shd w:val="clear" w:fill="FFFFFF"/>
        </w:rPr>
        <w:t>远期目标（20</w:t>
      </w:r>
      <w:r>
        <w:rPr>
          <w:rFonts w:hint="eastAsia" w:ascii="微软雅黑" w:hAnsi="微软雅黑" w:eastAsia="微软雅黑" w:cs="微软雅黑"/>
          <w:i w:val="0"/>
          <w:iCs w:val="0"/>
          <w:caps w:val="0"/>
          <w:color w:val="000000"/>
          <w:spacing w:val="0"/>
          <w:sz w:val="28"/>
          <w:szCs w:val="28"/>
          <w:shd w:val="clear" w:fill="FFFFFF"/>
          <w:lang w:eastAsia="zh-CN"/>
        </w:rPr>
        <w:t>31</w:t>
      </w:r>
      <w:r>
        <w:rPr>
          <w:rFonts w:ascii="微软雅黑" w:hAnsi="微软雅黑" w:eastAsia="微软雅黑" w:cs="微软雅黑"/>
          <w:i w:val="0"/>
          <w:iCs w:val="0"/>
          <w:caps w:val="0"/>
          <w:color w:val="000000"/>
          <w:spacing w:val="0"/>
          <w:sz w:val="28"/>
          <w:szCs w:val="28"/>
          <w:shd w:val="clear" w:fill="FFFFFF"/>
        </w:rPr>
        <w:t>-2035）</w:t>
      </w:r>
      <w:bookmarkEnd w:id="37"/>
      <w:bookmarkEnd w:id="38"/>
      <w:bookmarkEnd w:id="39"/>
      <w:r>
        <w:rPr>
          <w:rFonts w:ascii="微软雅黑" w:hAnsi="微软雅黑" w:eastAsia="微软雅黑" w:cs="微软雅黑"/>
          <w:i w:val="0"/>
          <w:iCs w:val="0"/>
          <w:caps w:val="0"/>
          <w:color w:val="000000"/>
          <w:spacing w:val="0"/>
          <w:sz w:val="28"/>
          <w:szCs w:val="28"/>
          <w:shd w:val="clear" w:fill="FFFFFF"/>
        </w:rPr>
        <w:t xml:space="preserve"> </w:t>
      </w:r>
    </w:p>
    <w:p w14:paraId="6F9234F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560" w:firstLineChars="200"/>
        <w:jc w:val="both"/>
        <w:rPr>
          <w:rFonts w:hint="eastAsia"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全面深化殡葬</w:t>
      </w:r>
      <w:r>
        <w:rPr>
          <w:rFonts w:hint="eastAsia" w:ascii="微软雅黑" w:hAnsi="微软雅黑" w:eastAsia="微软雅黑" w:cs="微软雅黑"/>
          <w:i w:val="0"/>
          <w:iCs w:val="0"/>
          <w:caps w:val="0"/>
          <w:color w:val="000000"/>
          <w:spacing w:val="0"/>
          <w:sz w:val="28"/>
          <w:szCs w:val="28"/>
          <w:shd w:val="clear" w:fill="FFFFFF"/>
          <w:lang w:eastAsia="zh-CN"/>
        </w:rPr>
        <w:t>事业改革，</w:t>
      </w:r>
      <w:r>
        <w:rPr>
          <w:rFonts w:ascii="微软雅黑" w:hAnsi="微软雅黑" w:eastAsia="微软雅黑" w:cs="微软雅黑"/>
          <w:i w:val="0"/>
          <w:iCs w:val="0"/>
          <w:caps w:val="0"/>
          <w:color w:val="000000"/>
          <w:spacing w:val="0"/>
          <w:sz w:val="28"/>
          <w:szCs w:val="28"/>
          <w:shd w:val="clear" w:fill="FFFFFF"/>
        </w:rPr>
        <w:t>提升安葬（放）设施生态环境和设施服务水平，基本形成布局合理、设施完善、功能齐全、服务便捷的殡葬体系。</w:t>
      </w:r>
      <w:r>
        <w:rPr>
          <w:rFonts w:hint="eastAsia" w:ascii="微软雅黑" w:hAnsi="微软雅黑" w:eastAsia="微软雅黑" w:cs="微软雅黑"/>
          <w:i w:val="0"/>
          <w:iCs w:val="0"/>
          <w:caps w:val="0"/>
          <w:color w:val="000000"/>
          <w:spacing w:val="0"/>
          <w:sz w:val="28"/>
          <w:szCs w:val="28"/>
          <w:shd w:val="clear" w:fill="FFFFFF"/>
          <w:lang w:eastAsia="zh-CN"/>
        </w:rPr>
        <w:t>到2035年，全县</w:t>
      </w:r>
      <w:r>
        <w:rPr>
          <w:rFonts w:hint="eastAsia" w:ascii="微软雅黑" w:hAnsi="微软雅黑" w:eastAsia="微软雅黑" w:cs="微软雅黑"/>
          <w:i w:val="0"/>
          <w:iCs w:val="0"/>
          <w:caps w:val="0"/>
          <w:color w:val="000000"/>
          <w:spacing w:val="0"/>
          <w:sz w:val="28"/>
          <w:szCs w:val="28"/>
          <w:shd w:val="clear" w:fill="FFFFFF"/>
        </w:rPr>
        <w:t>公益性安葬（放）设施覆盖率达到</w:t>
      </w:r>
      <w:r>
        <w:rPr>
          <w:rFonts w:hint="eastAsia" w:ascii="微软雅黑" w:hAnsi="微软雅黑" w:eastAsia="微软雅黑" w:cs="微软雅黑"/>
          <w:i w:val="0"/>
          <w:iCs w:val="0"/>
          <w:caps w:val="0"/>
          <w:color w:val="000000"/>
          <w:spacing w:val="0"/>
          <w:sz w:val="28"/>
          <w:szCs w:val="28"/>
          <w:shd w:val="clear" w:fill="FFFFFF"/>
          <w:lang w:eastAsia="zh-CN"/>
        </w:rPr>
        <w:t>100</w:t>
      </w:r>
      <w:r>
        <w:rPr>
          <w:rFonts w:hint="eastAsia" w:ascii="微软雅黑" w:hAnsi="微软雅黑" w:eastAsia="微软雅黑" w:cs="微软雅黑"/>
          <w:i w:val="0"/>
          <w:iCs w:val="0"/>
          <w:caps w:val="0"/>
          <w:color w:val="000000"/>
          <w:spacing w:val="0"/>
          <w:sz w:val="28"/>
          <w:szCs w:val="28"/>
          <w:shd w:val="clear" w:fill="FFFFFF"/>
        </w:rPr>
        <w:t>%</w:t>
      </w:r>
      <w:r>
        <w:rPr>
          <w:rFonts w:hint="eastAsia" w:ascii="微软雅黑" w:hAnsi="微软雅黑" w:eastAsia="微软雅黑" w:cs="微软雅黑"/>
          <w:i w:val="0"/>
          <w:iCs w:val="0"/>
          <w:caps w:val="0"/>
          <w:color w:val="000000"/>
          <w:spacing w:val="0"/>
          <w:sz w:val="28"/>
          <w:szCs w:val="28"/>
          <w:shd w:val="clear" w:fill="FFFFFF"/>
          <w:lang w:eastAsia="zh-CN"/>
        </w:rPr>
        <w:t>。</w:t>
      </w:r>
      <w:r>
        <w:rPr>
          <w:rFonts w:ascii="微软雅黑" w:hAnsi="微软雅黑" w:eastAsia="微软雅黑" w:cs="微软雅黑"/>
          <w:i w:val="0"/>
          <w:iCs w:val="0"/>
          <w:caps w:val="0"/>
          <w:color w:val="000000"/>
          <w:spacing w:val="0"/>
          <w:sz w:val="28"/>
          <w:szCs w:val="28"/>
          <w:shd w:val="clear" w:fill="FFFFFF"/>
        </w:rPr>
        <w:t>全县节地生态安葬率达到</w:t>
      </w:r>
      <w:r>
        <w:rPr>
          <w:rFonts w:hint="eastAsia" w:ascii="微软雅黑" w:hAnsi="微软雅黑" w:eastAsia="微软雅黑" w:cs="微软雅黑"/>
          <w:i w:val="0"/>
          <w:iCs w:val="0"/>
          <w:caps w:val="0"/>
          <w:color w:val="000000"/>
          <w:spacing w:val="0"/>
          <w:sz w:val="28"/>
          <w:szCs w:val="28"/>
          <w:shd w:val="clear" w:fill="FFFFFF"/>
          <w:lang w:eastAsia="zh-CN"/>
        </w:rPr>
        <w:t>98</w:t>
      </w:r>
      <w:r>
        <w:rPr>
          <w:rFonts w:ascii="微软雅黑" w:hAnsi="微软雅黑" w:eastAsia="微软雅黑" w:cs="微软雅黑"/>
          <w:i w:val="0"/>
          <w:iCs w:val="0"/>
          <w:caps w:val="0"/>
          <w:color w:val="000000"/>
          <w:spacing w:val="0"/>
          <w:sz w:val="28"/>
          <w:szCs w:val="28"/>
          <w:shd w:val="clear" w:fill="FFFFFF"/>
        </w:rPr>
        <w:t>%以上</w:t>
      </w:r>
      <w:r>
        <w:rPr>
          <w:rFonts w:hint="eastAsia" w:ascii="微软雅黑" w:hAnsi="微软雅黑" w:eastAsia="微软雅黑" w:cs="微软雅黑"/>
          <w:i w:val="0"/>
          <w:iCs w:val="0"/>
          <w:caps w:val="0"/>
          <w:color w:val="000000"/>
          <w:spacing w:val="0"/>
          <w:sz w:val="28"/>
          <w:szCs w:val="28"/>
          <w:shd w:val="clear" w:fill="FFFFFF"/>
          <w:lang w:eastAsia="zh-CN"/>
        </w:rPr>
        <w:t>，</w:t>
      </w:r>
      <w:r>
        <w:rPr>
          <w:rFonts w:hint="eastAsia" w:ascii="微软雅黑" w:hAnsi="微软雅黑" w:eastAsia="微软雅黑" w:cs="微软雅黑"/>
          <w:i w:val="0"/>
          <w:iCs w:val="0"/>
          <w:caps w:val="0"/>
          <w:color w:val="auto"/>
          <w:spacing w:val="0"/>
          <w:sz w:val="28"/>
          <w:szCs w:val="28"/>
          <w:shd w:val="clear" w:fill="FFFFFF"/>
          <w:lang w:eastAsia="zh-CN"/>
        </w:rPr>
        <w:t>其中</w:t>
      </w:r>
      <w:r>
        <w:rPr>
          <w:rFonts w:hint="eastAsia" w:ascii="微软雅黑" w:hAnsi="微软雅黑" w:eastAsia="微软雅黑" w:cs="微软雅黑"/>
          <w:i w:val="0"/>
          <w:iCs w:val="0"/>
          <w:caps w:val="0"/>
          <w:color w:val="000000"/>
          <w:spacing w:val="0"/>
          <w:sz w:val="28"/>
          <w:szCs w:val="28"/>
          <w:shd w:val="clear" w:fill="FFFFFF"/>
          <w:lang w:eastAsia="zh-CN"/>
        </w:rPr>
        <w:t>公益</w:t>
      </w:r>
      <w:r>
        <w:rPr>
          <w:rFonts w:hint="eastAsia" w:ascii="微软雅黑" w:hAnsi="微软雅黑" w:eastAsia="微软雅黑" w:cs="微软雅黑"/>
          <w:i w:val="0"/>
          <w:iCs w:val="0"/>
          <w:caps w:val="0"/>
          <w:color w:val="000000"/>
          <w:spacing w:val="0"/>
          <w:sz w:val="28"/>
          <w:szCs w:val="28"/>
          <w:shd w:val="clear" w:fill="FFFFFF"/>
          <w:lang w:val="en-US" w:eastAsia="zh-CN"/>
        </w:rPr>
        <w:t>性</w:t>
      </w:r>
      <w:r>
        <w:rPr>
          <w:rFonts w:hint="eastAsia" w:ascii="微软雅黑" w:hAnsi="微软雅黑" w:eastAsia="微软雅黑" w:cs="微软雅黑"/>
          <w:i w:val="0"/>
          <w:iCs w:val="0"/>
          <w:caps w:val="0"/>
          <w:color w:val="000000"/>
          <w:spacing w:val="0"/>
          <w:sz w:val="28"/>
          <w:szCs w:val="28"/>
          <w:shd w:val="clear" w:fill="FFFFFF"/>
          <w:lang w:eastAsia="zh-CN"/>
        </w:rPr>
        <w:t>公墓4</w:t>
      </w:r>
      <w:r>
        <w:rPr>
          <w:rFonts w:hint="eastAsia" w:ascii="微软雅黑" w:hAnsi="微软雅黑" w:eastAsia="微软雅黑" w:cs="微软雅黑"/>
          <w:i w:val="0"/>
          <w:iCs w:val="0"/>
          <w:caps w:val="0"/>
          <w:color w:val="auto"/>
          <w:spacing w:val="0"/>
          <w:sz w:val="28"/>
          <w:szCs w:val="28"/>
          <w:shd w:val="clear" w:fill="FFFFFF"/>
          <w:lang w:val="en-US" w:eastAsia="zh-CN"/>
        </w:rPr>
        <w:t>0</w:t>
      </w:r>
      <w:r>
        <w:rPr>
          <w:rFonts w:hint="eastAsia" w:ascii="微软雅黑" w:hAnsi="微软雅黑" w:eastAsia="微软雅黑" w:cs="微软雅黑"/>
          <w:i w:val="0"/>
          <w:iCs w:val="0"/>
          <w:caps w:val="0"/>
          <w:color w:val="auto"/>
          <w:spacing w:val="0"/>
          <w:sz w:val="28"/>
          <w:szCs w:val="28"/>
          <w:shd w:val="clear" w:fill="FFFFFF"/>
          <w:lang w:eastAsia="zh-CN"/>
        </w:rPr>
        <w:t>%、骨灰楼堂</w:t>
      </w:r>
      <w:r>
        <w:rPr>
          <w:rFonts w:hint="eastAsia" w:ascii="微软雅黑" w:hAnsi="微软雅黑" w:eastAsia="微软雅黑" w:cs="微软雅黑"/>
          <w:i w:val="0"/>
          <w:iCs w:val="0"/>
          <w:caps w:val="0"/>
          <w:color w:val="auto"/>
          <w:spacing w:val="0"/>
          <w:sz w:val="28"/>
          <w:szCs w:val="28"/>
          <w:shd w:val="clear" w:fill="FFFFFF"/>
          <w:lang w:val="en-US" w:eastAsia="zh-CN"/>
        </w:rPr>
        <w:t>40</w:t>
      </w:r>
      <w:r>
        <w:rPr>
          <w:rFonts w:hint="eastAsia" w:ascii="微软雅黑" w:hAnsi="微软雅黑" w:eastAsia="微软雅黑" w:cs="微软雅黑"/>
          <w:i w:val="0"/>
          <w:iCs w:val="0"/>
          <w:caps w:val="0"/>
          <w:color w:val="auto"/>
          <w:spacing w:val="0"/>
          <w:sz w:val="28"/>
          <w:szCs w:val="28"/>
          <w:shd w:val="clear" w:fill="FFFFFF"/>
          <w:lang w:eastAsia="zh-CN"/>
        </w:rPr>
        <w:t>%、生命公园20%。</w:t>
      </w:r>
      <w:r>
        <w:rPr>
          <w:rFonts w:hint="eastAsia" w:ascii="微软雅黑" w:hAnsi="微软雅黑" w:eastAsia="微软雅黑" w:cs="微软雅黑"/>
          <w:i w:val="0"/>
          <w:iCs w:val="0"/>
          <w:caps w:val="0"/>
          <w:color w:val="auto"/>
          <w:spacing w:val="0"/>
          <w:sz w:val="28"/>
          <w:szCs w:val="28"/>
          <w:shd w:val="clear" w:fill="FFFFFF"/>
        </w:rPr>
        <w:t>乡镇殡仪服务站配建比例达到</w:t>
      </w:r>
      <w:r>
        <w:rPr>
          <w:rFonts w:hint="eastAsia" w:ascii="微软雅黑" w:hAnsi="微软雅黑" w:eastAsia="微软雅黑" w:cs="微软雅黑"/>
          <w:i w:val="0"/>
          <w:iCs w:val="0"/>
          <w:caps w:val="0"/>
          <w:color w:val="auto"/>
          <w:spacing w:val="0"/>
          <w:sz w:val="28"/>
          <w:szCs w:val="28"/>
          <w:shd w:val="clear" w:fill="FFFFFF"/>
          <w:lang w:val="en-US" w:eastAsia="zh-CN"/>
        </w:rPr>
        <w:t>80</w:t>
      </w:r>
      <w:r>
        <w:rPr>
          <w:rFonts w:hint="eastAsia" w:ascii="微软雅黑" w:hAnsi="微软雅黑" w:eastAsia="微软雅黑" w:cs="微软雅黑"/>
          <w:i w:val="0"/>
          <w:iCs w:val="0"/>
          <w:caps w:val="0"/>
          <w:color w:val="auto"/>
          <w:spacing w:val="0"/>
          <w:sz w:val="28"/>
          <w:szCs w:val="28"/>
          <w:shd w:val="clear" w:fill="FFFFFF"/>
        </w:rPr>
        <w:t>%以上，</w:t>
      </w:r>
      <w:r>
        <w:rPr>
          <w:rFonts w:hint="eastAsia" w:ascii="微软雅黑" w:hAnsi="微软雅黑" w:eastAsia="微软雅黑" w:cs="微软雅黑"/>
          <w:i w:val="0"/>
          <w:iCs w:val="0"/>
          <w:caps w:val="0"/>
          <w:color w:val="auto"/>
          <w:spacing w:val="0"/>
          <w:sz w:val="28"/>
          <w:szCs w:val="28"/>
          <w:shd w:val="clear" w:fill="FFFFFF"/>
          <w:lang w:eastAsia="zh-CN"/>
        </w:rPr>
        <w:t>村级</w:t>
      </w:r>
      <w:r>
        <w:rPr>
          <w:rFonts w:ascii="微软雅黑" w:hAnsi="微软雅黑" w:eastAsia="微软雅黑" w:cs="微软雅黑"/>
          <w:i w:val="0"/>
          <w:iCs w:val="0"/>
          <w:caps w:val="0"/>
          <w:color w:val="auto"/>
          <w:spacing w:val="0"/>
          <w:sz w:val="28"/>
          <w:szCs w:val="28"/>
          <w:shd w:val="clear" w:fill="FFFFFF"/>
        </w:rPr>
        <w:t>集中办丧场所建设</w:t>
      </w:r>
      <w:r>
        <w:rPr>
          <w:rFonts w:hint="eastAsia" w:ascii="微软雅黑" w:hAnsi="微软雅黑" w:eastAsia="微软雅黑" w:cs="微软雅黑"/>
          <w:i w:val="0"/>
          <w:iCs w:val="0"/>
          <w:caps w:val="0"/>
          <w:color w:val="auto"/>
          <w:spacing w:val="0"/>
          <w:sz w:val="28"/>
          <w:szCs w:val="28"/>
          <w:shd w:val="clear" w:fill="FFFFFF"/>
        </w:rPr>
        <w:t>比例达到</w:t>
      </w:r>
      <w:r>
        <w:rPr>
          <w:rFonts w:hint="eastAsia" w:ascii="微软雅黑" w:hAnsi="微软雅黑" w:eastAsia="微软雅黑" w:cs="微软雅黑"/>
          <w:i w:val="0"/>
          <w:iCs w:val="0"/>
          <w:caps w:val="0"/>
          <w:color w:val="auto"/>
          <w:spacing w:val="0"/>
          <w:sz w:val="28"/>
          <w:szCs w:val="28"/>
          <w:shd w:val="clear" w:fill="FFFFFF"/>
          <w:lang w:val="en-US" w:eastAsia="zh-CN"/>
        </w:rPr>
        <w:t>70</w:t>
      </w:r>
      <w:r>
        <w:rPr>
          <w:rFonts w:hint="eastAsia" w:ascii="微软雅黑" w:hAnsi="微软雅黑" w:eastAsia="微软雅黑" w:cs="微软雅黑"/>
          <w:i w:val="0"/>
          <w:iCs w:val="0"/>
          <w:caps w:val="0"/>
          <w:color w:val="auto"/>
          <w:spacing w:val="0"/>
          <w:sz w:val="28"/>
          <w:szCs w:val="28"/>
          <w:shd w:val="clear" w:fill="FFFFFF"/>
        </w:rPr>
        <w:t>%以上</w:t>
      </w:r>
      <w:r>
        <w:rPr>
          <w:rFonts w:hint="eastAsia" w:ascii="微软雅黑" w:hAnsi="微软雅黑" w:eastAsia="微软雅黑" w:cs="微软雅黑"/>
          <w:i w:val="0"/>
          <w:iCs w:val="0"/>
          <w:caps w:val="0"/>
          <w:color w:val="auto"/>
          <w:spacing w:val="0"/>
          <w:sz w:val="28"/>
          <w:szCs w:val="28"/>
          <w:shd w:val="clear" w:fill="FFFFFF"/>
          <w:lang w:eastAsia="zh-CN"/>
        </w:rPr>
        <w:t>；</w:t>
      </w:r>
      <w:r>
        <w:rPr>
          <w:rFonts w:hint="eastAsia" w:ascii="微软雅黑" w:hAnsi="微软雅黑" w:eastAsia="微软雅黑" w:cs="微软雅黑"/>
          <w:i w:val="0"/>
          <w:iCs w:val="0"/>
          <w:caps w:val="0"/>
          <w:color w:val="000000"/>
          <w:spacing w:val="0"/>
          <w:sz w:val="28"/>
          <w:szCs w:val="28"/>
          <w:shd w:val="clear" w:fill="FFFFFF"/>
          <w:lang w:eastAsia="zh-CN"/>
        </w:rPr>
        <w:t>殡葬</w:t>
      </w:r>
      <w:r>
        <w:rPr>
          <w:rFonts w:hint="eastAsia" w:ascii="微软雅黑" w:hAnsi="微软雅黑" w:eastAsia="微软雅黑" w:cs="微软雅黑"/>
          <w:i w:val="0"/>
          <w:iCs w:val="0"/>
          <w:caps w:val="0"/>
          <w:color w:val="000000"/>
          <w:spacing w:val="0"/>
          <w:sz w:val="28"/>
          <w:szCs w:val="28"/>
          <w:shd w:val="clear" w:fill="FFFFFF"/>
        </w:rPr>
        <w:t>智慧化水平持续提升，服务水平与群众需求和经济社会发展同步提高，引导城乡居民树立文明、现代、生态绿色的殡葬理念，全面实现规划目标。</w:t>
      </w:r>
      <w:bookmarkEnd w:id="6"/>
      <w:bookmarkEnd w:id="7"/>
    </w:p>
    <w:p w14:paraId="3BD281C4">
      <w:pPr>
        <w:bidi w:val="0"/>
        <w:rPr>
          <w:rFonts w:hint="eastAsia"/>
          <w:lang w:val="en-US" w:eastAsia="zh-CN"/>
        </w:rPr>
      </w:pPr>
    </w:p>
    <w:p w14:paraId="560E65EC">
      <w:pPr>
        <w:bidi w:val="0"/>
        <w:rPr>
          <w:rFonts w:hint="eastAsia"/>
          <w:lang w:val="en-US" w:eastAsia="zh-CN"/>
        </w:rPr>
      </w:pPr>
    </w:p>
    <w:p w14:paraId="391DCD2B">
      <w:pPr>
        <w:bidi w:val="0"/>
        <w:rPr>
          <w:rFonts w:hint="eastAsia"/>
          <w:lang w:val="en-US" w:eastAsia="zh-CN"/>
        </w:rPr>
      </w:pPr>
    </w:p>
    <w:p w14:paraId="0B900F09">
      <w:pPr>
        <w:bidi w:val="0"/>
        <w:rPr>
          <w:rFonts w:hint="eastAsia"/>
          <w:lang w:val="en-US" w:eastAsia="zh-CN"/>
        </w:rPr>
      </w:pPr>
    </w:p>
    <w:p w14:paraId="35B85567">
      <w:pPr>
        <w:bidi w:val="0"/>
        <w:rPr>
          <w:rFonts w:hint="eastAsia"/>
          <w:lang w:val="en-US" w:eastAsia="zh-CN"/>
        </w:rPr>
      </w:pPr>
    </w:p>
    <w:p w14:paraId="3B66D44C">
      <w:pPr>
        <w:bidi w:val="0"/>
        <w:rPr>
          <w:rFonts w:hint="eastAsia"/>
          <w:lang w:val="en-US" w:eastAsia="zh-CN"/>
        </w:rPr>
      </w:pPr>
    </w:p>
    <w:p w14:paraId="567ECC1B">
      <w:pPr>
        <w:bidi w:val="0"/>
        <w:rPr>
          <w:rFonts w:hint="eastAsia"/>
          <w:lang w:val="en-US" w:eastAsia="zh-CN"/>
        </w:rPr>
      </w:pPr>
    </w:p>
    <w:p w14:paraId="730D0C1B">
      <w:pPr>
        <w:bidi w:val="0"/>
        <w:rPr>
          <w:rFonts w:hint="eastAsia"/>
          <w:lang w:val="en-US" w:eastAsia="zh-CN"/>
        </w:rPr>
      </w:pPr>
    </w:p>
    <w:p w14:paraId="77ECCFFC">
      <w:pPr>
        <w:bidi w:val="0"/>
        <w:rPr>
          <w:rFonts w:hint="eastAsia"/>
          <w:lang w:val="en-US" w:eastAsia="zh-CN"/>
        </w:rPr>
      </w:pPr>
    </w:p>
    <w:p w14:paraId="75ADD6BC">
      <w:pPr>
        <w:bidi w:val="0"/>
        <w:rPr>
          <w:rFonts w:hint="eastAsia"/>
          <w:lang w:val="en-US" w:eastAsia="zh-CN"/>
        </w:rPr>
      </w:pPr>
    </w:p>
    <w:p w14:paraId="07AD2C32">
      <w:pPr>
        <w:bidi w:val="0"/>
        <w:rPr>
          <w:rFonts w:hint="eastAsia"/>
          <w:lang w:val="en-US" w:eastAsia="zh-CN"/>
        </w:rPr>
      </w:pPr>
    </w:p>
    <w:p w14:paraId="1DFAC763">
      <w:pPr>
        <w:bidi w:val="0"/>
        <w:rPr>
          <w:rFonts w:hint="eastAsia"/>
          <w:lang w:val="en-US" w:eastAsia="zh-CN"/>
        </w:rPr>
      </w:pPr>
    </w:p>
    <w:p w14:paraId="19A499B4">
      <w:pPr>
        <w:bidi w:val="0"/>
        <w:rPr>
          <w:rFonts w:hint="eastAsia"/>
          <w:lang w:val="en-US" w:eastAsia="zh-CN"/>
        </w:rPr>
      </w:pPr>
    </w:p>
    <w:p w14:paraId="242557AC">
      <w:pPr>
        <w:bidi w:val="0"/>
        <w:rPr>
          <w:rFonts w:hint="eastAsia"/>
          <w:lang w:val="en-US" w:eastAsia="zh-CN"/>
        </w:rPr>
      </w:pPr>
    </w:p>
    <w:p w14:paraId="6FCB5790">
      <w:pPr>
        <w:bidi w:val="0"/>
        <w:rPr>
          <w:rFonts w:hint="eastAsia"/>
          <w:lang w:val="en-US" w:eastAsia="zh-CN"/>
        </w:rPr>
      </w:pPr>
    </w:p>
    <w:p w14:paraId="32934BEC">
      <w:pPr>
        <w:bidi w:val="0"/>
        <w:rPr>
          <w:rFonts w:hint="eastAsia"/>
          <w:lang w:val="en-US" w:eastAsia="zh-CN"/>
        </w:rPr>
      </w:pPr>
    </w:p>
    <w:p w14:paraId="0F89B2E0">
      <w:pPr>
        <w:bidi w:val="0"/>
        <w:rPr>
          <w:rFonts w:hint="eastAsia"/>
          <w:lang w:val="en-US" w:eastAsia="zh-CN"/>
        </w:rPr>
      </w:pPr>
    </w:p>
    <w:p w14:paraId="766815DC">
      <w:pPr>
        <w:bidi w:val="0"/>
        <w:ind w:firstLine="523" w:firstLineChars="0"/>
        <w:jc w:val="left"/>
        <w:rPr>
          <w:rFonts w:hint="eastAsia"/>
          <w:lang w:val="en-US" w:eastAsia="zh-CN"/>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24B66AD0">
      <w:pPr>
        <w:numPr>
          <w:ilvl w:val="0"/>
          <w:numId w:val="0"/>
        </w:numPr>
        <w:ind w:left="0" w:leftChars="0" w:firstLine="0" w:firstLineChars="0"/>
        <w:jc w:val="center"/>
        <w:outlineLvl w:val="0"/>
        <w:rPr>
          <w:rFonts w:ascii="微软雅黑" w:hAnsi="微软雅黑" w:eastAsia="微软雅黑" w:cs="微软雅黑"/>
          <w:i w:val="0"/>
          <w:iCs w:val="0"/>
          <w:caps w:val="0"/>
          <w:color w:val="000000"/>
          <w:spacing w:val="0"/>
          <w:sz w:val="19"/>
          <w:szCs w:val="19"/>
          <w:shd w:val="clear" w:fill="FFFFFF"/>
        </w:rPr>
      </w:pPr>
      <w:bookmarkStart w:id="40" w:name="_Toc18406"/>
      <w:r>
        <w:rPr>
          <w:rFonts w:hint="eastAsia" w:ascii="微软雅黑" w:hAnsi="微软雅黑" w:eastAsia="微软雅黑" w:cs="微软雅黑"/>
          <w:b/>
          <w:bCs/>
          <w:i w:val="0"/>
          <w:iCs w:val="0"/>
          <w:caps w:val="0"/>
          <w:color w:val="000000"/>
          <w:spacing w:val="0"/>
          <w:sz w:val="36"/>
          <w:szCs w:val="36"/>
          <w:shd w:val="clear" w:fill="FFFFFF"/>
          <w:lang w:eastAsia="zh-CN"/>
        </w:rPr>
        <w:t>第二章  现状分析</w:t>
      </w:r>
      <w:bookmarkEnd w:id="40"/>
    </w:p>
    <w:p w14:paraId="46C478C5">
      <w:pPr>
        <w:numPr>
          <w:ilvl w:val="0"/>
          <w:numId w:val="0"/>
        </w:numPr>
        <w:ind w:left="0" w:leftChars="0" w:firstLine="0" w:firstLineChars="0"/>
        <w:outlineLvl w:val="9"/>
        <w:rPr>
          <w:rFonts w:hint="eastAsia" w:ascii="微软雅黑" w:hAnsi="微软雅黑" w:eastAsia="微软雅黑" w:cs="微软雅黑"/>
          <w:b/>
          <w:bCs/>
          <w:i w:val="0"/>
          <w:iCs w:val="0"/>
          <w:caps w:val="0"/>
          <w:color w:val="000000"/>
          <w:spacing w:val="0"/>
          <w:sz w:val="28"/>
          <w:szCs w:val="28"/>
          <w:shd w:val="clear" w:fill="FFFFFF"/>
          <w:lang w:eastAsia="zh-CN"/>
        </w:rPr>
      </w:pPr>
    </w:p>
    <w:p w14:paraId="03D4A9C5">
      <w:pPr>
        <w:numPr>
          <w:ilvl w:val="0"/>
          <w:numId w:val="0"/>
        </w:numPr>
        <w:ind w:left="0" w:leftChars="0" w:firstLine="0" w:firstLineChars="0"/>
        <w:outlineLvl w:val="0"/>
        <w:rPr>
          <w:rFonts w:ascii="微软雅黑" w:hAnsi="微软雅黑" w:eastAsia="微软雅黑" w:cs="微软雅黑"/>
          <w:b/>
          <w:bCs/>
          <w:i w:val="0"/>
          <w:iCs w:val="0"/>
          <w:caps w:val="0"/>
          <w:color w:val="000000"/>
          <w:spacing w:val="0"/>
          <w:sz w:val="28"/>
          <w:szCs w:val="28"/>
          <w:shd w:val="clear" w:fill="FFFFFF"/>
        </w:rPr>
      </w:pPr>
      <w:bookmarkStart w:id="41" w:name="_Toc24355"/>
      <w:r>
        <w:rPr>
          <w:rFonts w:hint="eastAsia" w:ascii="微软雅黑" w:hAnsi="微软雅黑" w:eastAsia="微软雅黑" w:cs="微软雅黑"/>
          <w:b/>
          <w:bCs/>
          <w:i w:val="0"/>
          <w:iCs w:val="0"/>
          <w:caps w:val="0"/>
          <w:color w:val="000000"/>
          <w:spacing w:val="0"/>
          <w:sz w:val="28"/>
          <w:szCs w:val="28"/>
          <w:shd w:val="clear" w:fill="FFFFFF"/>
          <w:lang w:eastAsia="zh-CN"/>
        </w:rPr>
        <w:t>一、长汀经济社会发展状况</w:t>
      </w:r>
      <w:bookmarkEnd w:id="41"/>
      <w:r>
        <w:rPr>
          <w:rFonts w:hint="eastAsia" w:ascii="微软雅黑" w:hAnsi="微软雅黑" w:eastAsia="微软雅黑" w:cs="微软雅黑"/>
          <w:b/>
          <w:bCs/>
          <w:i w:val="0"/>
          <w:iCs w:val="0"/>
          <w:caps w:val="0"/>
          <w:color w:val="000000"/>
          <w:spacing w:val="0"/>
          <w:sz w:val="28"/>
          <w:szCs w:val="28"/>
          <w:shd w:val="clear" w:fill="FFFFFF"/>
          <w:lang w:eastAsia="zh-CN"/>
        </w:rPr>
        <w:t xml:space="preserve"> </w:t>
      </w:r>
    </w:p>
    <w:p w14:paraId="0E9A0EBA">
      <w:pPr>
        <w:numPr>
          <w:ilvl w:val="0"/>
          <w:numId w:val="0"/>
        </w:numPr>
        <w:ind w:firstLine="560" w:firstLineChars="200"/>
        <w:outlineLvl w:val="1"/>
        <w:rPr>
          <w:rFonts w:hint="eastAsia" w:ascii="微软雅黑" w:hAnsi="微软雅黑" w:eastAsia="微软雅黑" w:cs="微软雅黑"/>
          <w:i w:val="0"/>
          <w:iCs w:val="0"/>
          <w:caps w:val="0"/>
          <w:color w:val="000000"/>
          <w:spacing w:val="0"/>
          <w:sz w:val="28"/>
          <w:szCs w:val="28"/>
          <w:shd w:val="clear" w:fill="FFFFFF"/>
          <w:lang w:val="en-US" w:eastAsia="zh-CN"/>
        </w:rPr>
      </w:pPr>
      <w:bookmarkStart w:id="42" w:name="_Toc32194"/>
      <w:r>
        <w:rPr>
          <w:rFonts w:hint="eastAsia" w:ascii="微软雅黑" w:hAnsi="微软雅黑" w:eastAsia="微软雅黑" w:cs="微软雅黑"/>
          <w:i w:val="0"/>
          <w:iCs w:val="0"/>
          <w:caps w:val="0"/>
          <w:color w:val="000000"/>
          <w:spacing w:val="0"/>
          <w:sz w:val="28"/>
          <w:szCs w:val="28"/>
          <w:shd w:val="clear" w:fill="FFFFFF"/>
          <w:lang w:val="en-US" w:eastAsia="zh-CN"/>
        </w:rPr>
        <w:t>1.自然地理格局</w:t>
      </w:r>
      <w:bookmarkEnd w:id="42"/>
    </w:p>
    <w:p w14:paraId="140B7651">
      <w:pPr>
        <w:numPr>
          <w:ilvl w:val="0"/>
          <w:numId w:val="0"/>
        </w:numPr>
        <w:ind w:left="0" w:leftChars="0" w:firstLine="560" w:firstLineChars="200"/>
        <w:outlineLvl w:val="9"/>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长汀古称“汀州”，地处福建省西部，武夷山脉南麓，闽赣边陲要冲，隶属于龙岩市，北接三明市的宁化、清流，东邻连城，南毗上杭，西南与武平接壤，西北与江西瑞金交界，是福建省西大门。全县地势整体呈现东、西、北三面高，中、南部低，自北向南倾斜。全县地貌分为中山、低山、丘陵、盆地、阶地五个类型，海拔在300米到800米的低山丘陵占到80％以上。东西两侧主要分布着武夷山山脉和松毛岭支脉，汀江、闽江和赣江等三大流域贯穿其中。全县林多田少，呈现“八山一水一分田”的自然地理格局。</w:t>
      </w:r>
    </w:p>
    <w:p w14:paraId="768A51C0">
      <w:pPr>
        <w:numPr>
          <w:ilvl w:val="0"/>
          <w:numId w:val="0"/>
        </w:numPr>
        <w:ind w:left="0" w:leftChars="0" w:firstLine="560" w:firstLineChars="200"/>
        <w:outlineLvl w:val="1"/>
        <w:rPr>
          <w:rFonts w:hint="eastAsia" w:ascii="微软雅黑" w:hAnsi="微软雅黑" w:eastAsia="微软雅黑" w:cs="微软雅黑"/>
          <w:i w:val="0"/>
          <w:iCs w:val="0"/>
          <w:caps w:val="0"/>
          <w:color w:val="000000"/>
          <w:spacing w:val="0"/>
          <w:sz w:val="28"/>
          <w:szCs w:val="28"/>
          <w:shd w:val="clear" w:fill="FFFFFF"/>
          <w:lang w:val="en-US" w:eastAsia="zh-CN"/>
        </w:rPr>
      </w:pPr>
      <w:bookmarkStart w:id="43" w:name="_Toc23697"/>
      <w:r>
        <w:rPr>
          <w:rFonts w:hint="eastAsia" w:ascii="微软雅黑" w:hAnsi="微软雅黑" w:eastAsia="微软雅黑" w:cs="微软雅黑"/>
          <w:i w:val="0"/>
          <w:iCs w:val="0"/>
          <w:caps w:val="0"/>
          <w:color w:val="000000"/>
          <w:spacing w:val="0"/>
          <w:sz w:val="28"/>
          <w:szCs w:val="28"/>
          <w:shd w:val="clear" w:fill="FFFFFF"/>
          <w:lang w:val="en-US" w:eastAsia="zh-CN"/>
        </w:rPr>
        <w:t>2.自然资源禀赋</w:t>
      </w:r>
      <w:bookmarkEnd w:id="43"/>
    </w:p>
    <w:p w14:paraId="5E9898FF">
      <w:pPr>
        <w:numPr>
          <w:ilvl w:val="0"/>
          <w:numId w:val="0"/>
        </w:numPr>
        <w:ind w:left="0" w:leftChars="0" w:firstLine="560" w:firstLineChars="200"/>
        <w:outlineLvl w:val="9"/>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长汀县地处中亚热带海洋性季风气候区，四季分明，年平均温度18.3℃，年均降雨量1707.1毫米，适宜农业生产。林地面积占比大，森林覆盖率达79.55%，城市空气环境质量保持优良。水资源优势明显，多年平均水资源量31.15亿立方米，地表及地下水资源量丰富，重要江河湖泊水功能区水质达标率为100%。矿产资源比较丰富，主要有稀土、钨、铁、锡、高岭土等。</w:t>
      </w:r>
    </w:p>
    <w:p w14:paraId="0AEF7734">
      <w:pPr>
        <w:numPr>
          <w:ilvl w:val="0"/>
          <w:numId w:val="0"/>
        </w:numPr>
        <w:ind w:left="0" w:leftChars="0" w:firstLine="560" w:firstLineChars="200"/>
        <w:outlineLvl w:val="1"/>
        <w:rPr>
          <w:rFonts w:hint="eastAsia" w:ascii="微软雅黑" w:hAnsi="微软雅黑" w:eastAsia="微软雅黑" w:cs="微软雅黑"/>
          <w:i w:val="0"/>
          <w:iCs w:val="0"/>
          <w:caps w:val="0"/>
          <w:color w:val="000000"/>
          <w:spacing w:val="0"/>
          <w:sz w:val="28"/>
          <w:szCs w:val="28"/>
          <w:shd w:val="clear" w:fill="FFFFFF"/>
          <w:lang w:val="en-US" w:eastAsia="zh-CN"/>
        </w:rPr>
      </w:pPr>
      <w:bookmarkStart w:id="44" w:name="_Toc6412"/>
      <w:r>
        <w:rPr>
          <w:rFonts w:hint="eastAsia" w:ascii="微软雅黑" w:hAnsi="微软雅黑" w:eastAsia="微软雅黑" w:cs="微软雅黑"/>
          <w:i w:val="0"/>
          <w:iCs w:val="0"/>
          <w:caps w:val="0"/>
          <w:color w:val="000000"/>
          <w:spacing w:val="0"/>
          <w:sz w:val="28"/>
          <w:szCs w:val="28"/>
          <w:shd w:val="clear" w:fill="FFFFFF"/>
          <w:lang w:val="en-US" w:eastAsia="zh-CN"/>
        </w:rPr>
        <w:t>3.长汀县社会经济简况</w:t>
      </w:r>
      <w:bookmarkEnd w:id="44"/>
    </w:p>
    <w:p w14:paraId="052DDA20">
      <w:pPr>
        <w:numPr>
          <w:ilvl w:val="0"/>
          <w:numId w:val="0"/>
        </w:numPr>
        <w:ind w:left="0" w:leftChars="0" w:firstLine="560" w:firstLineChars="200"/>
        <w:outlineLvl w:val="9"/>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2024年，全年预计（下同）实现地区生产总值增长4.3%；一般公共预算总收入18.7亿元、增长35%，地方一般公共预算收入12.19亿元、增长20.6%；固定资产投资增长11%；社会消费品零售总额增长4.1%；城镇、农村居民人均可支配收入分别增长5%、8%。</w:t>
      </w:r>
    </w:p>
    <w:p w14:paraId="51E7A8BE">
      <w:pPr>
        <w:pStyle w:val="12"/>
        <w:ind w:firstLine="560" w:firstLineChars="200"/>
        <w:outlineLvl w:val="1"/>
        <w:rPr>
          <w:rFonts w:hint="eastAsia"/>
          <w:lang w:val="en-US" w:eastAsia="zh-CN"/>
        </w:rPr>
      </w:pPr>
      <w:bookmarkStart w:id="45" w:name="_Toc32278"/>
      <w:r>
        <w:rPr>
          <w:rFonts w:hint="eastAsia" w:ascii="微软雅黑" w:hAnsi="微软雅黑" w:eastAsia="微软雅黑" w:cs="微软雅黑"/>
          <w:i w:val="0"/>
          <w:iCs w:val="0"/>
          <w:caps w:val="0"/>
          <w:color w:val="000000"/>
          <w:spacing w:val="0"/>
          <w:sz w:val="28"/>
          <w:szCs w:val="28"/>
          <w:shd w:val="clear" w:fill="FFFFFF"/>
          <w:lang w:val="en-US" w:eastAsia="zh-CN"/>
        </w:rPr>
        <w:t>4.</w:t>
      </w:r>
      <w:r>
        <w:rPr>
          <w:rFonts w:hint="eastAsia" w:ascii="微软雅黑" w:hAnsi="微软雅黑" w:eastAsia="微软雅黑" w:cs="微软雅黑"/>
          <w:i w:val="0"/>
          <w:iCs w:val="0"/>
          <w:caps w:val="0"/>
          <w:color w:val="000000"/>
          <w:spacing w:val="0"/>
          <w:sz w:val="28"/>
          <w:szCs w:val="28"/>
          <w:shd w:val="clear" w:fill="FFFFFF"/>
          <w:lang w:eastAsia="zh-CN"/>
        </w:rPr>
        <w:t>长汀县</w:t>
      </w:r>
      <w:r>
        <w:rPr>
          <w:rFonts w:ascii="微软雅黑" w:hAnsi="微软雅黑" w:eastAsia="微软雅黑" w:cs="微软雅黑"/>
          <w:i w:val="0"/>
          <w:iCs w:val="0"/>
          <w:caps w:val="0"/>
          <w:color w:val="000000"/>
          <w:spacing w:val="0"/>
          <w:sz w:val="28"/>
          <w:szCs w:val="28"/>
          <w:shd w:val="clear" w:fill="FFFFFF"/>
        </w:rPr>
        <w:t>行政区域范围</w:t>
      </w:r>
      <w:bookmarkEnd w:id="45"/>
    </w:p>
    <w:p w14:paraId="7B231561">
      <w:pPr>
        <w:bidi w:val="0"/>
        <w:rPr>
          <w:rFonts w:hint="eastAsia"/>
          <w:lang w:val="en-US" w:eastAsia="zh-CN"/>
        </w:rPr>
      </w:pPr>
      <w:r>
        <w:rPr>
          <w:rFonts w:hint="eastAsia" w:ascii="微软雅黑" w:hAnsi="微软雅黑" w:eastAsia="微软雅黑" w:cs="微软雅黑"/>
          <w:i w:val="0"/>
          <w:iCs w:val="0"/>
          <w:caps w:val="0"/>
          <w:color w:val="000000"/>
          <w:spacing w:val="0"/>
          <w:sz w:val="28"/>
          <w:szCs w:val="28"/>
          <w:shd w:val="clear" w:fill="FFFFFF"/>
          <w:lang w:eastAsia="zh-CN"/>
        </w:rPr>
        <w:t xml:space="preserve">    长汀县</w:t>
      </w:r>
      <w:r>
        <w:rPr>
          <w:rFonts w:ascii="微软雅黑" w:hAnsi="微软雅黑" w:eastAsia="微软雅黑" w:cs="微软雅黑"/>
          <w:i w:val="0"/>
          <w:iCs w:val="0"/>
          <w:caps w:val="0"/>
          <w:color w:val="000000"/>
          <w:spacing w:val="0"/>
          <w:sz w:val="28"/>
          <w:szCs w:val="28"/>
          <w:shd w:val="clear" w:fill="FFFFFF"/>
        </w:rPr>
        <w:t>行政</w:t>
      </w:r>
      <w:r>
        <w:rPr>
          <w:rFonts w:hint="eastAsia" w:ascii="微软雅黑" w:hAnsi="微软雅黑" w:eastAsia="微软雅黑" w:cs="微软雅黑"/>
          <w:i w:val="0"/>
          <w:iCs w:val="0"/>
          <w:caps w:val="0"/>
          <w:color w:val="000000"/>
          <w:spacing w:val="0"/>
          <w:sz w:val="28"/>
          <w:szCs w:val="28"/>
          <w:shd w:val="clear" w:fill="FFFFFF"/>
          <w:lang w:val="en-US" w:eastAsia="zh-CN"/>
        </w:rPr>
        <w:t>区域范围，辖18个乡（镇）307个村（居），总面积为3112.42平方公里。</w:t>
      </w:r>
      <w:r>
        <w:rPr>
          <w:rFonts w:ascii="微软雅黑" w:hAnsi="微软雅黑" w:eastAsia="微软雅黑" w:cs="微软雅黑"/>
          <w:i w:val="0"/>
          <w:iCs w:val="0"/>
          <w:caps w:val="0"/>
          <w:color w:val="000000"/>
          <w:spacing w:val="0"/>
          <w:sz w:val="28"/>
          <w:szCs w:val="28"/>
          <w:shd w:val="clear" w:fill="FFFFFF"/>
        </w:rPr>
        <w:t>2023年末2024年初,常住人口39.28万人，城镇化率55.49%，城镇人口21.79万人（</w:t>
      </w:r>
      <w:r>
        <w:rPr>
          <w:rFonts w:hint="eastAsia" w:ascii="微软雅黑" w:hAnsi="微软雅黑" w:eastAsia="微软雅黑" w:cs="微软雅黑"/>
          <w:i w:val="0"/>
          <w:iCs w:val="0"/>
          <w:caps w:val="0"/>
          <w:color w:val="000000"/>
          <w:spacing w:val="0"/>
          <w:sz w:val="28"/>
          <w:szCs w:val="28"/>
          <w:shd w:val="clear" w:fill="FFFFFF"/>
        </w:rPr>
        <w:t>统计公报数</w:t>
      </w:r>
      <w:r>
        <w:rPr>
          <w:rFonts w:ascii="微软雅黑" w:hAnsi="微软雅黑" w:eastAsia="微软雅黑" w:cs="微软雅黑"/>
          <w:i w:val="0"/>
          <w:iCs w:val="0"/>
          <w:caps w:val="0"/>
          <w:color w:val="000000"/>
          <w:spacing w:val="0"/>
          <w:sz w:val="28"/>
          <w:szCs w:val="28"/>
          <w:shd w:val="clear" w:fill="FFFFFF"/>
        </w:rPr>
        <w:t>）</w:t>
      </w:r>
      <w:r>
        <w:rPr>
          <w:rFonts w:hint="eastAsia" w:ascii="微软雅黑" w:hAnsi="微软雅黑" w:eastAsia="微软雅黑" w:cs="微软雅黑"/>
          <w:i w:val="0"/>
          <w:iCs w:val="0"/>
          <w:caps w:val="0"/>
          <w:color w:val="000000"/>
          <w:spacing w:val="0"/>
          <w:sz w:val="28"/>
          <w:szCs w:val="28"/>
          <w:shd w:val="clear" w:fill="FFFFFF"/>
          <w:lang w:eastAsia="zh-CN"/>
        </w:rPr>
        <w:t>。</w:t>
      </w:r>
      <w:r>
        <w:rPr>
          <w:rFonts w:ascii="微软雅黑" w:hAnsi="微软雅黑" w:eastAsia="微软雅黑" w:cs="微软雅黑"/>
          <w:i w:val="0"/>
          <w:iCs w:val="0"/>
          <w:caps w:val="0"/>
          <w:color w:val="000000"/>
          <w:spacing w:val="0"/>
          <w:sz w:val="28"/>
          <w:szCs w:val="28"/>
          <w:shd w:val="clear" w:fill="FFFFFF"/>
        </w:rPr>
        <w:t>2024年</w:t>
      </w:r>
      <w:r>
        <w:rPr>
          <w:rFonts w:hint="eastAsia" w:ascii="微软雅黑" w:hAnsi="微软雅黑" w:eastAsia="微软雅黑" w:cs="微软雅黑"/>
          <w:i w:val="0"/>
          <w:iCs w:val="0"/>
          <w:caps w:val="0"/>
          <w:color w:val="000000"/>
          <w:spacing w:val="0"/>
          <w:sz w:val="28"/>
          <w:szCs w:val="28"/>
          <w:shd w:val="clear" w:fill="FFFFFF"/>
          <w:lang w:val="en-US" w:eastAsia="zh-CN"/>
        </w:rPr>
        <w:t>死亡人数2789人，死亡率千分之7.1。</w:t>
      </w:r>
    </w:p>
    <w:p w14:paraId="48D2507B">
      <w:pPr>
        <w:tabs>
          <w:tab w:val="left" w:pos="839"/>
        </w:tabs>
        <w:bidi w:val="0"/>
        <w:ind w:firstLine="560" w:firstLineChars="200"/>
        <w:jc w:val="left"/>
        <w:rPr>
          <w:rFonts w:hint="eastAsia" w:ascii="微软雅黑" w:hAnsi="微软雅黑" w:eastAsia="微软雅黑" w:cs="微软雅黑"/>
          <w:i w:val="0"/>
          <w:iCs w:val="0"/>
          <w:caps w:val="0"/>
          <w:color w:val="000000"/>
          <w:spacing w:val="0"/>
          <w:sz w:val="28"/>
          <w:szCs w:val="28"/>
          <w:shd w:val="clear" w:fill="FFFFFF"/>
          <w:lang w:val="en-US" w:eastAsia="zh-CN"/>
        </w:rPr>
      </w:pPr>
      <w:r>
        <w:rPr>
          <w:rFonts w:ascii="微软雅黑" w:hAnsi="微软雅黑" w:eastAsia="微软雅黑" w:cs="微软雅黑"/>
          <w:i w:val="0"/>
          <w:iCs w:val="0"/>
          <w:caps w:val="0"/>
          <w:color w:val="000000"/>
          <w:spacing w:val="0"/>
          <w:sz w:val="28"/>
          <w:szCs w:val="28"/>
          <w:shd w:val="clear" w:fill="FFFFFF"/>
        </w:rPr>
        <w:t>2023年，长汀县辖13个镇、5个乡：汀州镇、馆前镇、河田镇、大同镇、古城镇、新桥镇、童坊镇、南山镇、濯田镇、四都镇、涂坊镇、三洲镇、策武镇、铁长乡、庵杰乡、宣成乡、红山乡、羊牯乡。202</w:t>
      </w:r>
      <w:r>
        <w:rPr>
          <w:rFonts w:hint="eastAsia" w:ascii="微软雅黑" w:hAnsi="微软雅黑" w:eastAsia="微软雅黑" w:cs="微软雅黑"/>
          <w:i w:val="0"/>
          <w:iCs w:val="0"/>
          <w:caps w:val="0"/>
          <w:color w:val="000000"/>
          <w:spacing w:val="0"/>
          <w:sz w:val="28"/>
          <w:szCs w:val="28"/>
          <w:shd w:val="clear" w:fill="FFFFFF"/>
          <w:lang w:eastAsia="zh-CN"/>
        </w:rPr>
        <w:t>4</w:t>
      </w:r>
      <w:r>
        <w:rPr>
          <w:rFonts w:ascii="微软雅黑" w:hAnsi="微软雅黑" w:eastAsia="微软雅黑" w:cs="微软雅黑"/>
          <w:i w:val="0"/>
          <w:iCs w:val="0"/>
          <w:caps w:val="0"/>
          <w:color w:val="000000"/>
          <w:spacing w:val="0"/>
          <w:sz w:val="28"/>
          <w:szCs w:val="28"/>
          <w:shd w:val="clear" w:fill="FFFFFF"/>
        </w:rPr>
        <w:t>年末，户籍人口54.</w:t>
      </w:r>
      <w:r>
        <w:rPr>
          <w:rFonts w:hint="eastAsia" w:ascii="微软雅黑" w:hAnsi="微软雅黑" w:eastAsia="微软雅黑" w:cs="微软雅黑"/>
          <w:i w:val="0"/>
          <w:iCs w:val="0"/>
          <w:caps w:val="0"/>
          <w:color w:val="000000"/>
          <w:spacing w:val="0"/>
          <w:sz w:val="28"/>
          <w:szCs w:val="28"/>
          <w:shd w:val="clear" w:fill="FFFFFF"/>
          <w:lang w:eastAsia="zh-CN"/>
        </w:rPr>
        <w:t>29</w:t>
      </w:r>
      <w:r>
        <w:rPr>
          <w:rFonts w:ascii="微软雅黑" w:hAnsi="微软雅黑" w:eastAsia="微软雅黑" w:cs="微软雅黑"/>
          <w:i w:val="0"/>
          <w:iCs w:val="0"/>
          <w:caps w:val="0"/>
          <w:color w:val="000000"/>
          <w:spacing w:val="0"/>
          <w:sz w:val="28"/>
          <w:szCs w:val="28"/>
          <w:shd w:val="clear" w:fill="FFFFFF"/>
        </w:rPr>
        <w:t>万人，其中非农业人口21.90万人。 　　</w:t>
      </w:r>
      <w:r>
        <w:rPr>
          <w:rFonts w:hint="eastAsia" w:ascii="微软雅黑" w:hAnsi="微软雅黑" w:eastAsia="微软雅黑" w:cs="微软雅黑"/>
          <w:i w:val="0"/>
          <w:iCs w:val="0"/>
          <w:caps w:val="0"/>
          <w:color w:val="000000"/>
          <w:spacing w:val="0"/>
          <w:sz w:val="28"/>
          <w:szCs w:val="28"/>
          <w:shd w:val="clear" w:fill="FFFFFF"/>
          <w:lang w:val="en-US" w:eastAsia="zh-CN"/>
        </w:rPr>
        <w:t xml:space="preserve">  </w:t>
      </w:r>
    </w:p>
    <w:p w14:paraId="7231F1B4">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2023年，长汀县辖13个镇、5个乡，17个居委会、290个村委会。 　　</w:t>
      </w:r>
    </w:p>
    <w:p w14:paraId="6B85DE8D">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汀州镇：驻水东街，辖1</w:t>
      </w:r>
      <w:r>
        <w:rPr>
          <w:rFonts w:hint="eastAsia" w:ascii="微软雅黑" w:hAnsi="微软雅黑" w:eastAsia="微软雅黑" w:cs="微软雅黑"/>
          <w:i w:val="0"/>
          <w:iCs w:val="0"/>
          <w:caps w:val="0"/>
          <w:color w:val="000000"/>
          <w:spacing w:val="0"/>
          <w:sz w:val="28"/>
          <w:szCs w:val="28"/>
          <w:shd w:val="clear" w:fill="FFFFFF"/>
          <w:lang w:val="en-US" w:eastAsia="zh-CN"/>
        </w:rPr>
        <w:t>3</w:t>
      </w:r>
      <w:r>
        <w:rPr>
          <w:rFonts w:ascii="微软雅黑" w:hAnsi="微软雅黑" w:eastAsia="微软雅黑" w:cs="微软雅黑"/>
          <w:i w:val="0"/>
          <w:iCs w:val="0"/>
          <w:caps w:val="0"/>
          <w:color w:val="000000"/>
          <w:spacing w:val="0"/>
          <w:sz w:val="28"/>
          <w:szCs w:val="28"/>
          <w:shd w:val="clear" w:fill="FFFFFF"/>
        </w:rPr>
        <w:t>个</w:t>
      </w:r>
      <w:r>
        <w:rPr>
          <w:rFonts w:hint="eastAsia" w:ascii="微软雅黑" w:hAnsi="微软雅黑" w:eastAsia="微软雅黑" w:cs="微软雅黑"/>
          <w:i w:val="0"/>
          <w:iCs w:val="0"/>
          <w:caps w:val="0"/>
          <w:color w:val="auto"/>
          <w:spacing w:val="0"/>
          <w:sz w:val="28"/>
          <w:szCs w:val="28"/>
          <w:shd w:val="clear" w:fill="FFFFFF"/>
          <w:lang w:val="en-US" w:eastAsia="zh-CN"/>
        </w:rPr>
        <w:t>社区</w:t>
      </w:r>
      <w:r>
        <w:rPr>
          <w:rFonts w:ascii="微软雅黑" w:hAnsi="微软雅黑" w:eastAsia="微软雅黑" w:cs="微软雅黑"/>
          <w:i w:val="0"/>
          <w:iCs w:val="0"/>
          <w:caps w:val="0"/>
          <w:color w:val="000000"/>
          <w:spacing w:val="0"/>
          <w:sz w:val="28"/>
          <w:szCs w:val="28"/>
          <w:shd w:val="clear" w:fill="FFFFFF"/>
        </w:rPr>
        <w:t>（西门、南门、新民、水东、营背、祥和、中心坝、东门、和谐、梅林、卧龙、腾飞、城东）。 　　</w:t>
      </w:r>
    </w:p>
    <w:p w14:paraId="49DF1EC0">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馆前镇：驻汀东，辖14个村（汀东、复兴、赤坑、马坪、严坊、陈莲、东庄、义家、南材、珊坑、黄湖、云</w:t>
      </w:r>
      <w:r>
        <w:rPr>
          <w:rFonts w:hint="eastAsia" w:ascii="微软雅黑" w:hAnsi="微软雅黑" w:eastAsia="微软雅黑" w:cs="微软雅黑"/>
          <w:i w:val="0"/>
          <w:iCs w:val="0"/>
          <w:caps w:val="0"/>
          <w:color w:val="000000"/>
          <w:spacing w:val="0"/>
          <w:sz w:val="28"/>
          <w:szCs w:val="28"/>
          <w:shd w:val="clear" w:fill="FFFFFF"/>
          <w:lang w:val="en-US" w:eastAsia="zh-CN"/>
        </w:rPr>
        <w:t>峰</w:t>
      </w:r>
      <w:r>
        <w:rPr>
          <w:rFonts w:ascii="微软雅黑" w:hAnsi="微软雅黑" w:eastAsia="微软雅黑" w:cs="微软雅黑"/>
          <w:i w:val="0"/>
          <w:iCs w:val="0"/>
          <w:caps w:val="0"/>
          <w:color w:val="000000"/>
          <w:spacing w:val="0"/>
          <w:sz w:val="28"/>
          <w:szCs w:val="28"/>
          <w:shd w:val="clear" w:fill="FFFFFF"/>
        </w:rPr>
        <w:t>、小洋、坪埔）。 　　</w:t>
      </w:r>
    </w:p>
    <w:p w14:paraId="40879189">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河田镇：驻</w:t>
      </w:r>
      <w:r>
        <w:rPr>
          <w:rFonts w:hint="eastAsia" w:ascii="微软雅黑" w:hAnsi="微软雅黑" w:eastAsia="微软雅黑" w:cs="微软雅黑"/>
          <w:i w:val="0"/>
          <w:iCs w:val="0"/>
          <w:caps w:val="0"/>
          <w:color w:val="000000"/>
          <w:spacing w:val="0"/>
          <w:sz w:val="28"/>
          <w:szCs w:val="28"/>
          <w:shd w:val="clear" w:fill="FFFFFF"/>
          <w:lang w:val="en-US" w:eastAsia="zh-CN"/>
        </w:rPr>
        <w:t>下街</w:t>
      </w:r>
      <w:r>
        <w:rPr>
          <w:rFonts w:ascii="微软雅黑" w:hAnsi="微软雅黑" w:eastAsia="微软雅黑" w:cs="微软雅黑"/>
          <w:i w:val="0"/>
          <w:iCs w:val="0"/>
          <w:caps w:val="0"/>
          <w:color w:val="000000"/>
          <w:spacing w:val="0"/>
          <w:sz w:val="28"/>
          <w:szCs w:val="28"/>
          <w:shd w:val="clear" w:fill="FFFFFF"/>
        </w:rPr>
        <w:t>，辖31个村（上街、中街、下街、南塘、窑下、朱溪、游坊、芦竹、车寮、刘源、迳背、南塅、蔡坊、上修坊、根溪、中坊、马坑、伯湖、罗地、露湖、下修坊、明光、松林、晨光、寒坊、红中、半坑、南山下、余地、潘屋、黄坑）。 　　</w:t>
      </w:r>
    </w:p>
    <w:p w14:paraId="2EEBB8F6">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大同镇：驻东关营，辖3个社区（祥和、南屏、龙盛）和30个村（师福、高坑、黄屋、荣丰、翠峰、东埔、东街、计升、李岭、红卫、草坪、红湖、印黄、天邻、东关、南里、南寨、新庄、罗坊、红星、新民、七里、利星、光明、建明、新峰、郑坊、七古、正平、黄麻畲） 　　</w:t>
      </w:r>
    </w:p>
    <w:p w14:paraId="3BFE00FD">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古城镇：驻古城，辖17个村（中都、古城、井头、元坑、苦竹、长塅、下增、溜下、黄泥坪、青山、梁坑、马头山、南岩、杨梅溪、元口、黄陂、丁黄）。 　　</w:t>
      </w:r>
    </w:p>
    <w:p w14:paraId="0F06C819">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新桥镇：驻新桥，辖20个村（三坑口、潭复、石人、江坊、余陂、叶屋、鸳鸯、新桥、茜陂、岗头、任屋、牛岗、湖口、石槽、廖家、罗坑、樟树、新店、李家、刘坊）。 　　</w:t>
      </w:r>
    </w:p>
    <w:p w14:paraId="4E48A0E7">
      <w:pPr>
        <w:tabs>
          <w:tab w:val="left" w:pos="839"/>
        </w:tabs>
        <w:bidi w:val="0"/>
        <w:ind w:firstLine="560" w:firstLineChars="200"/>
        <w:jc w:val="left"/>
        <w:rPr>
          <w:rFonts w:hint="eastAsia" w:ascii="微软雅黑" w:hAnsi="微软雅黑" w:eastAsia="微软雅黑" w:cs="微软雅黑"/>
          <w:i w:val="0"/>
          <w:iCs w:val="0"/>
          <w:caps w:val="0"/>
          <w:color w:val="000000"/>
          <w:spacing w:val="0"/>
          <w:sz w:val="28"/>
          <w:szCs w:val="28"/>
          <w:shd w:val="clear" w:fill="FFFFFF"/>
          <w:lang w:val="en-US" w:eastAsia="zh-CN"/>
        </w:rPr>
      </w:pPr>
      <w:r>
        <w:rPr>
          <w:rFonts w:ascii="微软雅黑" w:hAnsi="微软雅黑" w:eastAsia="微软雅黑" w:cs="微软雅黑"/>
          <w:i w:val="0"/>
          <w:iCs w:val="0"/>
          <w:caps w:val="0"/>
          <w:color w:val="000000"/>
          <w:spacing w:val="0"/>
          <w:sz w:val="28"/>
          <w:szCs w:val="28"/>
          <w:shd w:val="clear" w:fill="FFFFFF"/>
        </w:rPr>
        <w:t>童坊镇：驻后龙山，辖24个村（赖屋、青潭、童坊、胡岭、长坝、新畲、林田、横坑、</w:t>
      </w:r>
      <w:r>
        <w:rPr>
          <w:rFonts w:hint="eastAsia" w:ascii="微软雅黑" w:hAnsi="微软雅黑" w:eastAsia="微软雅黑" w:cs="微软雅黑"/>
          <w:i w:val="0"/>
          <w:iCs w:val="0"/>
          <w:caps w:val="0"/>
          <w:color w:val="000000"/>
          <w:spacing w:val="0"/>
          <w:sz w:val="28"/>
          <w:szCs w:val="28"/>
          <w:shd w:val="clear" w:fill="FFFFFF"/>
          <w:lang w:val="en-US" w:eastAsia="zh-CN"/>
        </w:rPr>
        <w:t>拔</w:t>
      </w:r>
      <w:r>
        <w:rPr>
          <w:rFonts w:ascii="微软雅黑" w:hAnsi="微软雅黑" w:eastAsia="微软雅黑" w:cs="微软雅黑"/>
          <w:i w:val="0"/>
          <w:iCs w:val="0"/>
          <w:caps w:val="0"/>
          <w:color w:val="000000"/>
          <w:spacing w:val="0"/>
          <w:sz w:val="28"/>
          <w:szCs w:val="28"/>
          <w:shd w:val="clear" w:fill="FFFFFF"/>
        </w:rPr>
        <w:t>哩、举林、举河、双桥、下坑、肖岭、马罗、大埔、彭坊、红明、龙坊、葛坪、长春、黄坊、禾生、刘陈）。 　　</w:t>
      </w:r>
      <w:r>
        <w:rPr>
          <w:rFonts w:hint="eastAsia" w:ascii="微软雅黑" w:hAnsi="微软雅黑" w:eastAsia="微软雅黑" w:cs="微软雅黑"/>
          <w:i w:val="0"/>
          <w:iCs w:val="0"/>
          <w:caps w:val="0"/>
          <w:color w:val="000000"/>
          <w:spacing w:val="0"/>
          <w:sz w:val="28"/>
          <w:szCs w:val="28"/>
          <w:shd w:val="clear" w:fill="FFFFFF"/>
          <w:lang w:val="en-US" w:eastAsia="zh-CN"/>
        </w:rPr>
        <w:t xml:space="preserve">  </w:t>
      </w:r>
    </w:p>
    <w:p w14:paraId="7676E43C">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南山镇：驻南山，辖1个社区（官坊农场）和21个村（大坪、南田迳、南山、严婆田、大田、大坑、谢屋、洋背、朱坊、廖坊、连屋岗、邓坊、桥下、黄家庄、蔡屋、中复、长窠头、官坊、五杭、塘背、杨谢）。 　　</w:t>
      </w:r>
    </w:p>
    <w:p w14:paraId="7433BF7A">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濯田镇：驻街上，辖40个村（街上、坝尾、中坊、上庙、下洋、巷头、山田、龙田、横田、安仁、李湖、长高、丰口、左拔、升平、水头、羊赤、寨头、</w:t>
      </w:r>
      <w:r>
        <w:rPr>
          <w:rFonts w:hint="eastAsia" w:ascii="微软雅黑" w:hAnsi="微软雅黑" w:eastAsia="微软雅黑" w:cs="微软雅黑"/>
          <w:i w:val="0"/>
          <w:iCs w:val="0"/>
          <w:caps w:val="0"/>
          <w:color w:val="000000"/>
          <w:spacing w:val="0"/>
          <w:sz w:val="28"/>
          <w:szCs w:val="28"/>
          <w:shd w:val="clear" w:fill="FFFFFF"/>
          <w:lang w:val="en-US" w:eastAsia="zh-CN"/>
        </w:rPr>
        <w:t>连</w:t>
      </w:r>
      <w:r>
        <w:rPr>
          <w:rFonts w:ascii="微软雅黑" w:hAnsi="微软雅黑" w:eastAsia="微软雅黑" w:cs="微软雅黑"/>
          <w:i w:val="0"/>
          <w:iCs w:val="0"/>
          <w:caps w:val="0"/>
          <w:color w:val="000000"/>
          <w:spacing w:val="0"/>
          <w:sz w:val="28"/>
          <w:szCs w:val="28"/>
          <w:shd w:val="clear" w:fill="FFFFFF"/>
        </w:rPr>
        <w:t>湖、陈屋、</w:t>
      </w:r>
      <w:r>
        <w:rPr>
          <w:rFonts w:hint="eastAsia" w:ascii="微软雅黑" w:hAnsi="微软雅黑" w:eastAsia="微软雅黑" w:cs="微软雅黑"/>
          <w:i w:val="0"/>
          <w:iCs w:val="0"/>
          <w:caps w:val="0"/>
          <w:color w:val="000000"/>
          <w:spacing w:val="0"/>
          <w:sz w:val="28"/>
          <w:szCs w:val="28"/>
          <w:shd w:val="clear" w:fill="FFFFFF"/>
          <w:lang w:val="en-US" w:eastAsia="zh-CN"/>
        </w:rPr>
        <w:t>露</w:t>
      </w:r>
      <w:r>
        <w:rPr>
          <w:rFonts w:ascii="微软雅黑" w:hAnsi="微软雅黑" w:eastAsia="微软雅黑" w:cs="微软雅黑"/>
          <w:i w:val="0"/>
          <w:iCs w:val="0"/>
          <w:caps w:val="0"/>
          <w:color w:val="000000"/>
          <w:spacing w:val="0"/>
          <w:sz w:val="28"/>
          <w:szCs w:val="28"/>
          <w:shd w:val="clear" w:fill="FFFFFF"/>
        </w:rPr>
        <w:t>潭、南安、永巫、梅迳、长兰、美西、园当、塍背、湖头、</w:t>
      </w:r>
      <w:r>
        <w:rPr>
          <w:rFonts w:hint="eastAsia" w:ascii="微软雅黑" w:hAnsi="微软雅黑" w:eastAsia="微软雅黑" w:cs="微软雅黑"/>
          <w:i w:val="0"/>
          <w:iCs w:val="0"/>
          <w:caps w:val="0"/>
          <w:color w:val="000000"/>
          <w:spacing w:val="0"/>
          <w:sz w:val="28"/>
          <w:szCs w:val="28"/>
          <w:shd w:val="clear" w:fill="FFFFFF"/>
          <w:lang w:val="en-US" w:eastAsia="zh-CN"/>
        </w:rPr>
        <w:t>塅</w:t>
      </w:r>
      <w:r>
        <w:rPr>
          <w:rFonts w:ascii="微软雅黑" w:hAnsi="微软雅黑" w:eastAsia="微软雅黑" w:cs="微软雅黑"/>
          <w:i w:val="0"/>
          <w:iCs w:val="0"/>
          <w:caps w:val="0"/>
          <w:color w:val="000000"/>
          <w:spacing w:val="0"/>
          <w:sz w:val="28"/>
          <w:szCs w:val="28"/>
          <w:shd w:val="clear" w:fill="FFFFFF"/>
        </w:rPr>
        <w:t>上、河东、长巫、刘坊、刘坑头、美溪、水口、同睦、东山、上塘、刘坑） 　　</w:t>
      </w:r>
    </w:p>
    <w:p w14:paraId="22E35DEA">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四都镇：驻同仁，辖18个村（楼子坝、荣坑、溪口、上蕉、渔溪、新华、红都、同仁、圭田、坪埔、羊</w:t>
      </w:r>
      <w:r>
        <w:rPr>
          <w:rFonts w:hint="eastAsia" w:ascii="微软雅黑" w:hAnsi="微软雅黑" w:eastAsia="微软雅黑" w:cs="微软雅黑"/>
          <w:i w:val="0"/>
          <w:iCs w:val="0"/>
          <w:caps w:val="0"/>
          <w:color w:val="000000"/>
          <w:spacing w:val="0"/>
          <w:sz w:val="28"/>
          <w:szCs w:val="28"/>
          <w:shd w:val="clear" w:fill="FFFFFF"/>
          <w:lang w:val="en-US" w:eastAsia="zh-CN"/>
        </w:rPr>
        <w:t>古</w:t>
      </w:r>
      <w:r>
        <w:rPr>
          <w:rFonts w:ascii="微软雅黑" w:hAnsi="微软雅黑" w:eastAsia="微软雅黑" w:cs="微软雅黑"/>
          <w:i w:val="0"/>
          <w:iCs w:val="0"/>
          <w:caps w:val="0"/>
          <w:color w:val="000000"/>
          <w:spacing w:val="0"/>
          <w:sz w:val="28"/>
          <w:szCs w:val="28"/>
          <w:shd w:val="clear" w:fill="FFFFFF"/>
        </w:rPr>
        <w:t>岭、汤屋、红寮、上湖、小金、琉璃、下坪、谢坊）。 　　</w:t>
      </w:r>
    </w:p>
    <w:p w14:paraId="28096F6C">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涂坊镇：驻涂坊，辖15个村（迳口、马屋、赖坊、涂坊、红坊、溪源、河甫、慈坑、邱坑、洋坑、罗屋岗、元坑、中华、吴坑、扁岭）。</w:t>
      </w:r>
    </w:p>
    <w:p w14:paraId="4A1733F5">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 xml:space="preserve"> 三洲镇：驻三洲，辖8个村（小潭、曾坊、丘坊、</w:t>
      </w:r>
      <w:r>
        <w:rPr>
          <w:rFonts w:hint="eastAsia" w:ascii="微软雅黑" w:hAnsi="微软雅黑" w:eastAsia="微软雅黑" w:cs="微软雅黑"/>
          <w:i w:val="0"/>
          <w:iCs w:val="0"/>
          <w:caps w:val="0"/>
          <w:color w:val="000000"/>
          <w:spacing w:val="0"/>
          <w:sz w:val="28"/>
          <w:szCs w:val="28"/>
          <w:shd w:val="clear" w:fill="FFFFFF"/>
          <w:lang w:val="en-US" w:eastAsia="zh-CN"/>
        </w:rPr>
        <w:t>蓝</w:t>
      </w:r>
      <w:r>
        <w:rPr>
          <w:rFonts w:ascii="微软雅黑" w:hAnsi="微软雅黑" w:eastAsia="微软雅黑" w:cs="微软雅黑"/>
          <w:i w:val="0"/>
          <w:iCs w:val="0"/>
          <w:caps w:val="0"/>
          <w:color w:val="000000"/>
          <w:spacing w:val="0"/>
          <w:sz w:val="28"/>
          <w:szCs w:val="28"/>
          <w:shd w:val="clear" w:fill="FFFFFF"/>
        </w:rPr>
        <w:t>坊、三洲、小溪头、桐坝、戴坊）。 　　</w:t>
      </w:r>
    </w:p>
    <w:p w14:paraId="3167715C">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策武镇：驻</w:t>
      </w:r>
      <w:r>
        <w:rPr>
          <w:rFonts w:hint="eastAsia" w:ascii="微软雅黑" w:hAnsi="微软雅黑" w:eastAsia="微软雅黑" w:cs="微软雅黑"/>
          <w:i w:val="0"/>
          <w:iCs w:val="0"/>
          <w:caps w:val="0"/>
          <w:color w:val="000000"/>
          <w:spacing w:val="0"/>
          <w:sz w:val="28"/>
          <w:szCs w:val="28"/>
          <w:shd w:val="clear" w:fill="FFFFFF"/>
          <w:lang w:val="en-US" w:eastAsia="zh-CN"/>
        </w:rPr>
        <w:t>策田</w:t>
      </w:r>
      <w:r>
        <w:rPr>
          <w:rFonts w:ascii="微软雅黑" w:hAnsi="微软雅黑" w:eastAsia="微软雅黑" w:cs="微软雅黑"/>
          <w:i w:val="0"/>
          <w:iCs w:val="0"/>
          <w:caps w:val="0"/>
          <w:color w:val="000000"/>
          <w:spacing w:val="0"/>
          <w:sz w:val="28"/>
          <w:szCs w:val="28"/>
          <w:shd w:val="clear" w:fill="FFFFFF"/>
        </w:rPr>
        <w:t>，辖1个社区（幸福）和14个村（策田、策星、林田、当坑、高田、红江、德联、陈坊、河梁、李城、李田、南坑、南溪、黄馆）。 　</w:t>
      </w:r>
    </w:p>
    <w:p w14:paraId="3934B5C4">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铁长乡：驻铁长，辖4个村（铁长、芦地、张地、洋坊）。 　　</w:t>
      </w:r>
    </w:p>
    <w:p w14:paraId="13E67F2D">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 xml:space="preserve">庵杰乡：驻庵杰，辖5个村（庵杰、涵前、上赤、黄坑、长科）。 </w:t>
      </w:r>
    </w:p>
    <w:p w14:paraId="435101B1">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宣成乡：驻寨背，辖8个村（长桥、畲心、寨背、下畲、兰田、泮溪、溪源、中畲）。 　　</w:t>
      </w:r>
    </w:p>
    <w:p w14:paraId="1711B874">
      <w:pPr>
        <w:tabs>
          <w:tab w:val="left" w:pos="839"/>
        </w:tabs>
        <w:bidi w:val="0"/>
        <w:ind w:firstLine="560" w:firstLineChars="200"/>
        <w:jc w:val="left"/>
        <w:rPr>
          <w:rFonts w:ascii="微软雅黑" w:hAnsi="微软雅黑" w:eastAsia="微软雅黑" w:cs="微软雅黑"/>
          <w:i w:val="0"/>
          <w:iCs w:val="0"/>
          <w:caps w:val="0"/>
          <w:color w:val="000000"/>
          <w:spacing w:val="0"/>
          <w:sz w:val="28"/>
          <w:szCs w:val="28"/>
          <w:shd w:val="clear" w:fill="FFFFFF"/>
        </w:rPr>
      </w:pPr>
      <w:r>
        <w:rPr>
          <w:rFonts w:ascii="微软雅黑" w:hAnsi="微软雅黑" w:eastAsia="微软雅黑" w:cs="微软雅黑"/>
          <w:i w:val="0"/>
          <w:iCs w:val="0"/>
          <w:caps w:val="0"/>
          <w:color w:val="000000"/>
          <w:spacing w:val="0"/>
          <w:sz w:val="28"/>
          <w:szCs w:val="28"/>
          <w:shd w:val="clear" w:fill="FFFFFF"/>
        </w:rPr>
        <w:t>红山乡：驻腊口，辖11个村（红塅（当地人称为塅头）、腊溪、中坪、苏竹、元岭、童上、苏陂、山阳、山车、赤土、上坪） 　　</w:t>
      </w:r>
    </w:p>
    <w:p w14:paraId="404EA5C6">
      <w:pPr>
        <w:bidi w:val="0"/>
        <w:rPr>
          <w:rFonts w:hint="eastAsia"/>
          <w:lang w:val="en-US" w:eastAsia="zh-CN"/>
        </w:rPr>
      </w:pPr>
      <w:r>
        <w:rPr>
          <w:rFonts w:ascii="微软雅黑" w:hAnsi="微软雅黑" w:eastAsia="微软雅黑" w:cs="微软雅黑"/>
          <w:i w:val="0"/>
          <w:iCs w:val="0"/>
          <w:caps w:val="0"/>
          <w:color w:val="000000"/>
          <w:spacing w:val="0"/>
          <w:sz w:val="28"/>
          <w:szCs w:val="28"/>
          <w:shd w:val="clear" w:fill="FFFFFF"/>
        </w:rPr>
        <w:t>羊牯乡：驻羊牯，辖10个村（羊牯、对畔、吉坑、罗坑头、白头、官坑、余家地、周家地、百坪、百丈）。</w:t>
      </w:r>
    </w:p>
    <w:p w14:paraId="0441E06C">
      <w:pPr>
        <w:numPr>
          <w:ilvl w:val="0"/>
          <w:numId w:val="0"/>
        </w:numPr>
        <w:ind w:left="0" w:leftChars="0" w:firstLine="0" w:firstLineChars="0"/>
        <w:outlineLvl w:val="0"/>
        <w:rPr>
          <w:rFonts w:hint="eastAsia" w:ascii="微软雅黑" w:hAnsi="微软雅黑" w:eastAsia="微软雅黑" w:cs="微软雅黑"/>
          <w:b/>
          <w:bCs/>
          <w:i w:val="0"/>
          <w:iCs w:val="0"/>
          <w:caps w:val="0"/>
          <w:color w:val="000000"/>
          <w:spacing w:val="0"/>
          <w:sz w:val="28"/>
          <w:szCs w:val="28"/>
          <w:shd w:val="clear" w:fill="FFFFFF"/>
          <w:lang w:val="en-US" w:eastAsia="zh-CN"/>
        </w:rPr>
      </w:pPr>
      <w:bookmarkStart w:id="46" w:name="_Toc20474"/>
      <w:r>
        <w:rPr>
          <w:rFonts w:hint="eastAsia" w:ascii="微软雅黑" w:hAnsi="微软雅黑" w:eastAsia="微软雅黑" w:cs="微软雅黑"/>
          <w:b/>
          <w:bCs/>
          <w:i w:val="0"/>
          <w:iCs w:val="0"/>
          <w:caps w:val="0"/>
          <w:color w:val="000000"/>
          <w:spacing w:val="0"/>
          <w:sz w:val="28"/>
          <w:szCs w:val="28"/>
          <w:shd w:val="clear" w:fill="FFFFFF"/>
          <w:lang w:val="en-US" w:eastAsia="zh-CN"/>
        </w:rPr>
        <w:t>二、殡葬设施现状概况</w:t>
      </w:r>
      <w:bookmarkEnd w:id="46"/>
    </w:p>
    <w:p w14:paraId="212A1D65">
      <w:pPr>
        <w:bidi w:val="0"/>
        <w:outlineLvl w:val="1"/>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 xml:space="preserve">   </w:t>
      </w:r>
      <w:bookmarkStart w:id="47" w:name="_Toc9715"/>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1. 殡葬设施现状总体情况</w:t>
      </w:r>
      <w:bookmarkEnd w:id="47"/>
    </w:p>
    <w:p w14:paraId="2EBECDCC">
      <w:pPr>
        <w:bidi w:val="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 xml:space="preserve">   长汀县目前尚未形成覆盖城乡的殡葬公共服务体系。全县现有经营性公墓松鹤陵园墓穴规模约13075个，已安放墓穴11575个，仅余1500个未利用墓穴；长汀县殡仪服务中心骨灰存放格位7500个，现已安放5500个，仅余2000个未利用骨灰存放格位；长汀县目前共建有5处零散烈士墓集中安葬点，基本能满足零散葬烈士墓集中安葬要求；长汀县目前尚无生命公园投入使用；农村骨灰堂建设正处于起步阶段；以至少50年为使用周期测算，长汀县墓穴需求量缺口约245265个。殡葬服务设施方面，现有长汀县殡仪服务中心，乡镇尚无殡仪服务站，村（社区）尚无集中办丧场所。长汀县现有殡葬设施，远不能满足殡葬公共服务的需求。</w:t>
      </w:r>
    </w:p>
    <w:p w14:paraId="42422938">
      <w:pPr>
        <w:bidi w:val="0"/>
        <w:jc w:val="center"/>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殡葬设施现状表</w:t>
      </w:r>
    </w:p>
    <w:tbl>
      <w:tblPr>
        <w:tblStyle w:val="15"/>
        <w:tblpPr w:leftFromText="180" w:rightFromText="180" w:vertAnchor="text" w:horzAnchor="page" w:tblpXSpec="center" w:tblpY="255"/>
        <w:tblOverlap w:val="never"/>
        <w:tblW w:w="535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7"/>
        <w:gridCol w:w="2245"/>
        <w:gridCol w:w="1795"/>
        <w:gridCol w:w="1292"/>
        <w:gridCol w:w="1292"/>
        <w:gridCol w:w="1292"/>
      </w:tblGrid>
      <w:tr w14:paraId="21A9B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jc w:val="center"/>
        </w:trPr>
        <w:tc>
          <w:tcPr>
            <w:tcW w:w="987" w:type="dxa"/>
            <w:vAlign w:val="center"/>
          </w:tcPr>
          <w:p w14:paraId="2E8CB341">
            <w:pPr>
              <w:pStyle w:val="14"/>
              <w:spacing w:before="114" w:line="221" w:lineRule="auto"/>
              <w:ind w:left="0" w:leftChars="0" w:right="0" w:rightChars="0" w:firstLine="0" w:firstLineChars="0"/>
              <w:jc w:val="center"/>
              <w:rPr>
                <w:rFonts w:hint="eastAsia" w:ascii="宋体" w:hAnsi="宋体" w:eastAsia="宋体" w:cs="宋体"/>
                <w:b w:val="0"/>
                <w:bCs w:val="0"/>
              </w:rPr>
            </w:pPr>
            <w:r>
              <w:rPr>
                <w:rFonts w:hint="eastAsia" w:ascii="宋体" w:hAnsi="宋体" w:eastAsia="宋体" w:cs="宋体"/>
                <w:b w:val="0"/>
                <w:bCs w:val="0"/>
                <w:spacing w:val="-5"/>
                <w14:textOutline w14:w="4358" w14:cap="sq" w14:cmpd="sng">
                  <w14:solidFill>
                    <w14:srgbClr w14:val="000000"/>
                  </w14:solidFill>
                  <w14:prstDash w14:val="solid"/>
                  <w14:bevel/>
                </w14:textOutline>
              </w:rPr>
              <w:t>序号</w:t>
            </w:r>
          </w:p>
        </w:tc>
        <w:tc>
          <w:tcPr>
            <w:tcW w:w="2245" w:type="dxa"/>
            <w:vAlign w:val="center"/>
          </w:tcPr>
          <w:p w14:paraId="653A0741">
            <w:pPr>
              <w:pStyle w:val="14"/>
              <w:spacing w:before="114" w:line="221" w:lineRule="auto"/>
              <w:ind w:left="0" w:leftChars="0" w:right="0" w:rightChars="0" w:firstLine="0" w:firstLineChars="0"/>
              <w:jc w:val="center"/>
              <w:rPr>
                <w:rFonts w:hint="eastAsia" w:ascii="宋体" w:hAnsi="宋体" w:eastAsia="宋体" w:cs="宋体"/>
                <w:b w:val="0"/>
                <w:bCs w:val="0"/>
                <w:spacing w:val="-5"/>
                <w14:textOutline w14:w="4358" w14:cap="sq" w14:cmpd="sng">
                  <w14:solidFill>
                    <w14:srgbClr w14:val="000000"/>
                  </w14:solidFill>
                  <w14:prstDash w14:val="solid"/>
                  <w14:bevel/>
                </w14:textOutline>
              </w:rPr>
            </w:pPr>
            <w:r>
              <w:rPr>
                <w:rFonts w:hint="eastAsia" w:ascii="宋体" w:hAnsi="宋体" w:eastAsia="宋体" w:cs="宋体"/>
                <w:b w:val="0"/>
                <w:bCs w:val="0"/>
                <w:spacing w:val="-5"/>
                <w14:textOutline w14:w="4358" w14:cap="sq" w14:cmpd="sng">
                  <w14:solidFill>
                    <w14:srgbClr w14:val="000000"/>
                  </w14:solidFill>
                  <w14:prstDash w14:val="solid"/>
                  <w14:bevel/>
                </w14:textOutline>
              </w:rPr>
              <w:t>名称</w:t>
            </w:r>
          </w:p>
        </w:tc>
        <w:tc>
          <w:tcPr>
            <w:tcW w:w="1795" w:type="dxa"/>
            <w:vAlign w:val="center"/>
          </w:tcPr>
          <w:p w14:paraId="1237CA99">
            <w:pPr>
              <w:pStyle w:val="14"/>
              <w:spacing w:before="114" w:line="221" w:lineRule="auto"/>
              <w:ind w:left="0" w:leftChars="0" w:right="0" w:rightChars="0" w:firstLine="0" w:firstLineChars="0"/>
              <w:jc w:val="center"/>
              <w:rPr>
                <w:rFonts w:hint="eastAsia" w:ascii="宋体" w:hAnsi="宋体" w:eastAsia="宋体" w:cs="宋体"/>
                <w:b w:val="0"/>
                <w:bCs w:val="0"/>
                <w:spacing w:val="-5"/>
                <w14:textOutline w14:w="4358" w14:cap="sq" w14:cmpd="sng">
                  <w14:solidFill>
                    <w14:srgbClr w14:val="000000"/>
                  </w14:solidFill>
                  <w14:prstDash w14:val="solid"/>
                  <w14:bevel/>
                </w14:textOutline>
              </w:rPr>
            </w:pPr>
            <w:r>
              <w:rPr>
                <w:rFonts w:hint="eastAsia" w:ascii="宋体" w:hAnsi="宋体" w:eastAsia="宋体" w:cs="宋体"/>
                <w:b w:val="0"/>
                <w:bCs w:val="0"/>
                <w:spacing w:val="-5"/>
                <w14:textOutline w14:w="4358" w14:cap="sq" w14:cmpd="sng">
                  <w14:solidFill>
                    <w14:srgbClr w14:val="000000"/>
                  </w14:solidFill>
                  <w14:prstDash w14:val="solid"/>
                  <w14:bevel/>
                </w14:textOutline>
              </w:rPr>
              <w:t>安放总</w:t>
            </w:r>
            <w:r>
              <w:rPr>
                <w:rFonts w:hint="eastAsia" w:ascii="宋体" w:hAnsi="宋体" w:eastAsia="宋体" w:cs="宋体"/>
                <w:b w:val="0"/>
                <w:bCs w:val="0"/>
                <w:spacing w:val="-5"/>
                <w:lang w:eastAsia="zh-CN"/>
                <w14:textOutline w14:w="4358" w14:cap="sq" w14:cmpd="sng">
                  <w14:solidFill>
                    <w14:srgbClr w14:val="000000"/>
                  </w14:solidFill>
                  <w14:prstDash w14:val="solid"/>
                  <w14:bevel/>
                </w14:textOutline>
              </w:rPr>
              <w:t>量</w:t>
            </w:r>
          </w:p>
        </w:tc>
        <w:tc>
          <w:tcPr>
            <w:tcW w:w="1292" w:type="dxa"/>
            <w:vAlign w:val="center"/>
          </w:tcPr>
          <w:p w14:paraId="1941B858">
            <w:pPr>
              <w:pStyle w:val="14"/>
              <w:spacing w:before="114" w:line="221" w:lineRule="auto"/>
              <w:ind w:left="0" w:leftChars="0" w:right="0" w:rightChars="0" w:firstLine="0" w:firstLineChars="0"/>
              <w:jc w:val="center"/>
              <w:rPr>
                <w:rFonts w:hint="eastAsia" w:ascii="宋体" w:hAnsi="宋体" w:eastAsia="宋体" w:cs="宋体"/>
                <w:b w:val="0"/>
                <w:bCs w:val="0"/>
                <w:spacing w:val="-5"/>
                <w:lang w:eastAsia="zh-CN"/>
                <w14:textOutline w14:w="4358" w14:cap="sq" w14:cmpd="sng">
                  <w14:solidFill>
                    <w14:srgbClr w14:val="000000"/>
                  </w14:solidFill>
                  <w14:prstDash w14:val="solid"/>
                  <w14:bevel/>
                </w14:textOutline>
              </w:rPr>
            </w:pPr>
            <w:r>
              <w:rPr>
                <w:rFonts w:hint="eastAsia" w:ascii="宋体" w:hAnsi="宋体" w:eastAsia="宋体" w:cs="宋体"/>
                <w:b w:val="0"/>
                <w:bCs w:val="0"/>
                <w:spacing w:val="-5"/>
                <w:lang w:eastAsia="zh-CN"/>
                <w14:textOutline w14:w="4358" w14:cap="sq" w14:cmpd="sng">
                  <w14:solidFill>
                    <w14:srgbClr w14:val="000000"/>
                  </w14:solidFill>
                  <w14:prstDash w14:val="solid"/>
                  <w14:bevel/>
                </w14:textOutline>
              </w:rPr>
              <w:t>安放存量</w:t>
            </w:r>
          </w:p>
        </w:tc>
        <w:tc>
          <w:tcPr>
            <w:tcW w:w="1292" w:type="dxa"/>
            <w:vAlign w:val="center"/>
          </w:tcPr>
          <w:p w14:paraId="292241A7">
            <w:pPr>
              <w:pStyle w:val="14"/>
              <w:spacing w:before="114" w:line="220" w:lineRule="auto"/>
              <w:ind w:left="0" w:leftChars="0" w:right="0" w:rightChars="0" w:firstLine="0" w:firstLineChars="0"/>
              <w:jc w:val="center"/>
              <w:rPr>
                <w:rFonts w:hint="eastAsia" w:ascii="宋体" w:hAnsi="宋体" w:eastAsia="宋体" w:cs="宋体"/>
                <w:b w:val="0"/>
                <w:bCs w:val="0"/>
                <w:spacing w:val="-3"/>
                <w:lang w:eastAsia="zh-CN"/>
                <w14:textOutline w14:w="4358" w14:cap="sq" w14:cmpd="sng">
                  <w14:solidFill>
                    <w14:srgbClr w14:val="000000"/>
                  </w14:solidFill>
                  <w14:prstDash w14:val="solid"/>
                  <w14:bevel/>
                </w14:textOutline>
              </w:rPr>
            </w:pPr>
            <w:r>
              <w:rPr>
                <w:rFonts w:hint="eastAsia" w:ascii="宋体" w:hAnsi="宋体" w:eastAsia="宋体" w:cs="宋体"/>
                <w:b w:val="0"/>
                <w:bCs w:val="0"/>
                <w:spacing w:val="-3"/>
                <w:lang w:eastAsia="zh-CN"/>
                <w14:textOutline w14:w="4358" w14:cap="sq" w14:cmpd="sng">
                  <w14:solidFill>
                    <w14:srgbClr w14:val="000000"/>
                  </w14:solidFill>
                  <w14:prstDash w14:val="solid"/>
                  <w14:bevel/>
                </w14:textOutline>
              </w:rPr>
              <w:t>火化能力</w:t>
            </w:r>
          </w:p>
        </w:tc>
        <w:tc>
          <w:tcPr>
            <w:tcW w:w="1292" w:type="dxa"/>
            <w:vAlign w:val="center"/>
          </w:tcPr>
          <w:p w14:paraId="2628A9D6">
            <w:pPr>
              <w:pStyle w:val="14"/>
              <w:spacing w:before="114" w:line="220" w:lineRule="auto"/>
              <w:ind w:left="0" w:leftChars="0" w:right="0" w:rightChars="0" w:firstLine="0" w:firstLineChars="0"/>
              <w:jc w:val="center"/>
              <w:rPr>
                <w:rFonts w:hint="eastAsia" w:ascii="宋体" w:hAnsi="宋体" w:eastAsia="宋体" w:cs="宋体"/>
                <w:b w:val="0"/>
                <w:bCs w:val="0"/>
                <w:spacing w:val="-3"/>
                <w:lang w:eastAsia="zh-CN"/>
                <w14:textOutline w14:w="4358" w14:cap="sq" w14:cmpd="sng">
                  <w14:solidFill>
                    <w14:srgbClr w14:val="000000"/>
                  </w14:solidFill>
                  <w14:prstDash w14:val="solid"/>
                  <w14:bevel/>
                </w14:textOutline>
              </w:rPr>
            </w:pPr>
            <w:r>
              <w:rPr>
                <w:rFonts w:hint="eastAsia" w:ascii="宋体" w:hAnsi="宋体" w:eastAsia="宋体" w:cs="宋体"/>
                <w:b w:val="0"/>
                <w:bCs w:val="0"/>
                <w:spacing w:val="-3"/>
                <w:lang w:eastAsia="zh-CN"/>
                <w14:textOutline w14:w="4358" w14:cap="sq" w14:cmpd="sng">
                  <w14:solidFill>
                    <w14:srgbClr w14:val="000000"/>
                  </w14:solidFill>
                  <w14:prstDash w14:val="solid"/>
                  <w14:bevel/>
                </w14:textOutline>
              </w:rPr>
              <w:t>备注</w:t>
            </w:r>
          </w:p>
        </w:tc>
      </w:tr>
      <w:tr w14:paraId="363D2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7" w:type="dxa"/>
            <w:vAlign w:val="center"/>
          </w:tcPr>
          <w:p w14:paraId="76B7675E">
            <w:pPr>
              <w:spacing w:before="153" w:line="188" w:lineRule="auto"/>
              <w:ind w:left="0" w:leftChars="0" w:right="0" w:rightChars="0" w:firstLine="0" w:firstLineChars="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245" w:type="dxa"/>
            <w:vAlign w:val="center"/>
          </w:tcPr>
          <w:p w14:paraId="04FE2FC5">
            <w:pPr>
              <w:pStyle w:val="14"/>
              <w:spacing w:before="113" w:line="219" w:lineRule="auto"/>
              <w:ind w:left="0" w:leftChars="0" w:right="0" w:rightChars="0" w:firstLine="0" w:firstLineChars="0"/>
              <w:jc w:val="center"/>
              <w:rPr>
                <w:rFonts w:hint="eastAsia"/>
                <w:spacing w:val="-3"/>
                <w:lang w:eastAsia="zh-CN"/>
              </w:rPr>
            </w:pPr>
            <w:r>
              <w:rPr>
                <w:rFonts w:hint="eastAsia"/>
                <w:spacing w:val="-3"/>
                <w:lang w:val="en-US" w:eastAsia="zh-CN"/>
              </w:rPr>
              <w:t>长汀县殡仪服务中心</w:t>
            </w:r>
          </w:p>
        </w:tc>
        <w:tc>
          <w:tcPr>
            <w:tcW w:w="1795" w:type="dxa"/>
            <w:vAlign w:val="center"/>
          </w:tcPr>
          <w:p w14:paraId="13E8F13D">
            <w:pPr>
              <w:pStyle w:val="14"/>
              <w:spacing w:before="114" w:line="221" w:lineRule="auto"/>
              <w:ind w:left="0" w:leftChars="0" w:right="0" w:rightChars="0" w:firstLine="0" w:firstLineChars="0"/>
              <w:jc w:val="center"/>
              <w:rPr>
                <w:rFonts w:hint="eastAsia"/>
                <w:lang w:eastAsia="zh-CN"/>
              </w:rPr>
            </w:pPr>
            <w:r>
              <w:rPr>
                <w:rFonts w:hint="eastAsia"/>
                <w:lang w:eastAsia="zh-CN"/>
              </w:rPr>
              <w:t>骨灰格位7500个</w:t>
            </w:r>
          </w:p>
        </w:tc>
        <w:tc>
          <w:tcPr>
            <w:tcW w:w="1292" w:type="dxa"/>
            <w:vAlign w:val="center"/>
          </w:tcPr>
          <w:p w14:paraId="54FD73A2">
            <w:pPr>
              <w:pStyle w:val="14"/>
              <w:spacing w:before="113" w:line="220" w:lineRule="auto"/>
              <w:ind w:left="0" w:leftChars="0" w:right="0" w:rightChars="0" w:firstLine="0" w:firstLineChars="0"/>
              <w:jc w:val="center"/>
              <w:rPr>
                <w:rFonts w:hint="eastAsia" w:eastAsia="宋体"/>
                <w:lang w:eastAsia="zh-CN"/>
              </w:rPr>
            </w:pPr>
            <w:r>
              <w:rPr>
                <w:rFonts w:hint="eastAsia" w:eastAsia="宋体"/>
                <w:lang w:eastAsia="zh-CN"/>
              </w:rPr>
              <w:t>骨灰格位2000个</w:t>
            </w:r>
          </w:p>
        </w:tc>
        <w:tc>
          <w:tcPr>
            <w:tcW w:w="1292" w:type="dxa"/>
            <w:vAlign w:val="center"/>
          </w:tcPr>
          <w:p w14:paraId="04B1D25D">
            <w:pPr>
              <w:pStyle w:val="14"/>
              <w:spacing w:before="113" w:line="220" w:lineRule="auto"/>
              <w:ind w:left="0" w:leftChars="0" w:right="0" w:rightChars="0" w:firstLine="0" w:firstLineChars="0"/>
              <w:jc w:val="center"/>
              <w:rPr>
                <w:rFonts w:hint="eastAsia"/>
                <w:lang w:eastAsia="zh-CN"/>
              </w:rPr>
            </w:pPr>
            <w:r>
              <w:rPr>
                <w:rFonts w:hint="eastAsia"/>
                <w:lang w:eastAsia="zh-CN"/>
              </w:rPr>
              <w:t>3500具</w:t>
            </w:r>
          </w:p>
        </w:tc>
        <w:tc>
          <w:tcPr>
            <w:tcW w:w="1292" w:type="dxa"/>
            <w:vAlign w:val="center"/>
          </w:tcPr>
          <w:p w14:paraId="439B1E85">
            <w:pPr>
              <w:pStyle w:val="14"/>
              <w:spacing w:before="113" w:line="220" w:lineRule="auto"/>
              <w:ind w:left="0" w:leftChars="0" w:right="0" w:rightChars="0" w:firstLine="0" w:firstLineChars="0"/>
              <w:jc w:val="center"/>
              <w:rPr>
                <w:rFonts w:hint="eastAsia"/>
                <w:lang w:eastAsia="zh-CN"/>
              </w:rPr>
            </w:pPr>
          </w:p>
        </w:tc>
      </w:tr>
      <w:tr w14:paraId="44AEA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987" w:type="dxa"/>
            <w:vAlign w:val="center"/>
          </w:tcPr>
          <w:p w14:paraId="2621D27F">
            <w:pPr>
              <w:spacing w:before="153" w:line="188" w:lineRule="auto"/>
              <w:ind w:left="0" w:leftChars="0" w:right="0" w:rightChars="0" w:firstLine="0" w:firstLineChars="0"/>
              <w:jc w:val="center"/>
              <w:rPr>
                <w:rFonts w:hint="eastAsia" w:ascii="Times New Roman" w:hAnsi="Times New Roman" w:eastAsia="Times New Roman" w:cs="Times New Roman"/>
                <w:sz w:val="24"/>
                <w:szCs w:val="24"/>
                <w:lang w:eastAsia="zh-CN"/>
              </w:rPr>
            </w:pPr>
            <w:r>
              <w:rPr>
                <w:rFonts w:hint="eastAsia" w:eastAsia="Times New Roman" w:cs="Times New Roman"/>
                <w:sz w:val="24"/>
                <w:szCs w:val="24"/>
                <w:lang w:eastAsia="zh-CN"/>
              </w:rPr>
              <w:t>2</w:t>
            </w:r>
          </w:p>
        </w:tc>
        <w:tc>
          <w:tcPr>
            <w:tcW w:w="2245" w:type="dxa"/>
            <w:vAlign w:val="center"/>
          </w:tcPr>
          <w:p w14:paraId="6573A1D3">
            <w:pPr>
              <w:pStyle w:val="14"/>
              <w:spacing w:before="113" w:line="219" w:lineRule="auto"/>
              <w:ind w:left="0" w:leftChars="0" w:right="0" w:rightChars="0" w:firstLine="0" w:firstLineChars="0"/>
              <w:jc w:val="center"/>
              <w:rPr>
                <w:rFonts w:hint="eastAsia"/>
                <w:spacing w:val="-3"/>
                <w:lang w:eastAsia="zh-CN"/>
              </w:rPr>
            </w:pPr>
            <w:r>
              <w:rPr>
                <w:rFonts w:hint="eastAsia"/>
                <w:spacing w:val="-3"/>
                <w:lang w:val="en-US" w:eastAsia="zh-CN"/>
              </w:rPr>
              <w:t>松鹤陵园</w:t>
            </w:r>
          </w:p>
        </w:tc>
        <w:tc>
          <w:tcPr>
            <w:tcW w:w="1795" w:type="dxa"/>
            <w:vAlign w:val="center"/>
          </w:tcPr>
          <w:p w14:paraId="6C662D87">
            <w:pPr>
              <w:pStyle w:val="14"/>
              <w:spacing w:before="114" w:line="221" w:lineRule="auto"/>
              <w:ind w:left="0" w:leftChars="0" w:right="0" w:rightChars="0" w:firstLine="0" w:firstLineChars="0"/>
              <w:jc w:val="center"/>
              <w:rPr>
                <w:rFonts w:hint="eastAsia"/>
                <w:spacing w:val="-5"/>
                <w:lang w:eastAsia="zh-CN"/>
              </w:rPr>
            </w:pPr>
            <w:r>
              <w:rPr>
                <w:rFonts w:hint="eastAsia"/>
                <w:spacing w:val="-5"/>
                <w:lang w:eastAsia="zh-CN"/>
              </w:rPr>
              <w:t>公墓穴位13075个</w:t>
            </w:r>
          </w:p>
        </w:tc>
        <w:tc>
          <w:tcPr>
            <w:tcW w:w="1292" w:type="dxa"/>
            <w:vAlign w:val="center"/>
          </w:tcPr>
          <w:p w14:paraId="42C111F1">
            <w:pPr>
              <w:pStyle w:val="14"/>
              <w:spacing w:before="114" w:line="220" w:lineRule="auto"/>
              <w:ind w:left="0" w:leftChars="0" w:right="0" w:rightChars="0" w:firstLine="0" w:firstLineChars="0"/>
              <w:jc w:val="center"/>
              <w:rPr>
                <w:rFonts w:hint="eastAsia"/>
                <w:lang w:eastAsia="zh-CN"/>
              </w:rPr>
            </w:pPr>
            <w:r>
              <w:rPr>
                <w:rFonts w:hint="eastAsia"/>
                <w:lang w:eastAsia="zh-CN"/>
              </w:rPr>
              <w:t>公墓穴位1500个</w:t>
            </w:r>
          </w:p>
        </w:tc>
        <w:tc>
          <w:tcPr>
            <w:tcW w:w="1292" w:type="dxa"/>
            <w:vAlign w:val="center"/>
          </w:tcPr>
          <w:p w14:paraId="6C4F17BE">
            <w:pPr>
              <w:pStyle w:val="14"/>
              <w:spacing w:before="114" w:line="220" w:lineRule="auto"/>
              <w:ind w:left="0" w:leftChars="0" w:right="0" w:rightChars="0" w:firstLine="0" w:firstLineChars="0"/>
              <w:jc w:val="center"/>
              <w:rPr>
                <w:rFonts w:hint="eastAsia"/>
                <w:lang w:eastAsia="zh-CN"/>
              </w:rPr>
            </w:pPr>
          </w:p>
        </w:tc>
        <w:tc>
          <w:tcPr>
            <w:tcW w:w="1292" w:type="dxa"/>
            <w:vAlign w:val="center"/>
          </w:tcPr>
          <w:p w14:paraId="4220852C">
            <w:pPr>
              <w:pStyle w:val="14"/>
              <w:spacing w:before="114" w:line="220" w:lineRule="auto"/>
              <w:ind w:left="0" w:leftChars="0" w:right="0" w:rightChars="0" w:firstLine="0" w:firstLineChars="0"/>
              <w:jc w:val="center"/>
              <w:rPr>
                <w:rFonts w:hint="eastAsia"/>
                <w:lang w:eastAsia="zh-CN"/>
              </w:rPr>
            </w:pPr>
          </w:p>
        </w:tc>
      </w:tr>
      <w:tr w14:paraId="76FDD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987" w:type="dxa"/>
            <w:vAlign w:val="center"/>
          </w:tcPr>
          <w:p w14:paraId="3DB1560D">
            <w:pPr>
              <w:spacing w:before="153" w:line="188" w:lineRule="auto"/>
              <w:ind w:left="0" w:leftChars="0" w:right="0" w:rightChars="0" w:firstLine="0" w:firstLineChars="0"/>
              <w:jc w:val="center"/>
              <w:rPr>
                <w:rFonts w:hint="default" w:ascii="Times New Roman" w:hAnsi="Times New Roman" w:eastAsia="Times New Roman" w:cs="Times New Roman"/>
                <w:sz w:val="24"/>
                <w:szCs w:val="24"/>
                <w:lang w:val="en-US" w:eastAsia="zh-CN"/>
              </w:rPr>
            </w:pPr>
            <w:r>
              <w:rPr>
                <w:rFonts w:hint="eastAsia" w:eastAsia="Times New Roman" w:cs="Times New Roman"/>
                <w:sz w:val="24"/>
                <w:szCs w:val="24"/>
                <w:lang w:val="en-US" w:eastAsia="zh-CN"/>
              </w:rPr>
              <w:t>3</w:t>
            </w:r>
          </w:p>
        </w:tc>
        <w:tc>
          <w:tcPr>
            <w:tcW w:w="2245" w:type="dxa"/>
            <w:vAlign w:val="center"/>
          </w:tcPr>
          <w:p w14:paraId="0C52541C">
            <w:pPr>
              <w:pStyle w:val="14"/>
              <w:spacing w:before="113" w:line="219" w:lineRule="auto"/>
              <w:ind w:left="0" w:leftChars="0" w:right="0" w:rightChars="0" w:firstLine="0" w:firstLineChars="0"/>
              <w:jc w:val="center"/>
            </w:pPr>
            <w:r>
              <w:rPr>
                <w:rFonts w:hint="eastAsia"/>
                <w:spacing w:val="-3"/>
                <w:lang w:val="en-US" w:eastAsia="zh-CN"/>
              </w:rPr>
              <w:t>零散烈士墓集中安葬点</w:t>
            </w:r>
          </w:p>
        </w:tc>
        <w:tc>
          <w:tcPr>
            <w:tcW w:w="1795" w:type="dxa"/>
            <w:vAlign w:val="center"/>
          </w:tcPr>
          <w:p w14:paraId="5C0F957F">
            <w:pPr>
              <w:pStyle w:val="14"/>
              <w:spacing w:before="114" w:line="221" w:lineRule="auto"/>
              <w:ind w:left="0" w:leftChars="0" w:right="0" w:rightChars="0" w:firstLine="0" w:firstLineChars="0"/>
              <w:jc w:val="center"/>
              <w:rPr>
                <w:rFonts w:hint="eastAsia"/>
                <w:lang w:eastAsia="zh-CN"/>
              </w:rPr>
            </w:pPr>
            <w:r>
              <w:rPr>
                <w:rFonts w:hint="eastAsia"/>
                <w:lang w:eastAsia="zh-CN"/>
              </w:rPr>
              <w:t>穴位6500个</w:t>
            </w:r>
          </w:p>
        </w:tc>
        <w:tc>
          <w:tcPr>
            <w:tcW w:w="1292" w:type="dxa"/>
            <w:vAlign w:val="center"/>
          </w:tcPr>
          <w:p w14:paraId="1EEA374E">
            <w:pPr>
              <w:pStyle w:val="14"/>
              <w:spacing w:before="114" w:line="220" w:lineRule="auto"/>
              <w:ind w:left="0" w:leftChars="0" w:right="0" w:rightChars="0" w:firstLine="0" w:firstLineChars="0"/>
              <w:jc w:val="center"/>
              <w:rPr>
                <w:rFonts w:hint="eastAsia"/>
                <w:lang w:eastAsia="zh-CN"/>
              </w:rPr>
            </w:pPr>
            <w:r>
              <w:rPr>
                <w:rFonts w:hint="eastAsia"/>
                <w:lang w:eastAsia="zh-CN"/>
              </w:rPr>
              <w:t>穴位4500个</w:t>
            </w:r>
          </w:p>
        </w:tc>
        <w:tc>
          <w:tcPr>
            <w:tcW w:w="1292" w:type="dxa"/>
            <w:vAlign w:val="center"/>
          </w:tcPr>
          <w:p w14:paraId="22C08803">
            <w:pPr>
              <w:pStyle w:val="14"/>
              <w:spacing w:before="114" w:line="220" w:lineRule="auto"/>
              <w:ind w:left="0" w:leftChars="0" w:right="0" w:rightChars="0" w:firstLine="0" w:firstLineChars="0"/>
              <w:jc w:val="center"/>
              <w:rPr>
                <w:rFonts w:hint="eastAsia"/>
                <w:lang w:eastAsia="zh-CN"/>
              </w:rPr>
            </w:pPr>
          </w:p>
        </w:tc>
        <w:tc>
          <w:tcPr>
            <w:tcW w:w="1292" w:type="dxa"/>
            <w:vAlign w:val="center"/>
          </w:tcPr>
          <w:p w14:paraId="53697293">
            <w:pPr>
              <w:pStyle w:val="14"/>
              <w:spacing w:before="114" w:line="220" w:lineRule="auto"/>
              <w:ind w:left="0" w:leftChars="0" w:right="0" w:rightChars="0" w:firstLine="0" w:firstLineChars="0"/>
              <w:jc w:val="center"/>
              <w:rPr>
                <w:rFonts w:hint="eastAsia"/>
                <w:lang w:eastAsia="zh-CN"/>
              </w:rPr>
            </w:pPr>
          </w:p>
        </w:tc>
      </w:tr>
    </w:tbl>
    <w:p w14:paraId="5B8285ED">
      <w:pPr>
        <w:pStyle w:val="12"/>
        <w:rPr>
          <w:rFonts w:hint="eastAsia"/>
          <w:lang w:val="en-US" w:eastAsia="zh-CN"/>
        </w:rPr>
      </w:pPr>
    </w:p>
    <w:p w14:paraId="002D8D87">
      <w:pPr>
        <w:bidi w:val="0"/>
        <w:ind w:firstLine="560" w:firstLineChars="200"/>
        <w:outlineLvl w:val="1"/>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bookmarkStart w:id="48" w:name="_Toc5387"/>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2.主要存在的问题</w:t>
      </w:r>
      <w:bookmarkEnd w:id="48"/>
    </w:p>
    <w:p w14:paraId="243C26D4">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近年来，长汀县殡葬工作围绕“保基本、促改革、优服务”的总体思路，顺应社会关切，在“惠民殡、生态葬、文明祭”方面深化改革，在满足人民群众的殡葬需求方面取得了积极成效。但殡葬管理工作还存在不少薄弱环节，与党中央、国务院要求，与人民群众的期待还有差距，殡葬设施不完善、不平衡、不协调的问题。</w:t>
      </w:r>
    </w:p>
    <w:p w14:paraId="3402BFC8">
      <w:pPr>
        <w:bidi w:val="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 xml:space="preserve">    2.1公益性公墓等安放设施严重不足。全县目前仅有一家经营性公墓松鹤陵园，尚无一家县级公益性公墓，长汀县目前尚无生命公园投入使用，农村骨灰堂建设正处于起步阶段。公益性殡葬安放设施建设滞后于经济社会发展步伐，供给量难以完全满足群众需求。</w:t>
      </w:r>
    </w:p>
    <w:p w14:paraId="7E744481">
      <w:pPr>
        <w:bidi w:val="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 xml:space="preserve">    2.2殡葬服务设施不完善。现有长汀县殡仪服务中心，受场地影响，殡葬信息服务管理不到位，殡仪服务功能不完善、不充分，乡镇尚无殡仪服务站，村（社区）尚无集中办丧场所，不能有效为居民提供治丧便利。</w:t>
      </w:r>
    </w:p>
    <w:p w14:paraId="52290221">
      <w:pPr>
        <w:bidi w:val="0"/>
        <w:rPr>
          <w:rFonts w:hint="eastAsia"/>
          <w:lang w:val="en-US" w:eastAsia="zh-CN"/>
        </w:rPr>
      </w:pPr>
    </w:p>
    <w:p w14:paraId="4A842639">
      <w:pPr>
        <w:bidi w:val="0"/>
        <w:rPr>
          <w:rFonts w:hint="eastAsia"/>
          <w:lang w:val="en-US" w:eastAsia="zh-CN"/>
        </w:rPr>
      </w:pPr>
    </w:p>
    <w:p w14:paraId="408748EC">
      <w:pPr>
        <w:bidi w:val="0"/>
        <w:rPr>
          <w:rFonts w:hint="eastAsia"/>
          <w:lang w:val="en-US" w:eastAsia="zh-CN"/>
        </w:rPr>
      </w:pPr>
    </w:p>
    <w:p w14:paraId="099A1545">
      <w:pPr>
        <w:bidi w:val="0"/>
        <w:rPr>
          <w:rFonts w:hint="eastAsia"/>
          <w:lang w:val="en-US" w:eastAsia="zh-CN"/>
        </w:rPr>
      </w:pPr>
    </w:p>
    <w:p w14:paraId="2D9F394E">
      <w:pPr>
        <w:bidi w:val="0"/>
        <w:rPr>
          <w:rFonts w:hint="eastAsia"/>
          <w:lang w:val="en-US" w:eastAsia="zh-CN"/>
        </w:rPr>
      </w:pPr>
    </w:p>
    <w:p w14:paraId="76A6AAAD">
      <w:pPr>
        <w:numPr>
          <w:ilvl w:val="0"/>
          <w:numId w:val="0"/>
        </w:numPr>
        <w:ind w:left="0" w:leftChars="0" w:firstLine="0" w:firstLineChars="0"/>
        <w:jc w:val="center"/>
        <w:outlineLvl w:val="9"/>
        <w:rPr>
          <w:rFonts w:hint="eastAsia" w:ascii="微软雅黑" w:hAnsi="微软雅黑" w:eastAsia="微软雅黑" w:cs="微软雅黑"/>
          <w:b/>
          <w:bCs/>
          <w:i w:val="0"/>
          <w:iCs w:val="0"/>
          <w:caps w:val="0"/>
          <w:color w:val="000000"/>
          <w:spacing w:val="0"/>
          <w:sz w:val="36"/>
          <w:szCs w:val="36"/>
          <w:shd w:val="clear" w:fill="FFFFFF"/>
          <w:lang w:eastAsia="zh-CN"/>
        </w:rPr>
        <w:sectPr>
          <w:pgSz w:w="11906" w:h="16838"/>
          <w:pgMar w:top="1440" w:right="1800" w:bottom="1440" w:left="1800" w:header="851" w:footer="992" w:gutter="0"/>
          <w:pgNumType w:fmt="decimal"/>
          <w:cols w:space="425" w:num="1"/>
          <w:docGrid w:type="lines" w:linePitch="312" w:charSpace="0"/>
        </w:sectPr>
      </w:pPr>
    </w:p>
    <w:p w14:paraId="6A2675D9">
      <w:pPr>
        <w:numPr>
          <w:ilvl w:val="0"/>
          <w:numId w:val="0"/>
        </w:numPr>
        <w:ind w:left="0" w:leftChars="0" w:firstLine="0" w:firstLineChars="0"/>
        <w:jc w:val="center"/>
        <w:outlineLvl w:val="0"/>
        <w:rPr>
          <w:rFonts w:ascii="微软雅黑" w:hAnsi="微软雅黑" w:eastAsia="微软雅黑" w:cs="微软雅黑"/>
          <w:i w:val="0"/>
          <w:iCs w:val="0"/>
          <w:caps w:val="0"/>
          <w:color w:val="000000"/>
          <w:spacing w:val="0"/>
          <w:sz w:val="19"/>
          <w:szCs w:val="19"/>
          <w:shd w:val="clear" w:fill="FFFFFF"/>
        </w:rPr>
      </w:pPr>
      <w:bookmarkStart w:id="49" w:name="_Toc14568"/>
      <w:r>
        <w:rPr>
          <w:rFonts w:hint="eastAsia" w:ascii="微软雅黑" w:hAnsi="微软雅黑" w:eastAsia="微软雅黑" w:cs="微软雅黑"/>
          <w:b/>
          <w:bCs/>
          <w:i w:val="0"/>
          <w:iCs w:val="0"/>
          <w:caps w:val="0"/>
          <w:color w:val="000000"/>
          <w:spacing w:val="0"/>
          <w:sz w:val="36"/>
          <w:szCs w:val="36"/>
          <w:shd w:val="clear" w:fill="FFFFFF"/>
          <w:lang w:eastAsia="zh-CN"/>
        </w:rPr>
        <w:t>第三章  规模预测</w:t>
      </w:r>
      <w:bookmarkEnd w:id="49"/>
    </w:p>
    <w:p w14:paraId="5AAE5B3F">
      <w:pPr>
        <w:numPr>
          <w:ilvl w:val="0"/>
          <w:numId w:val="0"/>
        </w:numPr>
        <w:ind w:left="0" w:leftChars="0" w:firstLine="0" w:firstLineChars="0"/>
        <w:outlineLvl w:val="9"/>
        <w:rPr>
          <w:rFonts w:hint="eastAsia" w:ascii="微软雅黑" w:hAnsi="微软雅黑" w:eastAsia="微软雅黑" w:cs="微软雅黑"/>
          <w:b/>
          <w:bCs/>
          <w:i w:val="0"/>
          <w:iCs w:val="0"/>
          <w:caps w:val="0"/>
          <w:color w:val="000000"/>
          <w:spacing w:val="0"/>
          <w:sz w:val="28"/>
          <w:szCs w:val="28"/>
          <w:shd w:val="clear" w:fill="FFFFFF"/>
          <w:lang w:eastAsia="zh-CN"/>
        </w:rPr>
      </w:pPr>
    </w:p>
    <w:p w14:paraId="42D321ED">
      <w:pPr>
        <w:bidi w:val="0"/>
        <w:outlineLvl w:val="0"/>
        <w:rPr>
          <w:rFonts w:hint="eastAsia" w:ascii="微软雅黑" w:hAnsi="微软雅黑" w:eastAsia="微软雅黑" w:cs="微软雅黑"/>
          <w:b/>
          <w:bCs/>
          <w:i w:val="0"/>
          <w:iCs w:val="0"/>
          <w:caps w:val="0"/>
          <w:color w:val="000000"/>
          <w:spacing w:val="0"/>
          <w:sz w:val="28"/>
          <w:szCs w:val="28"/>
          <w:shd w:val="clear" w:fill="FFFFFF"/>
          <w:lang w:eastAsia="zh-CN"/>
        </w:rPr>
      </w:pPr>
      <w:bookmarkStart w:id="50" w:name="_Toc27984"/>
      <w:bookmarkStart w:id="51" w:name="_Toc28373"/>
      <w:r>
        <w:rPr>
          <w:rFonts w:hint="eastAsia" w:ascii="微软雅黑" w:hAnsi="微软雅黑" w:eastAsia="微软雅黑" w:cs="微软雅黑"/>
          <w:b/>
          <w:bCs/>
          <w:i w:val="0"/>
          <w:iCs w:val="0"/>
          <w:caps w:val="0"/>
          <w:color w:val="000000"/>
          <w:spacing w:val="0"/>
          <w:sz w:val="28"/>
          <w:szCs w:val="28"/>
          <w:shd w:val="clear" w:fill="FFFFFF"/>
          <w:lang w:eastAsia="zh-CN"/>
        </w:rPr>
        <w:t>一、人口</w:t>
      </w:r>
      <w:r>
        <w:rPr>
          <w:rFonts w:hint="eastAsia" w:ascii="微软雅黑" w:hAnsi="微软雅黑" w:eastAsia="微软雅黑" w:cs="微软雅黑"/>
          <w:b/>
          <w:bCs/>
          <w:i w:val="0"/>
          <w:iCs w:val="0"/>
          <w:caps w:val="0"/>
          <w:color w:val="000000"/>
          <w:spacing w:val="0"/>
          <w:sz w:val="28"/>
          <w:szCs w:val="28"/>
          <w:shd w:val="clear" w:fill="FFFFFF"/>
          <w:lang w:val="en-US" w:eastAsia="zh-CN"/>
        </w:rPr>
        <w:t>规模</w:t>
      </w:r>
      <w:r>
        <w:rPr>
          <w:rFonts w:hint="eastAsia" w:ascii="微软雅黑" w:hAnsi="微软雅黑" w:eastAsia="微软雅黑" w:cs="微软雅黑"/>
          <w:b/>
          <w:bCs/>
          <w:i w:val="0"/>
          <w:iCs w:val="0"/>
          <w:caps w:val="0"/>
          <w:color w:val="000000"/>
          <w:spacing w:val="0"/>
          <w:sz w:val="28"/>
          <w:szCs w:val="28"/>
          <w:shd w:val="clear" w:fill="FFFFFF"/>
          <w:lang w:eastAsia="zh-CN"/>
        </w:rPr>
        <w:t>及死亡人口规模预测</w:t>
      </w:r>
      <w:bookmarkEnd w:id="50"/>
      <w:bookmarkEnd w:id="51"/>
      <w:r>
        <w:rPr>
          <w:rFonts w:hint="eastAsia" w:ascii="微软雅黑" w:hAnsi="微软雅黑" w:eastAsia="微软雅黑" w:cs="微软雅黑"/>
          <w:b/>
          <w:bCs/>
          <w:i w:val="0"/>
          <w:iCs w:val="0"/>
          <w:caps w:val="0"/>
          <w:color w:val="000000"/>
          <w:spacing w:val="0"/>
          <w:sz w:val="28"/>
          <w:szCs w:val="28"/>
          <w:shd w:val="clear" w:fill="FFFFFF"/>
          <w:lang w:eastAsia="zh-CN"/>
        </w:rPr>
        <w:t xml:space="preserve"> </w:t>
      </w:r>
    </w:p>
    <w:p w14:paraId="25845BD5">
      <w:pPr>
        <w:spacing w:before="1" w:line="130" w:lineRule="exact"/>
        <w:rPr>
          <w:rFonts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 xml:space="preserve">    </w:t>
      </w:r>
    </w:p>
    <w:p w14:paraId="69785046">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1.人口规模预测：长汀县2024年度户籍人口为54.29万人，常住人口为39.28万人，城镇化率55.49%。至2030年常住人口约40.4万人，城镇化水平达到62%左右，中心城区人口约24.7万人；2035年常住人口约41.5万人，城镇化率72%，中心城区人口约29.4万人。</w:t>
      </w:r>
    </w:p>
    <w:p w14:paraId="085785AD">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2.死亡人口规模预测：规划期内死亡人口规模预测，长汀县常住人口死亡率约为7.10‰，预测2025年至2030年死亡人口累计约17029人，其中中心城区死亡人口累计约9966人；2025年至2035年死亡人口累计约31614人，中心城区死亡人口累计约19741人。</w:t>
      </w:r>
    </w:p>
    <w:p w14:paraId="7849E031">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p>
    <w:p w14:paraId="66ECD0C4">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bookmarkStart w:id="52" w:name="_Toc5287"/>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3.《长汀县国土空间总体规划（2020-2035）》</w:t>
      </w:r>
    </w:p>
    <w:p w14:paraId="69828808">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《长汀县国土空间总体规划（2020-2035）》人口预测：至2025年，规划全县常住人口44万人，城镇化水平达到 62%左右；至2035年，规划全县常住人口50万人，城镇化水平</w:t>
      </w:r>
      <w:r>
        <w:rPr>
          <w:rFonts w:hint="default" w:ascii="微软雅黑" w:hAnsi="微软雅黑" w:eastAsia="微软雅黑" w:cs="微软雅黑"/>
          <w:i w:val="0"/>
          <w:iCs w:val="0"/>
          <w:caps w:val="0"/>
          <w:color w:val="000000"/>
          <w:spacing w:val="0"/>
          <w:kern w:val="2"/>
          <w:sz w:val="28"/>
          <w:szCs w:val="28"/>
          <w:shd w:val="clear" w:fill="FFFFFF"/>
          <w:lang w:val="en-US" w:eastAsia="zh-CN" w:bidi="ar-SA"/>
        </w:rPr>
        <w:t>达到72%左右</w:t>
      </w: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w:t>
      </w:r>
    </w:p>
    <w:p w14:paraId="31CEA5EF">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4.长汀县人口规模及死亡人口规模预测总人口预测</w:t>
      </w:r>
    </w:p>
    <w:p w14:paraId="1C3B2116">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本次人口预测在国土空间总体规划人口预测的基础上，考虑国土空间总体规划基期为2019年，本规划基期为2024年，结合目前统计人口数据，人口增长的实际状况预测分析，参考本省同类县市分析依据。本规划人口增长率5‰，死亡率</w:t>
      </w:r>
      <w:r>
        <w:rPr>
          <w:rFonts w:hint="eastAsia" w:ascii="微软雅黑" w:hAnsi="微软雅黑" w:eastAsia="微软雅黑" w:cs="微软雅黑"/>
          <w:i w:val="0"/>
          <w:iCs w:val="0"/>
          <w:caps w:val="0"/>
          <w:color w:val="0000FF"/>
          <w:spacing w:val="0"/>
          <w:kern w:val="2"/>
          <w:sz w:val="28"/>
          <w:szCs w:val="28"/>
          <w:shd w:val="clear" w:fill="FFFFFF"/>
          <w:lang w:val="en-US" w:eastAsia="zh-CN" w:bidi="ar-SA"/>
        </w:rPr>
        <w:t>7.1‰</w:t>
      </w: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，城镇化率：2025年57%、2027年58%、2028年59%、2029年60%、2030年</w:t>
      </w:r>
      <w:r>
        <w:rPr>
          <w:rFonts w:hint="eastAsia" w:ascii="微软雅黑" w:hAnsi="微软雅黑" w:eastAsia="微软雅黑" w:cs="微软雅黑"/>
          <w:i w:val="0"/>
          <w:iCs w:val="0"/>
          <w:caps w:val="0"/>
          <w:color w:val="0000FF"/>
          <w:spacing w:val="0"/>
          <w:kern w:val="2"/>
          <w:sz w:val="28"/>
          <w:szCs w:val="28"/>
          <w:shd w:val="clear" w:fill="FFFFFF"/>
          <w:lang w:val="en-US" w:eastAsia="zh-CN" w:bidi="ar-SA"/>
        </w:rPr>
        <w:t>62%</w:t>
      </w: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、2031年63%、2032年65%、2033年67%、2034年69%、2035年</w:t>
      </w:r>
      <w:r>
        <w:rPr>
          <w:rFonts w:hint="eastAsia" w:ascii="微软雅黑" w:hAnsi="微软雅黑" w:eastAsia="微软雅黑" w:cs="微软雅黑"/>
          <w:i w:val="0"/>
          <w:iCs w:val="0"/>
          <w:caps w:val="0"/>
          <w:color w:val="0000FF"/>
          <w:spacing w:val="0"/>
          <w:kern w:val="2"/>
          <w:sz w:val="28"/>
          <w:szCs w:val="28"/>
          <w:shd w:val="clear" w:fill="FFFFFF"/>
          <w:lang w:val="en-US" w:eastAsia="zh-CN" w:bidi="ar-SA"/>
        </w:rPr>
        <w:t>72%</w:t>
      </w: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w:t>
      </w:r>
    </w:p>
    <w:p w14:paraId="25D30740">
      <w:pPr>
        <w:numPr>
          <w:ilvl w:val="0"/>
          <w:numId w:val="0"/>
        </w:numPr>
        <w:ind w:firstLine="480" w:firstLineChars="200"/>
        <w:jc w:val="center"/>
        <w:rPr>
          <w:rFonts w:hint="eastAsia" w:ascii="微软雅黑" w:hAnsi="微软雅黑" w:eastAsia="微软雅黑" w:cs="微软雅黑"/>
          <w:b/>
          <w:bCs/>
          <w:i w:val="0"/>
          <w:iCs w:val="0"/>
          <w:caps w:val="0"/>
          <w:color w:val="000000"/>
          <w:spacing w:val="0"/>
          <w:sz w:val="24"/>
          <w:szCs w:val="24"/>
          <w:shd w:val="clear" w:fill="FFFFFF"/>
          <w:lang w:val="en-US" w:eastAsia="zh-CN"/>
        </w:rPr>
      </w:pPr>
      <w:r>
        <w:rPr>
          <w:rFonts w:hint="eastAsia" w:ascii="微软雅黑" w:hAnsi="微软雅黑" w:eastAsia="微软雅黑" w:cs="微软雅黑"/>
          <w:b/>
          <w:bCs/>
          <w:i w:val="0"/>
          <w:iCs w:val="0"/>
          <w:caps w:val="0"/>
          <w:color w:val="000000"/>
          <w:spacing w:val="0"/>
          <w:sz w:val="24"/>
          <w:szCs w:val="24"/>
          <w:shd w:val="clear" w:fill="FFFFFF"/>
          <w:lang w:val="en-US" w:eastAsia="zh-CN"/>
        </w:rPr>
        <w:t>长汀县人口规模及死亡人口规模预测表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1219"/>
        <w:gridCol w:w="1219"/>
        <w:gridCol w:w="1219"/>
        <w:gridCol w:w="1219"/>
        <w:gridCol w:w="1481"/>
        <w:gridCol w:w="945"/>
      </w:tblGrid>
      <w:tr w14:paraId="7C4A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7F0451C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年份</w:t>
            </w:r>
          </w:p>
        </w:tc>
        <w:tc>
          <w:tcPr>
            <w:tcW w:w="1219" w:type="dxa"/>
          </w:tcPr>
          <w:p w14:paraId="07662A4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常住人口规模</w:t>
            </w:r>
          </w:p>
        </w:tc>
        <w:tc>
          <w:tcPr>
            <w:tcW w:w="1219" w:type="dxa"/>
          </w:tcPr>
          <w:p w14:paraId="075B03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中心城区人口</w:t>
            </w:r>
          </w:p>
        </w:tc>
        <w:tc>
          <w:tcPr>
            <w:tcW w:w="1219" w:type="dxa"/>
          </w:tcPr>
          <w:p w14:paraId="6719EE6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死亡率</w:t>
            </w:r>
          </w:p>
        </w:tc>
        <w:tc>
          <w:tcPr>
            <w:tcW w:w="1219" w:type="dxa"/>
          </w:tcPr>
          <w:p w14:paraId="5E279A7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死亡人数</w:t>
            </w:r>
          </w:p>
        </w:tc>
        <w:tc>
          <w:tcPr>
            <w:tcW w:w="1481" w:type="dxa"/>
          </w:tcPr>
          <w:p w14:paraId="094663C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中心城区死亡人数</w:t>
            </w:r>
          </w:p>
        </w:tc>
        <w:tc>
          <w:tcPr>
            <w:tcW w:w="945" w:type="dxa"/>
          </w:tcPr>
          <w:p w14:paraId="4262DE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备注</w:t>
            </w:r>
          </w:p>
        </w:tc>
      </w:tr>
      <w:tr w14:paraId="2D2D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0AD913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基期</w:t>
            </w:r>
          </w:p>
          <w:p w14:paraId="70C97C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预测</w:t>
            </w:r>
          </w:p>
        </w:tc>
        <w:tc>
          <w:tcPr>
            <w:tcW w:w="1219" w:type="dxa"/>
          </w:tcPr>
          <w:p w14:paraId="19C310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75F889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25015B0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21A6B41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481" w:type="dxa"/>
          </w:tcPr>
          <w:p w14:paraId="2C3852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945" w:type="dxa"/>
          </w:tcPr>
          <w:p w14:paraId="49CFF2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0779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2D16A7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2024</w:t>
            </w:r>
          </w:p>
        </w:tc>
        <w:tc>
          <w:tcPr>
            <w:tcW w:w="1219" w:type="dxa"/>
          </w:tcPr>
          <w:p w14:paraId="56F56A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39.28</w:t>
            </w:r>
          </w:p>
        </w:tc>
        <w:tc>
          <w:tcPr>
            <w:tcW w:w="1219" w:type="dxa"/>
          </w:tcPr>
          <w:p w14:paraId="07FED6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21.80</w:t>
            </w:r>
          </w:p>
        </w:tc>
        <w:tc>
          <w:tcPr>
            <w:tcW w:w="1219" w:type="dxa"/>
          </w:tcPr>
          <w:p w14:paraId="08EB67D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63F6B16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2789</w:t>
            </w:r>
          </w:p>
        </w:tc>
        <w:tc>
          <w:tcPr>
            <w:tcW w:w="1481" w:type="dxa"/>
          </w:tcPr>
          <w:p w14:paraId="0373A5A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1548</w:t>
            </w:r>
          </w:p>
        </w:tc>
        <w:tc>
          <w:tcPr>
            <w:tcW w:w="945" w:type="dxa"/>
          </w:tcPr>
          <w:p w14:paraId="6F75141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7525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vAlign w:val="top"/>
          </w:tcPr>
          <w:p w14:paraId="3886D4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bCs/>
                <w:sz w:val="32"/>
                <w:szCs w:val="32"/>
                <w:vertAlign w:val="baseline"/>
                <w:lang w:val="en-US" w:eastAsia="zh-CN"/>
              </w:rPr>
              <w:t>近期规划预测</w:t>
            </w:r>
          </w:p>
        </w:tc>
        <w:tc>
          <w:tcPr>
            <w:tcW w:w="1219" w:type="dxa"/>
            <w:vAlign w:val="top"/>
          </w:tcPr>
          <w:p w14:paraId="527234F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p>
        </w:tc>
        <w:tc>
          <w:tcPr>
            <w:tcW w:w="1219" w:type="dxa"/>
            <w:vAlign w:val="top"/>
          </w:tcPr>
          <w:p w14:paraId="32F628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p>
        </w:tc>
        <w:tc>
          <w:tcPr>
            <w:tcW w:w="1219" w:type="dxa"/>
            <w:vAlign w:val="top"/>
          </w:tcPr>
          <w:p w14:paraId="57D049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p>
        </w:tc>
        <w:tc>
          <w:tcPr>
            <w:tcW w:w="1219" w:type="dxa"/>
            <w:vAlign w:val="top"/>
          </w:tcPr>
          <w:p w14:paraId="1C9DD4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p>
        </w:tc>
        <w:tc>
          <w:tcPr>
            <w:tcW w:w="1481" w:type="dxa"/>
            <w:vAlign w:val="top"/>
          </w:tcPr>
          <w:p w14:paraId="758E048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p>
        </w:tc>
        <w:tc>
          <w:tcPr>
            <w:tcW w:w="945" w:type="dxa"/>
            <w:vAlign w:val="top"/>
          </w:tcPr>
          <w:p w14:paraId="482C986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1741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1AD450C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2025</w:t>
            </w:r>
          </w:p>
        </w:tc>
        <w:tc>
          <w:tcPr>
            <w:tcW w:w="1219" w:type="dxa"/>
          </w:tcPr>
          <w:p w14:paraId="1F14CB4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394764</w:t>
            </w:r>
          </w:p>
        </w:tc>
        <w:tc>
          <w:tcPr>
            <w:tcW w:w="1219" w:type="dxa"/>
          </w:tcPr>
          <w:p w14:paraId="05670DF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221068</w:t>
            </w:r>
          </w:p>
        </w:tc>
        <w:tc>
          <w:tcPr>
            <w:tcW w:w="1219" w:type="dxa"/>
          </w:tcPr>
          <w:p w14:paraId="611BC1A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61214BF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2803</w:t>
            </w:r>
          </w:p>
        </w:tc>
        <w:tc>
          <w:tcPr>
            <w:tcW w:w="1481" w:type="dxa"/>
          </w:tcPr>
          <w:p w14:paraId="421369A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1570</w:t>
            </w:r>
          </w:p>
        </w:tc>
        <w:tc>
          <w:tcPr>
            <w:tcW w:w="945" w:type="dxa"/>
          </w:tcPr>
          <w:p w14:paraId="610AFD6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15E4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2E9E550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2026</w:t>
            </w:r>
          </w:p>
        </w:tc>
        <w:tc>
          <w:tcPr>
            <w:tcW w:w="1219" w:type="dxa"/>
            <w:shd w:val="clear" w:color="auto" w:fill="auto"/>
            <w:vAlign w:val="top"/>
          </w:tcPr>
          <w:p w14:paraId="17B23E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396738</w:t>
            </w:r>
          </w:p>
        </w:tc>
        <w:tc>
          <w:tcPr>
            <w:tcW w:w="1219" w:type="dxa"/>
          </w:tcPr>
          <w:p w14:paraId="330A583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226141</w:t>
            </w:r>
          </w:p>
        </w:tc>
        <w:tc>
          <w:tcPr>
            <w:tcW w:w="1219" w:type="dxa"/>
          </w:tcPr>
          <w:p w14:paraId="5198EA3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78CB44A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2817</w:t>
            </w:r>
          </w:p>
        </w:tc>
        <w:tc>
          <w:tcPr>
            <w:tcW w:w="1481" w:type="dxa"/>
          </w:tcPr>
          <w:p w14:paraId="19E0BCD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1606</w:t>
            </w:r>
          </w:p>
        </w:tc>
        <w:tc>
          <w:tcPr>
            <w:tcW w:w="945" w:type="dxa"/>
          </w:tcPr>
          <w:p w14:paraId="37601C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16D9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409C776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2027</w:t>
            </w:r>
          </w:p>
        </w:tc>
        <w:tc>
          <w:tcPr>
            <w:tcW w:w="1219" w:type="dxa"/>
            <w:shd w:val="clear" w:color="auto" w:fill="auto"/>
            <w:vAlign w:val="top"/>
          </w:tcPr>
          <w:p w14:paraId="5E36FB4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398722</w:t>
            </w:r>
          </w:p>
        </w:tc>
        <w:tc>
          <w:tcPr>
            <w:tcW w:w="1219" w:type="dxa"/>
          </w:tcPr>
          <w:p w14:paraId="7C38645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231259</w:t>
            </w:r>
          </w:p>
        </w:tc>
        <w:tc>
          <w:tcPr>
            <w:tcW w:w="1219" w:type="dxa"/>
          </w:tcPr>
          <w:p w14:paraId="2FEA439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1D98D66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2831</w:t>
            </w:r>
          </w:p>
        </w:tc>
        <w:tc>
          <w:tcPr>
            <w:tcW w:w="1481" w:type="dxa"/>
          </w:tcPr>
          <w:p w14:paraId="0E33468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1642</w:t>
            </w:r>
          </w:p>
        </w:tc>
        <w:tc>
          <w:tcPr>
            <w:tcW w:w="945" w:type="dxa"/>
          </w:tcPr>
          <w:p w14:paraId="221FB1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4334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2C3A6DF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2028</w:t>
            </w:r>
          </w:p>
        </w:tc>
        <w:tc>
          <w:tcPr>
            <w:tcW w:w="1219" w:type="dxa"/>
            <w:shd w:val="clear" w:color="auto" w:fill="auto"/>
            <w:vAlign w:val="top"/>
          </w:tcPr>
          <w:p w14:paraId="6F7B273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400716</w:t>
            </w:r>
          </w:p>
        </w:tc>
        <w:tc>
          <w:tcPr>
            <w:tcW w:w="1219" w:type="dxa"/>
          </w:tcPr>
          <w:p w14:paraId="0AB8D0C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236422</w:t>
            </w:r>
          </w:p>
        </w:tc>
        <w:tc>
          <w:tcPr>
            <w:tcW w:w="1219" w:type="dxa"/>
          </w:tcPr>
          <w:p w14:paraId="5C094BA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29E6FC7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2845</w:t>
            </w:r>
          </w:p>
        </w:tc>
        <w:tc>
          <w:tcPr>
            <w:tcW w:w="1481" w:type="dxa"/>
          </w:tcPr>
          <w:p w14:paraId="7414312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1679</w:t>
            </w:r>
          </w:p>
        </w:tc>
        <w:tc>
          <w:tcPr>
            <w:tcW w:w="945" w:type="dxa"/>
          </w:tcPr>
          <w:p w14:paraId="0A1147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72A5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2D3C79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2029</w:t>
            </w:r>
          </w:p>
        </w:tc>
        <w:tc>
          <w:tcPr>
            <w:tcW w:w="1219" w:type="dxa"/>
            <w:shd w:val="clear" w:color="auto" w:fill="auto"/>
            <w:vAlign w:val="top"/>
          </w:tcPr>
          <w:p w14:paraId="412E97D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402720</w:t>
            </w:r>
          </w:p>
        </w:tc>
        <w:tc>
          <w:tcPr>
            <w:tcW w:w="1219" w:type="dxa"/>
          </w:tcPr>
          <w:p w14:paraId="648F82A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241632</w:t>
            </w:r>
          </w:p>
        </w:tc>
        <w:tc>
          <w:tcPr>
            <w:tcW w:w="1219" w:type="dxa"/>
          </w:tcPr>
          <w:p w14:paraId="5DD0C80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1D58C50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2859</w:t>
            </w:r>
          </w:p>
        </w:tc>
        <w:tc>
          <w:tcPr>
            <w:tcW w:w="1481" w:type="dxa"/>
          </w:tcPr>
          <w:p w14:paraId="7B96151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1716</w:t>
            </w:r>
          </w:p>
        </w:tc>
        <w:tc>
          <w:tcPr>
            <w:tcW w:w="945" w:type="dxa"/>
          </w:tcPr>
          <w:p w14:paraId="7938C8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4427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0E81D80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2030</w:t>
            </w:r>
          </w:p>
        </w:tc>
        <w:tc>
          <w:tcPr>
            <w:tcW w:w="1219" w:type="dxa"/>
            <w:shd w:val="clear" w:color="auto" w:fill="auto"/>
            <w:vAlign w:val="top"/>
          </w:tcPr>
          <w:p w14:paraId="736D270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404734</w:t>
            </w:r>
          </w:p>
        </w:tc>
        <w:tc>
          <w:tcPr>
            <w:tcW w:w="1219" w:type="dxa"/>
          </w:tcPr>
          <w:p w14:paraId="5DF0B6C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246888</w:t>
            </w:r>
          </w:p>
        </w:tc>
        <w:tc>
          <w:tcPr>
            <w:tcW w:w="1219" w:type="dxa"/>
          </w:tcPr>
          <w:p w14:paraId="4E056BC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6C63F80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2874</w:t>
            </w:r>
          </w:p>
        </w:tc>
        <w:tc>
          <w:tcPr>
            <w:tcW w:w="1481" w:type="dxa"/>
          </w:tcPr>
          <w:p w14:paraId="2C42D9F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1753</w:t>
            </w:r>
          </w:p>
        </w:tc>
        <w:tc>
          <w:tcPr>
            <w:tcW w:w="945" w:type="dxa"/>
          </w:tcPr>
          <w:p w14:paraId="23FFF21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37DA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32F0316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小计</w:t>
            </w:r>
          </w:p>
        </w:tc>
        <w:tc>
          <w:tcPr>
            <w:tcW w:w="1219" w:type="dxa"/>
            <w:shd w:val="clear" w:color="auto" w:fill="auto"/>
            <w:vAlign w:val="top"/>
          </w:tcPr>
          <w:p w14:paraId="7BDE0C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p>
        </w:tc>
        <w:tc>
          <w:tcPr>
            <w:tcW w:w="1219" w:type="dxa"/>
          </w:tcPr>
          <w:p w14:paraId="07D7E0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p>
        </w:tc>
        <w:tc>
          <w:tcPr>
            <w:tcW w:w="1219" w:type="dxa"/>
          </w:tcPr>
          <w:p w14:paraId="158D9C1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p>
        </w:tc>
        <w:tc>
          <w:tcPr>
            <w:tcW w:w="1219" w:type="dxa"/>
          </w:tcPr>
          <w:p w14:paraId="452C462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17029</w:t>
            </w:r>
          </w:p>
        </w:tc>
        <w:tc>
          <w:tcPr>
            <w:tcW w:w="1481" w:type="dxa"/>
          </w:tcPr>
          <w:p w14:paraId="6D21BF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9966</w:t>
            </w:r>
          </w:p>
        </w:tc>
        <w:tc>
          <w:tcPr>
            <w:tcW w:w="945" w:type="dxa"/>
          </w:tcPr>
          <w:p w14:paraId="5CF6571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3888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28F0CD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远期规划预测</w:t>
            </w:r>
          </w:p>
        </w:tc>
        <w:tc>
          <w:tcPr>
            <w:tcW w:w="1219" w:type="dxa"/>
            <w:shd w:val="clear" w:color="auto" w:fill="auto"/>
            <w:vAlign w:val="top"/>
          </w:tcPr>
          <w:p w14:paraId="02D330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57BCFB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4FA4AB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4FE7835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481" w:type="dxa"/>
          </w:tcPr>
          <w:p w14:paraId="60FA2B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945" w:type="dxa"/>
          </w:tcPr>
          <w:p w14:paraId="02457D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6F27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4F12B1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2031</w:t>
            </w:r>
          </w:p>
        </w:tc>
        <w:tc>
          <w:tcPr>
            <w:tcW w:w="1219" w:type="dxa"/>
            <w:shd w:val="clear" w:color="auto" w:fill="auto"/>
            <w:vAlign w:val="top"/>
          </w:tcPr>
          <w:p w14:paraId="4FB5D69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406758</w:t>
            </w:r>
          </w:p>
        </w:tc>
        <w:tc>
          <w:tcPr>
            <w:tcW w:w="1219" w:type="dxa"/>
          </w:tcPr>
          <w:p w14:paraId="500F642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256258</w:t>
            </w:r>
          </w:p>
        </w:tc>
        <w:tc>
          <w:tcPr>
            <w:tcW w:w="1219" w:type="dxa"/>
          </w:tcPr>
          <w:p w14:paraId="730DEC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575A029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2888</w:t>
            </w:r>
          </w:p>
        </w:tc>
        <w:tc>
          <w:tcPr>
            <w:tcW w:w="1481" w:type="dxa"/>
          </w:tcPr>
          <w:p w14:paraId="1213F8E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1819</w:t>
            </w:r>
          </w:p>
        </w:tc>
        <w:tc>
          <w:tcPr>
            <w:tcW w:w="945" w:type="dxa"/>
          </w:tcPr>
          <w:p w14:paraId="30899C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35CA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2A9E18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2032</w:t>
            </w:r>
          </w:p>
        </w:tc>
        <w:tc>
          <w:tcPr>
            <w:tcW w:w="1219" w:type="dxa"/>
            <w:shd w:val="clear" w:color="auto" w:fill="auto"/>
            <w:vAlign w:val="top"/>
          </w:tcPr>
          <w:p w14:paraId="0B890BF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408792</w:t>
            </w:r>
          </w:p>
        </w:tc>
        <w:tc>
          <w:tcPr>
            <w:tcW w:w="1219" w:type="dxa"/>
          </w:tcPr>
          <w:p w14:paraId="1C2F5AF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265715</w:t>
            </w:r>
          </w:p>
        </w:tc>
        <w:tc>
          <w:tcPr>
            <w:tcW w:w="1219" w:type="dxa"/>
          </w:tcPr>
          <w:p w14:paraId="7E5CF9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6635D93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2902</w:t>
            </w:r>
          </w:p>
        </w:tc>
        <w:tc>
          <w:tcPr>
            <w:tcW w:w="1481" w:type="dxa"/>
          </w:tcPr>
          <w:p w14:paraId="138F49B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1887</w:t>
            </w:r>
          </w:p>
        </w:tc>
        <w:tc>
          <w:tcPr>
            <w:tcW w:w="945" w:type="dxa"/>
          </w:tcPr>
          <w:p w14:paraId="013062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60EE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7A50B80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2033</w:t>
            </w:r>
          </w:p>
        </w:tc>
        <w:tc>
          <w:tcPr>
            <w:tcW w:w="1219" w:type="dxa"/>
            <w:shd w:val="clear" w:color="auto" w:fill="auto"/>
            <w:vAlign w:val="top"/>
          </w:tcPr>
          <w:p w14:paraId="3C58276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410836</w:t>
            </w:r>
          </w:p>
        </w:tc>
        <w:tc>
          <w:tcPr>
            <w:tcW w:w="1219" w:type="dxa"/>
          </w:tcPr>
          <w:p w14:paraId="21CA001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275260</w:t>
            </w:r>
          </w:p>
        </w:tc>
        <w:tc>
          <w:tcPr>
            <w:tcW w:w="1219" w:type="dxa"/>
          </w:tcPr>
          <w:p w14:paraId="0D3BF3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009D41E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2917</w:t>
            </w:r>
          </w:p>
        </w:tc>
        <w:tc>
          <w:tcPr>
            <w:tcW w:w="1481" w:type="dxa"/>
          </w:tcPr>
          <w:p w14:paraId="01624EE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1954</w:t>
            </w:r>
          </w:p>
        </w:tc>
        <w:tc>
          <w:tcPr>
            <w:tcW w:w="945" w:type="dxa"/>
          </w:tcPr>
          <w:p w14:paraId="652A11F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7DC5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6455B67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2034</w:t>
            </w:r>
          </w:p>
        </w:tc>
        <w:tc>
          <w:tcPr>
            <w:tcW w:w="1219" w:type="dxa"/>
            <w:shd w:val="clear" w:color="auto" w:fill="auto"/>
            <w:vAlign w:val="top"/>
          </w:tcPr>
          <w:p w14:paraId="4A2361D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412890</w:t>
            </w:r>
          </w:p>
        </w:tc>
        <w:tc>
          <w:tcPr>
            <w:tcW w:w="1219" w:type="dxa"/>
          </w:tcPr>
          <w:p w14:paraId="279BA1E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284894</w:t>
            </w:r>
          </w:p>
        </w:tc>
        <w:tc>
          <w:tcPr>
            <w:tcW w:w="1219" w:type="dxa"/>
          </w:tcPr>
          <w:p w14:paraId="2BBBFC5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5D00D2C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2932</w:t>
            </w:r>
          </w:p>
        </w:tc>
        <w:tc>
          <w:tcPr>
            <w:tcW w:w="1481" w:type="dxa"/>
          </w:tcPr>
          <w:p w14:paraId="5D99709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2023</w:t>
            </w:r>
          </w:p>
        </w:tc>
        <w:tc>
          <w:tcPr>
            <w:tcW w:w="945" w:type="dxa"/>
          </w:tcPr>
          <w:p w14:paraId="2D73FD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09A3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2C2701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2035</w:t>
            </w:r>
          </w:p>
        </w:tc>
        <w:tc>
          <w:tcPr>
            <w:tcW w:w="1219" w:type="dxa"/>
            <w:shd w:val="clear" w:color="auto" w:fill="auto"/>
            <w:vAlign w:val="top"/>
          </w:tcPr>
          <w:p w14:paraId="6FCD82D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414955</w:t>
            </w:r>
          </w:p>
        </w:tc>
        <w:tc>
          <w:tcPr>
            <w:tcW w:w="1219" w:type="dxa"/>
          </w:tcPr>
          <w:p w14:paraId="6171EA3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294618</w:t>
            </w:r>
          </w:p>
        </w:tc>
        <w:tc>
          <w:tcPr>
            <w:tcW w:w="1219" w:type="dxa"/>
          </w:tcPr>
          <w:p w14:paraId="2A4B270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7.10</w:t>
            </w:r>
          </w:p>
        </w:tc>
        <w:tc>
          <w:tcPr>
            <w:tcW w:w="1219" w:type="dxa"/>
          </w:tcPr>
          <w:p w14:paraId="19E13BD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2946</w:t>
            </w:r>
          </w:p>
        </w:tc>
        <w:tc>
          <w:tcPr>
            <w:tcW w:w="1481" w:type="dxa"/>
          </w:tcPr>
          <w:p w14:paraId="4BC37BC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2092</w:t>
            </w:r>
          </w:p>
        </w:tc>
        <w:tc>
          <w:tcPr>
            <w:tcW w:w="945" w:type="dxa"/>
          </w:tcPr>
          <w:p w14:paraId="511440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23AC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5524C6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小计</w:t>
            </w:r>
          </w:p>
        </w:tc>
        <w:tc>
          <w:tcPr>
            <w:tcW w:w="1219" w:type="dxa"/>
            <w:shd w:val="clear" w:color="auto" w:fill="auto"/>
            <w:vAlign w:val="top"/>
          </w:tcPr>
          <w:p w14:paraId="6825F2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09F966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39EF28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6DD2A08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14585</w:t>
            </w:r>
          </w:p>
        </w:tc>
        <w:tc>
          <w:tcPr>
            <w:tcW w:w="1481" w:type="dxa"/>
          </w:tcPr>
          <w:p w14:paraId="44559B5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9775</w:t>
            </w:r>
          </w:p>
        </w:tc>
        <w:tc>
          <w:tcPr>
            <w:tcW w:w="945" w:type="dxa"/>
          </w:tcPr>
          <w:p w14:paraId="278997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6B34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14:paraId="44543BF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规划期合计</w:t>
            </w:r>
          </w:p>
        </w:tc>
        <w:tc>
          <w:tcPr>
            <w:tcW w:w="1219" w:type="dxa"/>
            <w:shd w:val="clear" w:color="auto" w:fill="auto"/>
            <w:vAlign w:val="top"/>
          </w:tcPr>
          <w:p w14:paraId="2E06CD4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7D597A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17AC0DF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219" w:type="dxa"/>
          </w:tcPr>
          <w:p w14:paraId="5FC1207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31614</w:t>
            </w:r>
          </w:p>
        </w:tc>
        <w:tc>
          <w:tcPr>
            <w:tcW w:w="1481" w:type="dxa"/>
          </w:tcPr>
          <w:p w14:paraId="2A03298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19741</w:t>
            </w:r>
          </w:p>
        </w:tc>
        <w:tc>
          <w:tcPr>
            <w:tcW w:w="945" w:type="dxa"/>
          </w:tcPr>
          <w:p w14:paraId="3E7D2F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vertAlign w:val="baseline"/>
                <w:lang w:val="en-US" w:eastAsia="zh-CN"/>
              </w:rPr>
            </w:pPr>
          </w:p>
        </w:tc>
      </w:tr>
    </w:tbl>
    <w:p w14:paraId="7CEF9049">
      <w:pPr>
        <w:pStyle w:val="6"/>
        <w:tabs>
          <w:tab w:val="right" w:leader="dot" w:pos="8306"/>
        </w:tabs>
        <w:outlineLvl w:val="0"/>
        <w:rPr>
          <w:rFonts w:hint="eastAsia" w:ascii="微软雅黑" w:hAnsi="微软雅黑" w:eastAsia="微软雅黑" w:cs="微软雅黑"/>
          <w:b/>
          <w:bCs/>
          <w:i w:val="0"/>
          <w:iCs w:val="0"/>
          <w:caps w:val="0"/>
          <w:color w:val="000000"/>
          <w:spacing w:val="0"/>
          <w:kern w:val="2"/>
          <w:sz w:val="28"/>
          <w:szCs w:val="28"/>
          <w:shd w:val="clear" w:fill="FFFFFF"/>
          <w:lang w:val="en-US" w:eastAsia="zh-CN" w:bidi="ar-SA"/>
        </w:rPr>
      </w:pPr>
      <w:bookmarkStart w:id="53" w:name="_Toc21968"/>
      <w:r>
        <w:rPr>
          <w:rFonts w:hint="eastAsia" w:ascii="微软雅黑" w:hAnsi="微软雅黑" w:eastAsia="微软雅黑" w:cs="微软雅黑"/>
          <w:b/>
          <w:bCs/>
          <w:i w:val="0"/>
          <w:iCs w:val="0"/>
          <w:caps w:val="0"/>
          <w:color w:val="000000"/>
          <w:spacing w:val="0"/>
          <w:kern w:val="2"/>
          <w:sz w:val="28"/>
          <w:szCs w:val="28"/>
          <w:shd w:val="clear" w:fill="FFFFFF"/>
          <w:lang w:val="en-US" w:eastAsia="zh-CN" w:bidi="ar-SA"/>
        </w:rPr>
        <w:t>二、墓穴需求量预测</w:t>
      </w:r>
      <w:bookmarkEnd w:id="52"/>
      <w:bookmarkEnd w:id="53"/>
    </w:p>
    <w:p w14:paraId="5130388C">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墓穴需求量构成主要为三个部分，一是新增死亡人口所对应的墓穴需求量，二是因“三沿六区” 整治需要回迁安置的量，三是城镇发展及交通建设等项目征地拆迁安置量；以至少50年为使用周期测算，回迁安置量按450穴/年、征地拆迁安置量600穴/年，新增死亡人数每五年同比增加1.03计算。长汀县墓穴需求量约248765个。</w:t>
      </w:r>
    </w:p>
    <w:p w14:paraId="2D6566AB">
      <w:pPr>
        <w:spacing w:line="437" w:lineRule="exact"/>
        <w:ind w:left="217" w:right="0" w:firstLine="0"/>
        <w:jc w:val="center"/>
        <w:rPr>
          <w:rFonts w:ascii="Microsoft YaHei UI" w:hAnsi="Microsoft YaHei UI" w:eastAsia="Microsoft YaHei UI" w:cs="Microsoft YaHei UI"/>
          <w:b/>
          <w:bCs/>
          <w:spacing w:val="0"/>
          <w:w w:val="100"/>
          <w:sz w:val="28"/>
          <w:szCs w:val="28"/>
        </w:rPr>
      </w:pPr>
      <w:r>
        <w:rPr>
          <w:rFonts w:hint="eastAsia" w:ascii="微软雅黑" w:hAnsi="微软雅黑" w:eastAsia="微软雅黑" w:cs="微软雅黑"/>
          <w:b/>
          <w:bCs/>
          <w:i w:val="0"/>
          <w:iCs w:val="0"/>
          <w:caps w:val="0"/>
          <w:color w:val="000000"/>
          <w:spacing w:val="0"/>
          <w:sz w:val="24"/>
          <w:szCs w:val="24"/>
          <w:shd w:val="clear" w:fill="FFFFFF"/>
          <w:lang w:val="en-US" w:eastAsia="zh-CN"/>
        </w:rPr>
        <w:t>长汀县墓穴需求量预测表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6"/>
        <w:gridCol w:w="1893"/>
        <w:gridCol w:w="1757"/>
        <w:gridCol w:w="1441"/>
      </w:tblGrid>
      <w:tr w14:paraId="04A1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271BD6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年份</w:t>
            </w:r>
          </w:p>
        </w:tc>
        <w:tc>
          <w:tcPr>
            <w:tcW w:w="1706" w:type="dxa"/>
          </w:tcPr>
          <w:p w14:paraId="702A5F2E">
            <w:pPr>
              <w:keepNext w:val="0"/>
              <w:keepLines w:val="0"/>
              <w:pageBreakBefore w:val="0"/>
              <w:widowControl w:val="0"/>
              <w:kinsoku/>
              <w:wordWrap/>
              <w:overflowPunct/>
              <w:topLinePunct w:val="0"/>
              <w:autoSpaceDE/>
              <w:autoSpaceDN/>
              <w:bidi w:val="0"/>
              <w:adjustRightInd/>
              <w:snapToGrid/>
              <w:spacing w:line="560" w:lineRule="exact"/>
              <w:ind w:left="321" w:hanging="321" w:hangingChars="100"/>
              <w:textAlignment w:val="auto"/>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新增死亡人数</w:t>
            </w:r>
          </w:p>
        </w:tc>
        <w:tc>
          <w:tcPr>
            <w:tcW w:w="1893" w:type="dxa"/>
          </w:tcPr>
          <w:p w14:paraId="2E29E2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回迁安置量</w:t>
            </w:r>
          </w:p>
        </w:tc>
        <w:tc>
          <w:tcPr>
            <w:tcW w:w="1757" w:type="dxa"/>
          </w:tcPr>
          <w:p w14:paraId="19566F8A">
            <w:pPr>
              <w:keepNext w:val="0"/>
              <w:keepLines w:val="0"/>
              <w:pageBreakBefore w:val="0"/>
              <w:widowControl w:val="0"/>
              <w:kinsoku/>
              <w:wordWrap/>
              <w:overflowPunct/>
              <w:topLinePunct w:val="0"/>
              <w:autoSpaceDE/>
              <w:autoSpaceDN/>
              <w:bidi w:val="0"/>
              <w:adjustRightInd/>
              <w:snapToGrid/>
              <w:spacing w:line="560" w:lineRule="exact"/>
              <w:ind w:left="321" w:hanging="321" w:hangingChars="100"/>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征地拆迁安置量</w:t>
            </w:r>
          </w:p>
        </w:tc>
        <w:tc>
          <w:tcPr>
            <w:tcW w:w="1441" w:type="dxa"/>
          </w:tcPr>
          <w:p w14:paraId="1AA92F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合计</w:t>
            </w:r>
          </w:p>
        </w:tc>
      </w:tr>
      <w:tr w14:paraId="1A37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7620CD0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2030</w:t>
            </w:r>
          </w:p>
        </w:tc>
        <w:tc>
          <w:tcPr>
            <w:tcW w:w="1706" w:type="dxa"/>
          </w:tcPr>
          <w:p w14:paraId="6195C7F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17029</w:t>
            </w:r>
          </w:p>
        </w:tc>
        <w:tc>
          <w:tcPr>
            <w:tcW w:w="1893" w:type="dxa"/>
          </w:tcPr>
          <w:p w14:paraId="03BF616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2700</w:t>
            </w:r>
          </w:p>
        </w:tc>
        <w:tc>
          <w:tcPr>
            <w:tcW w:w="1757" w:type="dxa"/>
          </w:tcPr>
          <w:p w14:paraId="4A4E443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3600</w:t>
            </w:r>
          </w:p>
        </w:tc>
        <w:tc>
          <w:tcPr>
            <w:tcW w:w="1441" w:type="dxa"/>
          </w:tcPr>
          <w:p w14:paraId="7CA85F1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23329</w:t>
            </w:r>
          </w:p>
        </w:tc>
      </w:tr>
      <w:tr w14:paraId="486B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4448B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2035</w:t>
            </w:r>
          </w:p>
        </w:tc>
        <w:tc>
          <w:tcPr>
            <w:tcW w:w="1706" w:type="dxa"/>
          </w:tcPr>
          <w:p w14:paraId="3FB31D4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17540</w:t>
            </w:r>
          </w:p>
        </w:tc>
        <w:tc>
          <w:tcPr>
            <w:tcW w:w="1893" w:type="dxa"/>
          </w:tcPr>
          <w:p w14:paraId="63DD19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2250</w:t>
            </w:r>
          </w:p>
        </w:tc>
        <w:tc>
          <w:tcPr>
            <w:tcW w:w="1757" w:type="dxa"/>
          </w:tcPr>
          <w:p w14:paraId="0FDB063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3000</w:t>
            </w:r>
          </w:p>
        </w:tc>
        <w:tc>
          <w:tcPr>
            <w:tcW w:w="1441" w:type="dxa"/>
          </w:tcPr>
          <w:p w14:paraId="0E810B1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22790</w:t>
            </w:r>
          </w:p>
        </w:tc>
      </w:tr>
      <w:tr w14:paraId="4E07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1DAEAC0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2040</w:t>
            </w:r>
          </w:p>
        </w:tc>
        <w:tc>
          <w:tcPr>
            <w:tcW w:w="1706" w:type="dxa"/>
          </w:tcPr>
          <w:p w14:paraId="7EA3320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18066</w:t>
            </w:r>
          </w:p>
        </w:tc>
        <w:tc>
          <w:tcPr>
            <w:tcW w:w="1893" w:type="dxa"/>
          </w:tcPr>
          <w:p w14:paraId="561540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2250</w:t>
            </w:r>
          </w:p>
        </w:tc>
        <w:tc>
          <w:tcPr>
            <w:tcW w:w="1757" w:type="dxa"/>
          </w:tcPr>
          <w:p w14:paraId="4B8ACB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3000</w:t>
            </w:r>
          </w:p>
        </w:tc>
        <w:tc>
          <w:tcPr>
            <w:tcW w:w="1441" w:type="dxa"/>
          </w:tcPr>
          <w:p w14:paraId="1A04C9E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23316</w:t>
            </w:r>
          </w:p>
        </w:tc>
      </w:tr>
      <w:tr w14:paraId="706E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518C24E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2045</w:t>
            </w:r>
          </w:p>
        </w:tc>
        <w:tc>
          <w:tcPr>
            <w:tcW w:w="1706" w:type="dxa"/>
          </w:tcPr>
          <w:p w14:paraId="4B61310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18608</w:t>
            </w:r>
          </w:p>
        </w:tc>
        <w:tc>
          <w:tcPr>
            <w:tcW w:w="1893" w:type="dxa"/>
          </w:tcPr>
          <w:p w14:paraId="17FD96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2250</w:t>
            </w:r>
          </w:p>
        </w:tc>
        <w:tc>
          <w:tcPr>
            <w:tcW w:w="1757" w:type="dxa"/>
          </w:tcPr>
          <w:p w14:paraId="7147ADA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3000</w:t>
            </w:r>
          </w:p>
        </w:tc>
        <w:tc>
          <w:tcPr>
            <w:tcW w:w="1441" w:type="dxa"/>
          </w:tcPr>
          <w:p w14:paraId="5974F49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23858</w:t>
            </w:r>
          </w:p>
        </w:tc>
      </w:tr>
      <w:tr w14:paraId="6B9F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2D99B99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2050</w:t>
            </w:r>
          </w:p>
        </w:tc>
        <w:tc>
          <w:tcPr>
            <w:tcW w:w="1706" w:type="dxa"/>
          </w:tcPr>
          <w:p w14:paraId="27E90D3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19166</w:t>
            </w:r>
          </w:p>
        </w:tc>
        <w:tc>
          <w:tcPr>
            <w:tcW w:w="1893" w:type="dxa"/>
          </w:tcPr>
          <w:p w14:paraId="608752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2250</w:t>
            </w:r>
          </w:p>
        </w:tc>
        <w:tc>
          <w:tcPr>
            <w:tcW w:w="1757" w:type="dxa"/>
          </w:tcPr>
          <w:p w14:paraId="6A6AFAD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3000</w:t>
            </w:r>
          </w:p>
        </w:tc>
        <w:tc>
          <w:tcPr>
            <w:tcW w:w="1441" w:type="dxa"/>
          </w:tcPr>
          <w:p w14:paraId="1F245C6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24416</w:t>
            </w:r>
          </w:p>
        </w:tc>
      </w:tr>
      <w:tr w14:paraId="7475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0DD988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2055</w:t>
            </w:r>
          </w:p>
        </w:tc>
        <w:tc>
          <w:tcPr>
            <w:tcW w:w="1706" w:type="dxa"/>
          </w:tcPr>
          <w:p w14:paraId="158DFB8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19741</w:t>
            </w:r>
          </w:p>
        </w:tc>
        <w:tc>
          <w:tcPr>
            <w:tcW w:w="1893" w:type="dxa"/>
          </w:tcPr>
          <w:p w14:paraId="1D4DA6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2250</w:t>
            </w:r>
          </w:p>
        </w:tc>
        <w:tc>
          <w:tcPr>
            <w:tcW w:w="1757" w:type="dxa"/>
          </w:tcPr>
          <w:p w14:paraId="1F977E5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3000</w:t>
            </w:r>
          </w:p>
        </w:tc>
        <w:tc>
          <w:tcPr>
            <w:tcW w:w="1441" w:type="dxa"/>
          </w:tcPr>
          <w:p w14:paraId="02F23F5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24991</w:t>
            </w:r>
          </w:p>
        </w:tc>
      </w:tr>
      <w:tr w14:paraId="244E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184C96D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2060</w:t>
            </w:r>
          </w:p>
        </w:tc>
        <w:tc>
          <w:tcPr>
            <w:tcW w:w="1706" w:type="dxa"/>
          </w:tcPr>
          <w:p w14:paraId="53E49AE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20333</w:t>
            </w:r>
          </w:p>
        </w:tc>
        <w:tc>
          <w:tcPr>
            <w:tcW w:w="1893" w:type="dxa"/>
          </w:tcPr>
          <w:p w14:paraId="792E165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2250</w:t>
            </w:r>
          </w:p>
        </w:tc>
        <w:tc>
          <w:tcPr>
            <w:tcW w:w="1757" w:type="dxa"/>
          </w:tcPr>
          <w:p w14:paraId="155CA8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3000</w:t>
            </w:r>
          </w:p>
        </w:tc>
        <w:tc>
          <w:tcPr>
            <w:tcW w:w="1441" w:type="dxa"/>
          </w:tcPr>
          <w:p w14:paraId="6718083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25583</w:t>
            </w:r>
          </w:p>
        </w:tc>
      </w:tr>
      <w:tr w14:paraId="668B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221EB2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2065</w:t>
            </w:r>
          </w:p>
        </w:tc>
        <w:tc>
          <w:tcPr>
            <w:tcW w:w="1706" w:type="dxa"/>
          </w:tcPr>
          <w:p w14:paraId="79C0F38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20943</w:t>
            </w:r>
          </w:p>
        </w:tc>
        <w:tc>
          <w:tcPr>
            <w:tcW w:w="1893" w:type="dxa"/>
          </w:tcPr>
          <w:p w14:paraId="33364D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2250</w:t>
            </w:r>
          </w:p>
        </w:tc>
        <w:tc>
          <w:tcPr>
            <w:tcW w:w="1757" w:type="dxa"/>
          </w:tcPr>
          <w:p w14:paraId="5D5B38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3000</w:t>
            </w:r>
          </w:p>
        </w:tc>
        <w:tc>
          <w:tcPr>
            <w:tcW w:w="1441" w:type="dxa"/>
          </w:tcPr>
          <w:p w14:paraId="48C2F01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26193</w:t>
            </w:r>
          </w:p>
        </w:tc>
      </w:tr>
      <w:tr w14:paraId="15DE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084CD72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2070</w:t>
            </w:r>
          </w:p>
        </w:tc>
        <w:tc>
          <w:tcPr>
            <w:tcW w:w="1706" w:type="dxa"/>
          </w:tcPr>
          <w:p w14:paraId="3245E1E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21571</w:t>
            </w:r>
          </w:p>
        </w:tc>
        <w:tc>
          <w:tcPr>
            <w:tcW w:w="1893" w:type="dxa"/>
          </w:tcPr>
          <w:p w14:paraId="1806D4D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2250</w:t>
            </w:r>
          </w:p>
        </w:tc>
        <w:tc>
          <w:tcPr>
            <w:tcW w:w="1757" w:type="dxa"/>
          </w:tcPr>
          <w:p w14:paraId="1C27FF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3000</w:t>
            </w:r>
          </w:p>
        </w:tc>
        <w:tc>
          <w:tcPr>
            <w:tcW w:w="1441" w:type="dxa"/>
          </w:tcPr>
          <w:p w14:paraId="3725A18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26821</w:t>
            </w:r>
          </w:p>
        </w:tc>
      </w:tr>
      <w:tr w14:paraId="4B0C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0EAE2E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2075</w:t>
            </w:r>
          </w:p>
        </w:tc>
        <w:tc>
          <w:tcPr>
            <w:tcW w:w="1706" w:type="dxa"/>
          </w:tcPr>
          <w:p w14:paraId="025A872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22218</w:t>
            </w:r>
          </w:p>
        </w:tc>
        <w:tc>
          <w:tcPr>
            <w:tcW w:w="1893" w:type="dxa"/>
          </w:tcPr>
          <w:p w14:paraId="3DAFC1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2250</w:t>
            </w:r>
          </w:p>
        </w:tc>
        <w:tc>
          <w:tcPr>
            <w:tcW w:w="1757" w:type="dxa"/>
          </w:tcPr>
          <w:p w14:paraId="38D18C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3000</w:t>
            </w:r>
          </w:p>
        </w:tc>
        <w:tc>
          <w:tcPr>
            <w:tcW w:w="1441" w:type="dxa"/>
          </w:tcPr>
          <w:p w14:paraId="0A32B2D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27468</w:t>
            </w:r>
          </w:p>
        </w:tc>
      </w:tr>
      <w:tr w14:paraId="173F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69FE7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706" w:type="dxa"/>
          </w:tcPr>
          <w:p w14:paraId="1A94ACD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195215</w:t>
            </w:r>
          </w:p>
        </w:tc>
        <w:tc>
          <w:tcPr>
            <w:tcW w:w="1893" w:type="dxa"/>
          </w:tcPr>
          <w:p w14:paraId="3E630A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22950</w:t>
            </w:r>
          </w:p>
        </w:tc>
        <w:tc>
          <w:tcPr>
            <w:tcW w:w="1757" w:type="dxa"/>
          </w:tcPr>
          <w:p w14:paraId="175C810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30600</w:t>
            </w:r>
          </w:p>
        </w:tc>
        <w:tc>
          <w:tcPr>
            <w:tcW w:w="1441" w:type="dxa"/>
          </w:tcPr>
          <w:p w14:paraId="3702B5D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248765</w:t>
            </w:r>
          </w:p>
        </w:tc>
      </w:tr>
    </w:tbl>
    <w:p w14:paraId="65EF05AC">
      <w:pPr>
        <w:numPr>
          <w:ilvl w:val="0"/>
          <w:numId w:val="0"/>
        </w:numPr>
        <w:ind w:left="0" w:leftChars="0" w:firstLine="0" w:firstLineChars="0"/>
        <w:jc w:val="center"/>
        <w:outlineLvl w:val="9"/>
        <w:rPr>
          <w:rFonts w:hint="eastAsia" w:ascii="微软雅黑" w:hAnsi="微软雅黑" w:eastAsia="微软雅黑" w:cs="微软雅黑"/>
          <w:b/>
          <w:bCs/>
          <w:i w:val="0"/>
          <w:iCs w:val="0"/>
          <w:caps w:val="0"/>
          <w:color w:val="000000"/>
          <w:spacing w:val="0"/>
          <w:sz w:val="28"/>
          <w:szCs w:val="28"/>
          <w:shd w:val="clear" w:fill="FFFFFF"/>
          <w:lang w:eastAsia="zh-CN"/>
        </w:rPr>
      </w:pPr>
      <w:r>
        <w:rPr>
          <w:rFonts w:hint="eastAsia" w:ascii="微软雅黑" w:hAnsi="微软雅黑" w:eastAsia="微软雅黑" w:cs="微软雅黑"/>
          <w:b/>
          <w:bCs/>
          <w:i w:val="0"/>
          <w:iCs w:val="0"/>
          <w:caps w:val="0"/>
          <w:color w:val="000000"/>
          <w:spacing w:val="0"/>
          <w:sz w:val="24"/>
          <w:szCs w:val="24"/>
          <w:shd w:val="clear" w:fill="FFFFFF"/>
          <w:lang w:val="en-US" w:eastAsia="zh-CN"/>
        </w:rPr>
        <w:t>安葬设施安放规模表</w:t>
      </w:r>
    </w:p>
    <w:tbl>
      <w:tblPr>
        <w:tblStyle w:val="10"/>
        <w:tblW w:w="7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1709"/>
        <w:gridCol w:w="2102"/>
        <w:gridCol w:w="1780"/>
        <w:gridCol w:w="1135"/>
      </w:tblGrid>
      <w:tr w14:paraId="3FE7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1272" w:type="dxa"/>
          </w:tcPr>
          <w:p w14:paraId="5F9CD58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名称</w:t>
            </w:r>
          </w:p>
        </w:tc>
        <w:tc>
          <w:tcPr>
            <w:tcW w:w="1709" w:type="dxa"/>
          </w:tcPr>
          <w:p w14:paraId="7AB97E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公墓墓穴数</w:t>
            </w:r>
          </w:p>
          <w:p w14:paraId="73E040EA">
            <w:pPr>
              <w:keepNext w:val="0"/>
              <w:keepLines w:val="0"/>
              <w:pageBreakBefore w:val="0"/>
              <w:widowControl w:val="0"/>
              <w:kinsoku/>
              <w:wordWrap/>
              <w:overflowPunct/>
              <w:topLinePunct w:val="0"/>
              <w:autoSpaceDE/>
              <w:autoSpaceDN/>
              <w:bidi w:val="0"/>
              <w:adjustRightInd/>
              <w:snapToGrid/>
              <w:spacing w:line="560" w:lineRule="exact"/>
              <w:ind w:firstLine="241" w:firstLineChars="100"/>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（万个）</w:t>
            </w:r>
          </w:p>
          <w:p w14:paraId="73B990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p>
        </w:tc>
        <w:tc>
          <w:tcPr>
            <w:tcW w:w="2102" w:type="dxa"/>
          </w:tcPr>
          <w:p w14:paraId="02DA7245">
            <w:pPr>
              <w:keepNext w:val="0"/>
              <w:keepLines w:val="0"/>
              <w:pageBreakBefore w:val="0"/>
              <w:widowControl w:val="0"/>
              <w:kinsoku/>
              <w:wordWrap/>
              <w:overflowPunct/>
              <w:topLinePunct w:val="0"/>
              <w:autoSpaceDE/>
              <w:autoSpaceDN/>
              <w:bidi w:val="0"/>
              <w:adjustRightInd/>
              <w:snapToGrid/>
              <w:spacing w:line="560" w:lineRule="exact"/>
              <w:ind w:left="241" w:hanging="241" w:hangingChars="100"/>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生命公园安放数</w:t>
            </w:r>
          </w:p>
          <w:p w14:paraId="7DB1335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（万个）</w:t>
            </w:r>
          </w:p>
        </w:tc>
        <w:tc>
          <w:tcPr>
            <w:tcW w:w="1780" w:type="dxa"/>
          </w:tcPr>
          <w:p w14:paraId="7B4BC95B">
            <w:pPr>
              <w:keepNext w:val="0"/>
              <w:keepLines w:val="0"/>
              <w:pageBreakBefore w:val="0"/>
              <w:widowControl w:val="0"/>
              <w:kinsoku/>
              <w:wordWrap/>
              <w:overflowPunct/>
              <w:topLinePunct w:val="0"/>
              <w:autoSpaceDE/>
              <w:autoSpaceDN/>
              <w:bidi w:val="0"/>
              <w:adjustRightInd/>
              <w:snapToGrid/>
              <w:spacing w:line="560" w:lineRule="exact"/>
              <w:ind w:left="241" w:hanging="241" w:hangingChars="100"/>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骨灰存放格位（万个）</w:t>
            </w:r>
          </w:p>
        </w:tc>
        <w:tc>
          <w:tcPr>
            <w:tcW w:w="1135" w:type="dxa"/>
          </w:tcPr>
          <w:p w14:paraId="702C83E3">
            <w:pPr>
              <w:keepNext w:val="0"/>
              <w:keepLines w:val="0"/>
              <w:pageBreakBefore w:val="0"/>
              <w:widowControl w:val="0"/>
              <w:kinsoku/>
              <w:wordWrap/>
              <w:overflowPunct/>
              <w:topLinePunct w:val="0"/>
              <w:autoSpaceDE/>
              <w:autoSpaceDN/>
              <w:bidi w:val="0"/>
              <w:adjustRightInd/>
              <w:snapToGrid/>
              <w:spacing w:line="560" w:lineRule="exact"/>
              <w:ind w:firstLine="241" w:firstLineChars="100"/>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合计</w:t>
            </w:r>
          </w:p>
          <w:p w14:paraId="5D4AE0F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（万个）</w:t>
            </w:r>
          </w:p>
        </w:tc>
      </w:tr>
      <w:tr w14:paraId="0079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272" w:type="dxa"/>
          </w:tcPr>
          <w:p w14:paraId="4BEA1BA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张坊岽生命公园</w:t>
            </w:r>
          </w:p>
        </w:tc>
        <w:tc>
          <w:tcPr>
            <w:tcW w:w="1709" w:type="dxa"/>
          </w:tcPr>
          <w:p w14:paraId="6DE2B77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5.8</w:t>
            </w:r>
          </w:p>
        </w:tc>
        <w:tc>
          <w:tcPr>
            <w:tcW w:w="2102" w:type="dxa"/>
          </w:tcPr>
          <w:p w14:paraId="3B9A547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780" w:type="dxa"/>
          </w:tcPr>
          <w:p w14:paraId="12372A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3.5</w:t>
            </w:r>
          </w:p>
        </w:tc>
        <w:tc>
          <w:tcPr>
            <w:tcW w:w="1135" w:type="dxa"/>
          </w:tcPr>
          <w:p w14:paraId="2FA2411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9.3</w:t>
            </w:r>
          </w:p>
        </w:tc>
      </w:tr>
      <w:tr w14:paraId="3E2A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272" w:type="dxa"/>
            <w:vAlign w:val="top"/>
          </w:tcPr>
          <w:p w14:paraId="628821A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松鹤陵园</w:t>
            </w:r>
          </w:p>
        </w:tc>
        <w:tc>
          <w:tcPr>
            <w:tcW w:w="1709" w:type="dxa"/>
            <w:vAlign w:val="top"/>
          </w:tcPr>
          <w:p w14:paraId="589F59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0.15</w:t>
            </w:r>
          </w:p>
        </w:tc>
        <w:tc>
          <w:tcPr>
            <w:tcW w:w="2102" w:type="dxa"/>
            <w:vAlign w:val="top"/>
          </w:tcPr>
          <w:p w14:paraId="6FF787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780" w:type="dxa"/>
            <w:vAlign w:val="top"/>
          </w:tcPr>
          <w:p w14:paraId="41EF2AF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35" w:type="dxa"/>
          </w:tcPr>
          <w:p w14:paraId="44E2D61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0.15</w:t>
            </w:r>
          </w:p>
        </w:tc>
      </w:tr>
      <w:tr w14:paraId="3D14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272" w:type="dxa"/>
            <w:vAlign w:val="top"/>
          </w:tcPr>
          <w:p w14:paraId="662797B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殡葬服务中心</w:t>
            </w:r>
          </w:p>
        </w:tc>
        <w:tc>
          <w:tcPr>
            <w:tcW w:w="1709" w:type="dxa"/>
            <w:vAlign w:val="top"/>
          </w:tcPr>
          <w:p w14:paraId="3567D4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2102" w:type="dxa"/>
            <w:vAlign w:val="top"/>
          </w:tcPr>
          <w:p w14:paraId="0869579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780" w:type="dxa"/>
            <w:vAlign w:val="top"/>
          </w:tcPr>
          <w:p w14:paraId="7E90857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0.2</w:t>
            </w:r>
          </w:p>
        </w:tc>
        <w:tc>
          <w:tcPr>
            <w:tcW w:w="1135" w:type="dxa"/>
          </w:tcPr>
          <w:p w14:paraId="1BBF0B3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0.2</w:t>
            </w:r>
          </w:p>
        </w:tc>
      </w:tr>
      <w:tr w14:paraId="273B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272" w:type="dxa"/>
            <w:vAlign w:val="top"/>
          </w:tcPr>
          <w:p w14:paraId="0EF2F06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乡镇公墓</w:t>
            </w:r>
          </w:p>
          <w:p w14:paraId="222334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709" w:type="dxa"/>
            <w:vAlign w:val="top"/>
          </w:tcPr>
          <w:p w14:paraId="48F9215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3.75</w:t>
            </w:r>
          </w:p>
        </w:tc>
        <w:tc>
          <w:tcPr>
            <w:tcW w:w="2102" w:type="dxa"/>
            <w:vAlign w:val="top"/>
          </w:tcPr>
          <w:p w14:paraId="3DAA9FD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p>
        </w:tc>
        <w:tc>
          <w:tcPr>
            <w:tcW w:w="1780" w:type="dxa"/>
            <w:vAlign w:val="top"/>
          </w:tcPr>
          <w:p w14:paraId="28F29C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35" w:type="dxa"/>
          </w:tcPr>
          <w:p w14:paraId="001FFB4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3.75</w:t>
            </w:r>
          </w:p>
        </w:tc>
      </w:tr>
      <w:tr w14:paraId="268C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272" w:type="dxa"/>
            <w:vAlign w:val="top"/>
          </w:tcPr>
          <w:p w14:paraId="3B1940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乡镇生命公园</w:t>
            </w:r>
          </w:p>
        </w:tc>
        <w:tc>
          <w:tcPr>
            <w:tcW w:w="1709" w:type="dxa"/>
            <w:vAlign w:val="top"/>
          </w:tcPr>
          <w:p w14:paraId="1033DEE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2102" w:type="dxa"/>
            <w:vAlign w:val="top"/>
          </w:tcPr>
          <w:p w14:paraId="352C453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1780" w:type="dxa"/>
            <w:vAlign w:val="top"/>
          </w:tcPr>
          <w:p w14:paraId="4499920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35" w:type="dxa"/>
          </w:tcPr>
          <w:p w14:paraId="13FBA1C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r>
      <w:tr w14:paraId="31A5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272" w:type="dxa"/>
            <w:vAlign w:val="top"/>
          </w:tcPr>
          <w:p w14:paraId="17CEA3D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村级生命公园</w:t>
            </w:r>
          </w:p>
        </w:tc>
        <w:tc>
          <w:tcPr>
            <w:tcW w:w="1709" w:type="dxa"/>
            <w:vAlign w:val="top"/>
          </w:tcPr>
          <w:p w14:paraId="21515A5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2102" w:type="dxa"/>
            <w:vAlign w:val="top"/>
          </w:tcPr>
          <w:p w14:paraId="63F9EEF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4.0</w:t>
            </w:r>
          </w:p>
        </w:tc>
        <w:tc>
          <w:tcPr>
            <w:tcW w:w="1780" w:type="dxa"/>
            <w:vAlign w:val="top"/>
          </w:tcPr>
          <w:p w14:paraId="692B37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35" w:type="dxa"/>
          </w:tcPr>
          <w:p w14:paraId="1958E29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4.0</w:t>
            </w:r>
          </w:p>
        </w:tc>
      </w:tr>
      <w:tr w14:paraId="3841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272" w:type="dxa"/>
            <w:vAlign w:val="top"/>
          </w:tcPr>
          <w:p w14:paraId="4D94AA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村级骨灰堂</w:t>
            </w:r>
          </w:p>
        </w:tc>
        <w:tc>
          <w:tcPr>
            <w:tcW w:w="1709" w:type="dxa"/>
            <w:vAlign w:val="top"/>
          </w:tcPr>
          <w:p w14:paraId="5DD6DC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2102" w:type="dxa"/>
            <w:vAlign w:val="top"/>
          </w:tcPr>
          <w:p w14:paraId="39DCA8C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780" w:type="dxa"/>
            <w:vAlign w:val="top"/>
          </w:tcPr>
          <w:p w14:paraId="484EB1A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6.5</w:t>
            </w:r>
          </w:p>
        </w:tc>
        <w:tc>
          <w:tcPr>
            <w:tcW w:w="1135" w:type="dxa"/>
          </w:tcPr>
          <w:p w14:paraId="1BE6BE0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6.5</w:t>
            </w:r>
          </w:p>
        </w:tc>
      </w:tr>
      <w:tr w14:paraId="2CEA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2" w:type="dxa"/>
          </w:tcPr>
          <w:p w14:paraId="593B6F3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合计</w:t>
            </w:r>
          </w:p>
        </w:tc>
        <w:tc>
          <w:tcPr>
            <w:tcW w:w="1709" w:type="dxa"/>
            <w:vAlign w:val="top"/>
          </w:tcPr>
          <w:p w14:paraId="60763DD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2102" w:type="dxa"/>
            <w:vAlign w:val="top"/>
          </w:tcPr>
          <w:p w14:paraId="625588C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780" w:type="dxa"/>
            <w:vAlign w:val="top"/>
          </w:tcPr>
          <w:p w14:paraId="3ADE760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35" w:type="dxa"/>
          </w:tcPr>
          <w:p w14:paraId="1315461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24.9</w:t>
            </w:r>
          </w:p>
        </w:tc>
      </w:tr>
    </w:tbl>
    <w:p w14:paraId="2AC18096">
      <w:pPr>
        <w:pStyle w:val="2"/>
        <w:spacing w:line="379" w:lineRule="auto"/>
        <w:ind w:left="0" w:leftChars="0" w:right="0" w:firstLine="560" w:firstLineChars="0"/>
        <w:jc w:val="both"/>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p>
    <w:p w14:paraId="6B1A6086">
      <w:pPr>
        <w:pStyle w:val="6"/>
        <w:tabs>
          <w:tab w:val="right" w:leader="dot" w:pos="8306"/>
        </w:tabs>
        <w:outlineLvl w:val="0"/>
        <w:rPr>
          <w:rFonts w:hint="eastAsia" w:ascii="微软雅黑" w:hAnsi="微软雅黑" w:eastAsia="微软雅黑" w:cs="微软雅黑"/>
          <w:b/>
          <w:bCs/>
          <w:i w:val="0"/>
          <w:iCs w:val="0"/>
          <w:caps w:val="0"/>
          <w:color w:val="000000"/>
          <w:spacing w:val="0"/>
          <w:kern w:val="2"/>
          <w:sz w:val="28"/>
          <w:szCs w:val="28"/>
          <w:shd w:val="clear" w:fill="FFFFFF"/>
          <w:lang w:val="en-US" w:eastAsia="zh-CN" w:bidi="ar-SA"/>
        </w:rPr>
      </w:pPr>
      <w:bookmarkStart w:id="54" w:name="_Toc6683"/>
      <w:r>
        <w:rPr>
          <w:rFonts w:hint="eastAsia" w:ascii="微软雅黑" w:hAnsi="微软雅黑" w:eastAsia="微软雅黑" w:cs="微软雅黑"/>
          <w:b/>
          <w:bCs/>
          <w:i w:val="0"/>
          <w:iCs w:val="0"/>
          <w:caps w:val="0"/>
          <w:color w:val="000000"/>
          <w:spacing w:val="0"/>
          <w:kern w:val="2"/>
          <w:sz w:val="28"/>
          <w:szCs w:val="28"/>
          <w:shd w:val="clear" w:fill="FFFFFF"/>
          <w:lang w:val="en-US" w:eastAsia="zh-CN" w:bidi="ar-SA"/>
        </w:rPr>
        <w:t>三、</w:t>
      </w:r>
      <w:bookmarkStart w:id="55" w:name="_Toc3225"/>
      <w:bookmarkStart w:id="56" w:name="_Toc6298"/>
      <w:r>
        <w:rPr>
          <w:rFonts w:hint="eastAsia" w:ascii="微软雅黑" w:hAnsi="微软雅黑" w:eastAsia="微软雅黑" w:cs="微软雅黑"/>
          <w:b/>
          <w:bCs/>
          <w:i w:val="0"/>
          <w:iCs w:val="0"/>
          <w:caps w:val="0"/>
          <w:color w:val="000000"/>
          <w:spacing w:val="0"/>
          <w:kern w:val="2"/>
          <w:sz w:val="28"/>
          <w:szCs w:val="28"/>
          <w:shd w:val="clear" w:fill="FFFFFF"/>
          <w:lang w:val="en-US" w:eastAsia="zh-CN" w:bidi="ar-SA"/>
        </w:rPr>
        <w:t>殡葬设施需求</w:t>
      </w:r>
      <w:bookmarkEnd w:id="54"/>
      <w:bookmarkEnd w:id="55"/>
      <w:bookmarkEnd w:id="56"/>
      <w:r>
        <w:rPr>
          <w:rFonts w:hint="eastAsia" w:ascii="微软雅黑" w:hAnsi="微软雅黑" w:eastAsia="微软雅黑" w:cs="微软雅黑"/>
          <w:b/>
          <w:bCs/>
          <w:i w:val="0"/>
          <w:iCs w:val="0"/>
          <w:caps w:val="0"/>
          <w:color w:val="000000"/>
          <w:spacing w:val="0"/>
          <w:kern w:val="2"/>
          <w:sz w:val="28"/>
          <w:szCs w:val="28"/>
          <w:shd w:val="clear" w:fill="FFFFFF"/>
          <w:lang w:val="en-US" w:eastAsia="zh-CN" w:bidi="ar-SA"/>
        </w:rPr>
        <w:t xml:space="preserve"> </w:t>
      </w:r>
    </w:p>
    <w:p w14:paraId="23395DE7">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殡葬公共服务设施：近期殡葬服务中心改扩建1个，远期殡葬服务中心迁建1个；远期乡镇殡仪服务站17个；村级集中办丧场所共290个，其中近期204个，远期86个。</w:t>
      </w:r>
    </w:p>
    <w:p w14:paraId="14031A07">
      <w:pPr>
        <w:bidi w:val="0"/>
        <w:ind w:firstLine="560" w:firstLineChars="200"/>
        <w:rPr>
          <w:rFonts w:hint="eastAsia" w:ascii="微软雅黑" w:hAnsi="微软雅黑" w:eastAsia="微软雅黑" w:cs="微软雅黑"/>
          <w:i w:val="0"/>
          <w:iCs w:val="0"/>
          <w:caps w:val="0"/>
          <w:color w:val="000000"/>
          <w:spacing w:val="0"/>
          <w:kern w:val="2"/>
          <w:sz w:val="28"/>
          <w:szCs w:val="28"/>
          <w:shd w:val="clear" w:fill="FFFFFF"/>
          <w:lang w:val="en-US" w:eastAsia="zh-CN" w:bidi="ar-SA"/>
        </w:rPr>
      </w:pPr>
      <w:r>
        <w:rPr>
          <w:rFonts w:hint="eastAsia" w:ascii="微软雅黑" w:hAnsi="微软雅黑" w:eastAsia="微软雅黑" w:cs="微软雅黑"/>
          <w:i w:val="0"/>
          <w:iCs w:val="0"/>
          <w:caps w:val="0"/>
          <w:color w:val="000000"/>
          <w:spacing w:val="0"/>
          <w:kern w:val="2"/>
          <w:sz w:val="28"/>
          <w:szCs w:val="28"/>
          <w:shd w:val="clear" w:fill="FFFFFF"/>
          <w:lang w:val="en-US" w:eastAsia="zh-CN" w:bidi="ar-SA"/>
        </w:rPr>
        <w:t>公益性安葬（放）设施：2025年至2030年，长汀县共需要新增公益性安葬（放）设施数约23329穴；2025年至2035年，共需新增公益性安葬（放）设施数约46119穴。</w:t>
      </w:r>
      <w:bookmarkStart w:id="57" w:name="_Toc22159"/>
    </w:p>
    <w:p w14:paraId="43230EC8">
      <w:pPr>
        <w:pStyle w:val="6"/>
        <w:tabs>
          <w:tab w:val="right" w:leader="dot" w:pos="8306"/>
        </w:tabs>
        <w:outlineLvl w:val="0"/>
        <w:rPr>
          <w:rFonts w:hint="eastAsia" w:ascii="微软雅黑" w:hAnsi="微软雅黑" w:eastAsia="微软雅黑" w:cs="微软雅黑"/>
          <w:b/>
          <w:bCs/>
          <w:i w:val="0"/>
          <w:iCs w:val="0"/>
          <w:caps w:val="0"/>
          <w:color w:val="000000"/>
          <w:spacing w:val="0"/>
          <w:kern w:val="2"/>
          <w:sz w:val="28"/>
          <w:szCs w:val="28"/>
          <w:shd w:val="clear" w:fill="FFFFFF"/>
          <w:lang w:val="en-US" w:eastAsia="zh-CN" w:bidi="ar-SA"/>
        </w:rPr>
      </w:pPr>
      <w:bookmarkStart w:id="58" w:name="_Toc26377"/>
      <w:bookmarkStart w:id="59" w:name="_Toc17469"/>
      <w:r>
        <w:rPr>
          <w:rFonts w:hint="eastAsia" w:ascii="微软雅黑" w:hAnsi="微软雅黑" w:eastAsia="微软雅黑" w:cs="微软雅黑"/>
          <w:b/>
          <w:bCs/>
          <w:i w:val="0"/>
          <w:iCs w:val="0"/>
          <w:caps w:val="0"/>
          <w:color w:val="000000"/>
          <w:spacing w:val="0"/>
          <w:kern w:val="2"/>
          <w:sz w:val="28"/>
          <w:szCs w:val="28"/>
          <w:shd w:val="clear" w:fill="FFFFFF"/>
          <w:lang w:val="en-US" w:eastAsia="zh-CN" w:bidi="ar-SA"/>
        </w:rPr>
        <w:t>四、规划用地规模</w:t>
      </w:r>
      <w:bookmarkEnd w:id="57"/>
      <w:bookmarkEnd w:id="58"/>
      <w:bookmarkEnd w:id="59"/>
      <w:r>
        <w:rPr>
          <w:rFonts w:hint="eastAsia" w:ascii="微软雅黑" w:hAnsi="微软雅黑" w:eastAsia="微软雅黑" w:cs="微软雅黑"/>
          <w:b/>
          <w:bCs/>
          <w:i w:val="0"/>
          <w:iCs w:val="0"/>
          <w:caps w:val="0"/>
          <w:color w:val="000000"/>
          <w:spacing w:val="0"/>
          <w:kern w:val="2"/>
          <w:sz w:val="28"/>
          <w:szCs w:val="28"/>
          <w:shd w:val="clear" w:fill="FFFFFF"/>
          <w:lang w:val="en-US" w:eastAsia="zh-CN" w:bidi="ar-SA"/>
        </w:rPr>
        <w:t xml:space="preserve"> </w:t>
      </w:r>
    </w:p>
    <w:p w14:paraId="7600224B">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1.</w:t>
      </w:r>
      <w:r>
        <w:rPr>
          <w:rFonts w:hint="eastAsia" w:ascii="微软雅黑" w:hAnsi="微软雅黑" w:eastAsia="微软雅黑" w:cs="微软雅黑"/>
          <w:i w:val="0"/>
          <w:iCs w:val="0"/>
          <w:caps w:val="0"/>
          <w:color w:val="000000"/>
          <w:spacing w:val="0"/>
          <w:sz w:val="28"/>
          <w:szCs w:val="28"/>
          <w:shd w:val="clear" w:fill="FFFFFF"/>
          <w:lang w:eastAsia="zh-CN"/>
        </w:rPr>
        <w:t>殡葬服务设施用地规模：规划期内殡葬服务设施总用地174亩，其中近期殡</w:t>
      </w:r>
      <w:r>
        <w:rPr>
          <w:rFonts w:hint="eastAsia" w:ascii="微软雅黑" w:hAnsi="微软雅黑" w:eastAsia="微软雅黑" w:cs="微软雅黑"/>
          <w:i w:val="0"/>
          <w:iCs w:val="0"/>
          <w:caps w:val="0"/>
          <w:color w:val="000000"/>
          <w:spacing w:val="0"/>
          <w:sz w:val="28"/>
          <w:szCs w:val="28"/>
          <w:shd w:val="clear" w:fill="FFFFFF"/>
          <w:lang w:val="en-US" w:eastAsia="zh-CN"/>
        </w:rPr>
        <w:t>葬</w:t>
      </w:r>
      <w:r>
        <w:rPr>
          <w:rFonts w:hint="eastAsia" w:ascii="微软雅黑" w:hAnsi="微软雅黑" w:eastAsia="微软雅黑" w:cs="微软雅黑"/>
          <w:i w:val="0"/>
          <w:iCs w:val="0"/>
          <w:caps w:val="0"/>
          <w:color w:val="000000"/>
          <w:spacing w:val="0"/>
          <w:sz w:val="28"/>
          <w:szCs w:val="28"/>
          <w:shd w:val="clear" w:fill="FFFFFF"/>
          <w:lang w:eastAsia="zh-CN"/>
        </w:rPr>
        <w:t>服务中心改扩建用地约30亩；远期殡</w:t>
      </w:r>
      <w:r>
        <w:rPr>
          <w:rFonts w:hint="eastAsia" w:ascii="微软雅黑" w:hAnsi="微软雅黑" w:eastAsia="微软雅黑" w:cs="微软雅黑"/>
          <w:i w:val="0"/>
          <w:iCs w:val="0"/>
          <w:caps w:val="0"/>
          <w:color w:val="000000"/>
          <w:spacing w:val="0"/>
          <w:sz w:val="28"/>
          <w:szCs w:val="28"/>
          <w:shd w:val="clear" w:fill="FFFFFF"/>
          <w:lang w:val="en-US" w:eastAsia="zh-CN"/>
        </w:rPr>
        <w:t>葬</w:t>
      </w:r>
      <w:r>
        <w:rPr>
          <w:rFonts w:hint="eastAsia" w:ascii="微软雅黑" w:hAnsi="微软雅黑" w:eastAsia="微软雅黑" w:cs="微软雅黑"/>
          <w:i w:val="0"/>
          <w:iCs w:val="0"/>
          <w:caps w:val="0"/>
          <w:color w:val="000000"/>
          <w:spacing w:val="0"/>
          <w:sz w:val="28"/>
          <w:szCs w:val="28"/>
          <w:shd w:val="clear" w:fill="FFFFFF"/>
          <w:lang w:eastAsia="zh-CN"/>
        </w:rPr>
        <w:t xml:space="preserve">服务中心迁建110亩，乡镇殡仪服务站用地约34亩。 </w:t>
      </w:r>
    </w:p>
    <w:p w14:paraId="24630875">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2.</w:t>
      </w:r>
      <w:r>
        <w:rPr>
          <w:rFonts w:hint="eastAsia" w:ascii="微软雅黑" w:hAnsi="微软雅黑" w:eastAsia="微软雅黑" w:cs="微软雅黑"/>
          <w:i w:val="0"/>
          <w:iCs w:val="0"/>
          <w:caps w:val="0"/>
          <w:color w:val="000000"/>
          <w:spacing w:val="0"/>
          <w:sz w:val="28"/>
          <w:szCs w:val="28"/>
          <w:shd w:val="clear" w:fill="FFFFFF"/>
          <w:lang w:eastAsia="zh-CN"/>
        </w:rPr>
        <w:t>公益性安葬（放）设施用地规模：规划期内公益性安葬（放）设施总用地约2399.50亩；其中近期公益性安葬（放）设施用地约1722.50亩；远期公益性安葬（放）设施总用地约677亩。</w:t>
      </w:r>
    </w:p>
    <w:p w14:paraId="0B978395">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以上两者合计规划期内殡葬设施总用地约2573.50</w:t>
      </w:r>
      <w:r>
        <w:rPr>
          <w:rFonts w:hint="eastAsia" w:ascii="微软雅黑" w:hAnsi="微软雅黑" w:eastAsia="微软雅黑" w:cs="微软雅黑"/>
          <w:i w:val="0"/>
          <w:iCs w:val="0"/>
          <w:caps w:val="0"/>
          <w:color w:val="000000"/>
          <w:spacing w:val="0"/>
          <w:sz w:val="28"/>
          <w:szCs w:val="28"/>
          <w:shd w:val="clear" w:fill="FFFFFF"/>
          <w:lang w:val="en-US" w:eastAsia="zh-CN"/>
        </w:rPr>
        <w:t>亩</w:t>
      </w:r>
      <w:r>
        <w:rPr>
          <w:rFonts w:hint="eastAsia" w:ascii="微软雅黑" w:hAnsi="微软雅黑" w:eastAsia="微软雅黑" w:cs="微软雅黑"/>
          <w:i w:val="0"/>
          <w:iCs w:val="0"/>
          <w:caps w:val="0"/>
          <w:color w:val="000000"/>
          <w:spacing w:val="0"/>
          <w:sz w:val="28"/>
          <w:szCs w:val="28"/>
          <w:shd w:val="clear" w:fill="FFFFFF"/>
          <w:lang w:eastAsia="zh-CN"/>
        </w:rPr>
        <w:t xml:space="preserve">，其中近期殡葬设施用地约1752.50亩，远期殡葬设施用地约821亩。 </w:t>
      </w:r>
    </w:p>
    <w:p w14:paraId="4A4D6455">
      <w:pPr>
        <w:numPr>
          <w:ilvl w:val="0"/>
          <w:numId w:val="0"/>
        </w:numPr>
        <w:ind w:left="0" w:leftChars="0" w:firstLine="560" w:firstLineChars="200"/>
        <w:outlineLvl w:val="9"/>
        <w:rPr>
          <w:rFonts w:hint="eastAsia" w:ascii="微软雅黑" w:hAnsi="微软雅黑" w:eastAsia="微软雅黑" w:cs="微软雅黑"/>
          <w:i w:val="0"/>
          <w:iCs w:val="0"/>
          <w:caps w:val="0"/>
          <w:color w:val="000000"/>
          <w:spacing w:val="0"/>
          <w:sz w:val="28"/>
          <w:szCs w:val="28"/>
          <w:shd w:val="clear" w:fill="FFFFFF"/>
          <w:lang w:val="en-US" w:eastAsia="zh-CN"/>
        </w:rPr>
      </w:pPr>
      <w:bookmarkStart w:id="60" w:name="_Toc20330"/>
      <w:r>
        <w:rPr>
          <w:rFonts w:hint="eastAsia" w:ascii="微软雅黑" w:hAnsi="微软雅黑" w:eastAsia="微软雅黑" w:cs="微软雅黑"/>
          <w:i w:val="0"/>
          <w:iCs w:val="0"/>
          <w:caps w:val="0"/>
          <w:color w:val="000000"/>
          <w:spacing w:val="0"/>
          <w:sz w:val="28"/>
          <w:szCs w:val="28"/>
          <w:shd w:val="clear" w:fill="FFFFFF"/>
          <w:lang w:val="en-US" w:eastAsia="zh-CN"/>
        </w:rPr>
        <w:t>4. 殡葬设施用地规模</w:t>
      </w:r>
      <w:bookmarkEnd w:id="60"/>
      <w:r>
        <w:rPr>
          <w:rFonts w:hint="eastAsia" w:ascii="微软雅黑" w:hAnsi="微软雅黑" w:eastAsia="微软雅黑" w:cs="微软雅黑"/>
          <w:i w:val="0"/>
          <w:iCs w:val="0"/>
          <w:caps w:val="0"/>
          <w:color w:val="000000"/>
          <w:spacing w:val="0"/>
          <w:sz w:val="28"/>
          <w:szCs w:val="28"/>
          <w:shd w:val="clear" w:fill="FFFFFF"/>
          <w:lang w:val="en-US" w:eastAsia="zh-CN"/>
        </w:rPr>
        <w:t>预测依据：村级骨灰堂平均按0.5亩/村（不含附属道路、停车场等公用设施用地），村级生命公园按服务区域人口1万以内按5亩、人口超过1万的按10亩）预测；乡镇公益性生命公园按服务区域人口5万人以上20亩，1-5万人按10亩，1万以内按5亩预测；村级集中办丧场所利用村现有公共场所不新增用地；其他按省市规定预测。</w:t>
      </w:r>
    </w:p>
    <w:p w14:paraId="7E8F9703">
      <w:pPr>
        <w:spacing w:line="437" w:lineRule="exact"/>
        <w:ind w:left="217" w:right="0" w:firstLine="0"/>
        <w:jc w:val="left"/>
        <w:rPr>
          <w:rFonts w:ascii="Microsoft YaHei UI" w:hAnsi="Microsoft YaHei UI" w:eastAsia="Microsoft YaHei UI" w:cs="Microsoft YaHei UI"/>
          <w:b/>
          <w:bCs/>
          <w:spacing w:val="0"/>
          <w:w w:val="100"/>
          <w:sz w:val="32"/>
          <w:szCs w:val="32"/>
        </w:rPr>
      </w:pPr>
    </w:p>
    <w:p w14:paraId="2D3D89F4">
      <w:pPr>
        <w:spacing w:line="437" w:lineRule="exact"/>
        <w:ind w:left="217" w:right="0" w:firstLine="0"/>
        <w:jc w:val="center"/>
        <w:rPr>
          <w:rFonts w:ascii="Microsoft YaHei UI" w:hAnsi="Microsoft YaHei UI" w:eastAsia="Microsoft YaHei UI" w:cs="Microsoft YaHei UI"/>
          <w:b/>
          <w:bCs/>
          <w:spacing w:val="0"/>
          <w:w w:val="100"/>
          <w:sz w:val="28"/>
          <w:szCs w:val="28"/>
        </w:rPr>
      </w:pPr>
      <w:r>
        <w:rPr>
          <w:rFonts w:hint="eastAsia" w:ascii="微软雅黑" w:hAnsi="微软雅黑" w:eastAsia="微软雅黑" w:cs="微软雅黑"/>
          <w:b/>
          <w:bCs/>
          <w:i w:val="0"/>
          <w:iCs w:val="0"/>
          <w:caps w:val="0"/>
          <w:color w:val="000000"/>
          <w:spacing w:val="0"/>
          <w:sz w:val="24"/>
          <w:szCs w:val="24"/>
          <w:shd w:val="clear" w:fill="FFFFFF"/>
          <w:lang w:val="en-US" w:eastAsia="zh-CN"/>
        </w:rPr>
        <w:t>规划用地规模表</w:t>
      </w:r>
    </w:p>
    <w:p w14:paraId="61F573A3">
      <w:pPr>
        <w:spacing w:line="437" w:lineRule="exact"/>
        <w:ind w:left="217" w:right="0" w:firstLine="0"/>
        <w:jc w:val="left"/>
        <w:rPr>
          <w:rFonts w:ascii="Microsoft YaHei UI" w:hAnsi="Microsoft YaHei UI" w:eastAsia="Microsoft YaHei UI" w:cs="Microsoft YaHei UI"/>
          <w:b/>
          <w:bCs/>
          <w:spacing w:val="0"/>
          <w:w w:val="100"/>
          <w:sz w:val="32"/>
          <w:szCs w:val="32"/>
        </w:rPr>
      </w:pPr>
    </w:p>
    <w:tbl>
      <w:tblPr>
        <w:tblStyle w:val="10"/>
        <w:tblW w:w="101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100"/>
        <w:gridCol w:w="842"/>
        <w:gridCol w:w="978"/>
        <w:gridCol w:w="1026"/>
        <w:gridCol w:w="904"/>
        <w:gridCol w:w="1171"/>
        <w:gridCol w:w="914"/>
        <w:gridCol w:w="1112"/>
        <w:gridCol w:w="1000"/>
      </w:tblGrid>
      <w:tr w14:paraId="7395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6" w:hRule="atLeast"/>
        </w:trPr>
        <w:tc>
          <w:tcPr>
            <w:tcW w:w="1100" w:type="dxa"/>
          </w:tcPr>
          <w:p w14:paraId="6F2A455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名称</w:t>
            </w:r>
          </w:p>
        </w:tc>
        <w:tc>
          <w:tcPr>
            <w:tcW w:w="1100" w:type="dxa"/>
          </w:tcPr>
          <w:p w14:paraId="1DB17C7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户籍人口数量</w:t>
            </w:r>
          </w:p>
        </w:tc>
        <w:tc>
          <w:tcPr>
            <w:tcW w:w="842" w:type="dxa"/>
          </w:tcPr>
          <w:p w14:paraId="59E209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行政村数</w:t>
            </w:r>
          </w:p>
        </w:tc>
        <w:tc>
          <w:tcPr>
            <w:tcW w:w="978" w:type="dxa"/>
          </w:tcPr>
          <w:p w14:paraId="504826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公墓用地规模（亩）</w:t>
            </w:r>
          </w:p>
        </w:tc>
        <w:tc>
          <w:tcPr>
            <w:tcW w:w="1026" w:type="dxa"/>
          </w:tcPr>
          <w:p w14:paraId="405B9E5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乡镇生命公园（亩）</w:t>
            </w:r>
          </w:p>
        </w:tc>
        <w:tc>
          <w:tcPr>
            <w:tcW w:w="904" w:type="dxa"/>
          </w:tcPr>
          <w:p w14:paraId="7F9623F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村级生命公园（亩）</w:t>
            </w:r>
          </w:p>
        </w:tc>
        <w:tc>
          <w:tcPr>
            <w:tcW w:w="1171" w:type="dxa"/>
          </w:tcPr>
          <w:p w14:paraId="4FE036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骨灰堂用地规模（亩）</w:t>
            </w:r>
          </w:p>
        </w:tc>
        <w:tc>
          <w:tcPr>
            <w:tcW w:w="914" w:type="dxa"/>
          </w:tcPr>
          <w:p w14:paraId="05DAF84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殡仪服务站（亩）</w:t>
            </w:r>
          </w:p>
        </w:tc>
        <w:tc>
          <w:tcPr>
            <w:tcW w:w="1112" w:type="dxa"/>
          </w:tcPr>
          <w:p w14:paraId="024F1A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合计用地规模（亩）</w:t>
            </w:r>
          </w:p>
          <w:p w14:paraId="4350AC31">
            <w:pPr>
              <w:keepNext w:val="0"/>
              <w:keepLines w:val="0"/>
              <w:pageBreakBefore w:val="0"/>
              <w:widowControl w:val="0"/>
              <w:kinsoku/>
              <w:wordWrap/>
              <w:overflowPunct/>
              <w:topLinePunct w:val="0"/>
              <w:autoSpaceDE/>
              <w:autoSpaceDN/>
              <w:bidi w:val="0"/>
              <w:adjustRightInd/>
              <w:snapToGrid/>
              <w:spacing w:line="560" w:lineRule="exact"/>
              <w:ind w:firstLine="241" w:firstLineChars="100"/>
              <w:textAlignment w:val="auto"/>
              <w:rPr>
                <w:rFonts w:hint="eastAsia" w:ascii="仿宋_GB2312" w:hAnsi="仿宋_GB2312" w:eastAsia="仿宋_GB2312" w:cs="仿宋_GB2312"/>
                <w:b/>
                <w:bCs/>
                <w:sz w:val="24"/>
                <w:szCs w:val="24"/>
                <w:vertAlign w:val="baseline"/>
                <w:lang w:val="en-US" w:eastAsia="zh-CN"/>
              </w:rPr>
            </w:pPr>
          </w:p>
        </w:tc>
        <w:tc>
          <w:tcPr>
            <w:tcW w:w="1000" w:type="dxa"/>
          </w:tcPr>
          <w:p w14:paraId="5563BD9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备注</w:t>
            </w:r>
          </w:p>
        </w:tc>
      </w:tr>
      <w:tr w14:paraId="368B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tcPr>
          <w:p w14:paraId="4EF10C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bCs/>
                <w:sz w:val="24"/>
                <w:szCs w:val="24"/>
                <w:vertAlign w:val="baseline"/>
                <w:lang w:val="en-US" w:eastAsia="zh-CN"/>
              </w:rPr>
              <w:t>近期</w:t>
            </w:r>
          </w:p>
        </w:tc>
        <w:tc>
          <w:tcPr>
            <w:tcW w:w="1100" w:type="dxa"/>
          </w:tcPr>
          <w:p w14:paraId="54A191C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842" w:type="dxa"/>
          </w:tcPr>
          <w:p w14:paraId="21D7EDB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978" w:type="dxa"/>
          </w:tcPr>
          <w:p w14:paraId="7DDC587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1026" w:type="dxa"/>
          </w:tcPr>
          <w:p w14:paraId="19CA484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904" w:type="dxa"/>
          </w:tcPr>
          <w:p w14:paraId="2527D92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1171" w:type="dxa"/>
          </w:tcPr>
          <w:p w14:paraId="7A2B35B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914" w:type="dxa"/>
          </w:tcPr>
          <w:p w14:paraId="50E117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p>
        </w:tc>
        <w:tc>
          <w:tcPr>
            <w:tcW w:w="1112" w:type="dxa"/>
          </w:tcPr>
          <w:p w14:paraId="6340D64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1752.50</w:t>
            </w:r>
          </w:p>
        </w:tc>
        <w:tc>
          <w:tcPr>
            <w:tcW w:w="1000" w:type="dxa"/>
          </w:tcPr>
          <w:p w14:paraId="40C56B7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p>
        </w:tc>
      </w:tr>
      <w:tr w14:paraId="2B3F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00" w:type="dxa"/>
          </w:tcPr>
          <w:p w14:paraId="6D3E65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24"/>
                <w:szCs w:val="24"/>
                <w:vertAlign w:val="baseline"/>
                <w:lang w:val="en-US" w:eastAsia="zh-CN"/>
              </w:rPr>
              <w:t>张坊岽生命公园</w:t>
            </w:r>
          </w:p>
        </w:tc>
        <w:tc>
          <w:tcPr>
            <w:tcW w:w="1100" w:type="dxa"/>
          </w:tcPr>
          <w:p w14:paraId="788DBA8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842" w:type="dxa"/>
          </w:tcPr>
          <w:p w14:paraId="0972FB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978" w:type="dxa"/>
            <w:shd w:val="clear" w:color="auto" w:fill="auto"/>
            <w:vAlign w:val="top"/>
          </w:tcPr>
          <w:p w14:paraId="4DF2F3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24"/>
                <w:szCs w:val="24"/>
                <w:vertAlign w:val="baseline"/>
                <w:lang w:val="en-US" w:eastAsia="zh-CN"/>
              </w:rPr>
              <w:t>276</w:t>
            </w:r>
          </w:p>
        </w:tc>
        <w:tc>
          <w:tcPr>
            <w:tcW w:w="1026" w:type="dxa"/>
          </w:tcPr>
          <w:p w14:paraId="502E4F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904" w:type="dxa"/>
          </w:tcPr>
          <w:p w14:paraId="48D513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1171" w:type="dxa"/>
          </w:tcPr>
          <w:p w14:paraId="25673A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914" w:type="dxa"/>
          </w:tcPr>
          <w:p w14:paraId="3DE5FB6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vertAlign w:val="baseline"/>
                <w:lang w:val="en-US" w:eastAsia="zh-CN"/>
              </w:rPr>
            </w:pPr>
          </w:p>
        </w:tc>
        <w:tc>
          <w:tcPr>
            <w:tcW w:w="1112" w:type="dxa"/>
          </w:tcPr>
          <w:p w14:paraId="7B61E4D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24"/>
                <w:szCs w:val="24"/>
                <w:vertAlign w:val="baseline"/>
                <w:lang w:val="en-US" w:eastAsia="zh-CN"/>
              </w:rPr>
              <w:t>276</w:t>
            </w:r>
          </w:p>
        </w:tc>
        <w:tc>
          <w:tcPr>
            <w:tcW w:w="1000" w:type="dxa"/>
          </w:tcPr>
          <w:p w14:paraId="2FA5FD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color w:val="0000FF"/>
                <w:sz w:val="24"/>
                <w:szCs w:val="24"/>
                <w:vertAlign w:val="baseline"/>
                <w:lang w:val="en-US" w:eastAsia="zh-CN"/>
              </w:rPr>
              <w:t>已办理</w:t>
            </w:r>
          </w:p>
        </w:tc>
      </w:tr>
      <w:tr w14:paraId="62D3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2A52E7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殡葬服务中心改扩建</w:t>
            </w:r>
          </w:p>
        </w:tc>
        <w:tc>
          <w:tcPr>
            <w:tcW w:w="1100" w:type="dxa"/>
            <w:vAlign w:val="top"/>
          </w:tcPr>
          <w:p w14:paraId="3BEE04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138344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05340BC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0FAE37A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085A271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7F1200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28D8B1B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04AAB2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30</w:t>
            </w:r>
          </w:p>
        </w:tc>
        <w:tc>
          <w:tcPr>
            <w:tcW w:w="1000" w:type="dxa"/>
          </w:tcPr>
          <w:p w14:paraId="5DEFE1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51C3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06980A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古城镇</w:t>
            </w:r>
          </w:p>
        </w:tc>
        <w:tc>
          <w:tcPr>
            <w:tcW w:w="1100" w:type="dxa"/>
            <w:vAlign w:val="top"/>
          </w:tcPr>
          <w:p w14:paraId="429C9A5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17622</w:t>
            </w:r>
          </w:p>
        </w:tc>
        <w:tc>
          <w:tcPr>
            <w:tcW w:w="842" w:type="dxa"/>
            <w:vAlign w:val="top"/>
          </w:tcPr>
          <w:p w14:paraId="66EFE29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w:t>
            </w:r>
          </w:p>
        </w:tc>
        <w:tc>
          <w:tcPr>
            <w:tcW w:w="978" w:type="dxa"/>
            <w:vAlign w:val="top"/>
          </w:tcPr>
          <w:p w14:paraId="259BA00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vAlign w:val="top"/>
          </w:tcPr>
          <w:p w14:paraId="0BC5E83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vAlign w:val="top"/>
          </w:tcPr>
          <w:p w14:paraId="3CEB3B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85</w:t>
            </w:r>
          </w:p>
        </w:tc>
        <w:tc>
          <w:tcPr>
            <w:tcW w:w="1171" w:type="dxa"/>
            <w:vAlign w:val="top"/>
          </w:tcPr>
          <w:p w14:paraId="67F5DFC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8.5</w:t>
            </w:r>
          </w:p>
        </w:tc>
        <w:tc>
          <w:tcPr>
            <w:tcW w:w="914" w:type="dxa"/>
            <w:vAlign w:val="top"/>
          </w:tcPr>
          <w:p w14:paraId="4F201B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7E0E67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118.5</w:t>
            </w:r>
          </w:p>
        </w:tc>
        <w:tc>
          <w:tcPr>
            <w:tcW w:w="1000" w:type="dxa"/>
          </w:tcPr>
          <w:p w14:paraId="2D7BE01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7FE6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48503BC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大同镇</w:t>
            </w:r>
          </w:p>
        </w:tc>
        <w:tc>
          <w:tcPr>
            <w:tcW w:w="1100" w:type="dxa"/>
            <w:vAlign w:val="top"/>
          </w:tcPr>
          <w:p w14:paraId="4F52ACE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56145</w:t>
            </w:r>
          </w:p>
        </w:tc>
        <w:tc>
          <w:tcPr>
            <w:tcW w:w="842" w:type="dxa"/>
            <w:vAlign w:val="top"/>
          </w:tcPr>
          <w:p w14:paraId="342872E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30</w:t>
            </w:r>
          </w:p>
        </w:tc>
        <w:tc>
          <w:tcPr>
            <w:tcW w:w="978" w:type="dxa"/>
            <w:vAlign w:val="top"/>
          </w:tcPr>
          <w:p w14:paraId="112EC31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1026" w:type="dxa"/>
            <w:vAlign w:val="top"/>
          </w:tcPr>
          <w:p w14:paraId="429F6EB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904" w:type="dxa"/>
            <w:vAlign w:val="top"/>
          </w:tcPr>
          <w:p w14:paraId="6792BF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165</w:t>
            </w:r>
          </w:p>
        </w:tc>
        <w:tc>
          <w:tcPr>
            <w:tcW w:w="1171" w:type="dxa"/>
            <w:vAlign w:val="top"/>
          </w:tcPr>
          <w:p w14:paraId="76DC00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914" w:type="dxa"/>
            <w:vAlign w:val="top"/>
          </w:tcPr>
          <w:p w14:paraId="1C149D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1B0D77C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220</w:t>
            </w:r>
          </w:p>
        </w:tc>
        <w:tc>
          <w:tcPr>
            <w:tcW w:w="1000" w:type="dxa"/>
          </w:tcPr>
          <w:p w14:paraId="2F90F7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705F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72DD98C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策武镇</w:t>
            </w:r>
          </w:p>
        </w:tc>
        <w:tc>
          <w:tcPr>
            <w:tcW w:w="1100" w:type="dxa"/>
            <w:vAlign w:val="top"/>
          </w:tcPr>
          <w:p w14:paraId="23CA450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30528</w:t>
            </w:r>
          </w:p>
        </w:tc>
        <w:tc>
          <w:tcPr>
            <w:tcW w:w="842" w:type="dxa"/>
            <w:vAlign w:val="top"/>
          </w:tcPr>
          <w:p w14:paraId="7CA4BD3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w:t>
            </w:r>
          </w:p>
        </w:tc>
        <w:tc>
          <w:tcPr>
            <w:tcW w:w="978" w:type="dxa"/>
            <w:vAlign w:val="top"/>
          </w:tcPr>
          <w:p w14:paraId="6714248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vAlign w:val="top"/>
          </w:tcPr>
          <w:p w14:paraId="4B93339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vAlign w:val="top"/>
          </w:tcPr>
          <w:p w14:paraId="1F9AB2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70</w:t>
            </w:r>
          </w:p>
        </w:tc>
        <w:tc>
          <w:tcPr>
            <w:tcW w:w="1171" w:type="dxa"/>
            <w:vAlign w:val="top"/>
          </w:tcPr>
          <w:p w14:paraId="0D57D8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914" w:type="dxa"/>
            <w:vAlign w:val="top"/>
          </w:tcPr>
          <w:p w14:paraId="19773A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5F0C1E5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102</w:t>
            </w:r>
          </w:p>
        </w:tc>
        <w:tc>
          <w:tcPr>
            <w:tcW w:w="1000" w:type="dxa"/>
          </w:tcPr>
          <w:p w14:paraId="103EE51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79B4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66BA61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河田镇</w:t>
            </w:r>
          </w:p>
        </w:tc>
        <w:tc>
          <w:tcPr>
            <w:tcW w:w="1100" w:type="dxa"/>
            <w:vAlign w:val="top"/>
          </w:tcPr>
          <w:p w14:paraId="1D55E70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73358</w:t>
            </w:r>
          </w:p>
        </w:tc>
        <w:tc>
          <w:tcPr>
            <w:tcW w:w="842" w:type="dxa"/>
            <w:vAlign w:val="top"/>
          </w:tcPr>
          <w:p w14:paraId="252444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31</w:t>
            </w:r>
          </w:p>
        </w:tc>
        <w:tc>
          <w:tcPr>
            <w:tcW w:w="978" w:type="dxa"/>
            <w:vAlign w:val="top"/>
          </w:tcPr>
          <w:p w14:paraId="11C7F60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1026" w:type="dxa"/>
            <w:vAlign w:val="top"/>
          </w:tcPr>
          <w:p w14:paraId="35AF4E1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904" w:type="dxa"/>
            <w:vAlign w:val="top"/>
          </w:tcPr>
          <w:p w14:paraId="1AA4324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160</w:t>
            </w:r>
          </w:p>
        </w:tc>
        <w:tc>
          <w:tcPr>
            <w:tcW w:w="1171" w:type="dxa"/>
            <w:vAlign w:val="top"/>
          </w:tcPr>
          <w:p w14:paraId="281C1EA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15.5</w:t>
            </w:r>
          </w:p>
        </w:tc>
        <w:tc>
          <w:tcPr>
            <w:tcW w:w="914" w:type="dxa"/>
            <w:vAlign w:val="top"/>
          </w:tcPr>
          <w:p w14:paraId="3F1729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5A92406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215.50</w:t>
            </w:r>
          </w:p>
        </w:tc>
        <w:tc>
          <w:tcPr>
            <w:tcW w:w="1000" w:type="dxa"/>
          </w:tcPr>
          <w:p w14:paraId="6378C5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1007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3E25BBC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南山镇</w:t>
            </w:r>
          </w:p>
        </w:tc>
        <w:tc>
          <w:tcPr>
            <w:tcW w:w="1100" w:type="dxa"/>
            <w:vAlign w:val="top"/>
          </w:tcPr>
          <w:p w14:paraId="67C530F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38497</w:t>
            </w:r>
          </w:p>
        </w:tc>
        <w:tc>
          <w:tcPr>
            <w:tcW w:w="842" w:type="dxa"/>
            <w:vAlign w:val="top"/>
          </w:tcPr>
          <w:p w14:paraId="31CEA8F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w:t>
            </w:r>
          </w:p>
        </w:tc>
        <w:tc>
          <w:tcPr>
            <w:tcW w:w="978" w:type="dxa"/>
            <w:vAlign w:val="top"/>
          </w:tcPr>
          <w:p w14:paraId="40C9412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vAlign w:val="top"/>
          </w:tcPr>
          <w:p w14:paraId="6EDFE38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vAlign w:val="top"/>
          </w:tcPr>
          <w:p w14:paraId="3DA8A1B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105</w:t>
            </w:r>
          </w:p>
        </w:tc>
        <w:tc>
          <w:tcPr>
            <w:tcW w:w="1171" w:type="dxa"/>
            <w:vAlign w:val="top"/>
          </w:tcPr>
          <w:p w14:paraId="7205DDC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10.5</w:t>
            </w:r>
          </w:p>
        </w:tc>
        <w:tc>
          <w:tcPr>
            <w:tcW w:w="914" w:type="dxa"/>
            <w:vAlign w:val="top"/>
          </w:tcPr>
          <w:p w14:paraId="0B2BBE3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16E7902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140.50</w:t>
            </w:r>
          </w:p>
        </w:tc>
        <w:tc>
          <w:tcPr>
            <w:tcW w:w="1000" w:type="dxa"/>
          </w:tcPr>
          <w:p w14:paraId="31E736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4C40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309D159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三洲镇</w:t>
            </w:r>
          </w:p>
        </w:tc>
        <w:tc>
          <w:tcPr>
            <w:tcW w:w="1100" w:type="dxa"/>
            <w:vAlign w:val="top"/>
          </w:tcPr>
          <w:p w14:paraId="6977898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16226</w:t>
            </w:r>
          </w:p>
        </w:tc>
        <w:tc>
          <w:tcPr>
            <w:tcW w:w="842" w:type="dxa"/>
            <w:vAlign w:val="top"/>
          </w:tcPr>
          <w:p w14:paraId="27BC69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978" w:type="dxa"/>
            <w:vAlign w:val="top"/>
          </w:tcPr>
          <w:p w14:paraId="605380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vAlign w:val="top"/>
          </w:tcPr>
          <w:p w14:paraId="071494E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vAlign w:val="top"/>
          </w:tcPr>
          <w:p w14:paraId="037DB04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40</w:t>
            </w:r>
          </w:p>
        </w:tc>
        <w:tc>
          <w:tcPr>
            <w:tcW w:w="1171" w:type="dxa"/>
            <w:vAlign w:val="top"/>
          </w:tcPr>
          <w:p w14:paraId="2376FB6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914" w:type="dxa"/>
            <w:vAlign w:val="top"/>
          </w:tcPr>
          <w:p w14:paraId="7912FF2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58A1FE8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69</w:t>
            </w:r>
          </w:p>
        </w:tc>
        <w:tc>
          <w:tcPr>
            <w:tcW w:w="1000" w:type="dxa"/>
          </w:tcPr>
          <w:p w14:paraId="65F820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63EB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25FAAA6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四都镇</w:t>
            </w:r>
          </w:p>
        </w:tc>
        <w:tc>
          <w:tcPr>
            <w:tcW w:w="1100" w:type="dxa"/>
            <w:vAlign w:val="top"/>
          </w:tcPr>
          <w:p w14:paraId="334DD67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16725</w:t>
            </w:r>
          </w:p>
        </w:tc>
        <w:tc>
          <w:tcPr>
            <w:tcW w:w="842" w:type="dxa"/>
            <w:vAlign w:val="top"/>
          </w:tcPr>
          <w:p w14:paraId="0DB189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w:t>
            </w:r>
          </w:p>
        </w:tc>
        <w:tc>
          <w:tcPr>
            <w:tcW w:w="978" w:type="dxa"/>
            <w:vAlign w:val="top"/>
          </w:tcPr>
          <w:p w14:paraId="4FD9E7A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vAlign w:val="top"/>
          </w:tcPr>
          <w:p w14:paraId="28706BF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vAlign w:val="top"/>
          </w:tcPr>
          <w:p w14:paraId="77DF387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90</w:t>
            </w:r>
          </w:p>
        </w:tc>
        <w:tc>
          <w:tcPr>
            <w:tcW w:w="1171" w:type="dxa"/>
            <w:vAlign w:val="top"/>
          </w:tcPr>
          <w:p w14:paraId="50CABE7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914" w:type="dxa"/>
            <w:vAlign w:val="top"/>
          </w:tcPr>
          <w:p w14:paraId="258F624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305CC6A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124</w:t>
            </w:r>
          </w:p>
        </w:tc>
        <w:tc>
          <w:tcPr>
            <w:tcW w:w="1000" w:type="dxa"/>
          </w:tcPr>
          <w:p w14:paraId="088013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4311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61A0CAB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濯田镇</w:t>
            </w:r>
          </w:p>
        </w:tc>
        <w:tc>
          <w:tcPr>
            <w:tcW w:w="1100" w:type="dxa"/>
            <w:vAlign w:val="top"/>
          </w:tcPr>
          <w:p w14:paraId="2770CEF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57462</w:t>
            </w:r>
          </w:p>
        </w:tc>
        <w:tc>
          <w:tcPr>
            <w:tcW w:w="842" w:type="dxa"/>
            <w:vAlign w:val="top"/>
          </w:tcPr>
          <w:p w14:paraId="03A350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40</w:t>
            </w:r>
          </w:p>
        </w:tc>
        <w:tc>
          <w:tcPr>
            <w:tcW w:w="978" w:type="dxa"/>
            <w:vAlign w:val="top"/>
          </w:tcPr>
          <w:p w14:paraId="3282E65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1026" w:type="dxa"/>
            <w:vAlign w:val="top"/>
          </w:tcPr>
          <w:p w14:paraId="38814AD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904" w:type="dxa"/>
            <w:vAlign w:val="top"/>
          </w:tcPr>
          <w:p w14:paraId="168A96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210</w:t>
            </w:r>
          </w:p>
        </w:tc>
        <w:tc>
          <w:tcPr>
            <w:tcW w:w="1171" w:type="dxa"/>
            <w:vAlign w:val="top"/>
          </w:tcPr>
          <w:p w14:paraId="782980C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914" w:type="dxa"/>
            <w:vAlign w:val="top"/>
          </w:tcPr>
          <w:p w14:paraId="5E96688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086F204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270</w:t>
            </w:r>
          </w:p>
        </w:tc>
        <w:tc>
          <w:tcPr>
            <w:tcW w:w="1000" w:type="dxa"/>
          </w:tcPr>
          <w:p w14:paraId="43F2F0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2E18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005B103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新桥镇</w:t>
            </w:r>
          </w:p>
        </w:tc>
        <w:tc>
          <w:tcPr>
            <w:tcW w:w="1100" w:type="dxa"/>
            <w:vAlign w:val="top"/>
          </w:tcPr>
          <w:p w14:paraId="51B4AFF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37588</w:t>
            </w:r>
          </w:p>
        </w:tc>
        <w:tc>
          <w:tcPr>
            <w:tcW w:w="842" w:type="dxa"/>
            <w:vAlign w:val="top"/>
          </w:tcPr>
          <w:p w14:paraId="5A5EABA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978" w:type="dxa"/>
            <w:vAlign w:val="top"/>
          </w:tcPr>
          <w:p w14:paraId="4390FD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vAlign w:val="top"/>
          </w:tcPr>
          <w:p w14:paraId="02FEC08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vAlign w:val="top"/>
          </w:tcPr>
          <w:p w14:paraId="3DDD51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100</w:t>
            </w:r>
          </w:p>
        </w:tc>
        <w:tc>
          <w:tcPr>
            <w:tcW w:w="1171" w:type="dxa"/>
            <w:vAlign w:val="top"/>
          </w:tcPr>
          <w:p w14:paraId="64E90B9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14" w:type="dxa"/>
            <w:vAlign w:val="top"/>
          </w:tcPr>
          <w:p w14:paraId="428C9F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4B330EA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135</w:t>
            </w:r>
          </w:p>
        </w:tc>
        <w:tc>
          <w:tcPr>
            <w:tcW w:w="1000" w:type="dxa"/>
          </w:tcPr>
          <w:p w14:paraId="2F7740F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2D4F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0C43DCB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庵杰乡</w:t>
            </w:r>
          </w:p>
        </w:tc>
        <w:tc>
          <w:tcPr>
            <w:tcW w:w="1100" w:type="dxa"/>
            <w:vAlign w:val="top"/>
          </w:tcPr>
          <w:p w14:paraId="62CF6D8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10020</w:t>
            </w:r>
          </w:p>
        </w:tc>
        <w:tc>
          <w:tcPr>
            <w:tcW w:w="842" w:type="dxa"/>
            <w:vAlign w:val="top"/>
          </w:tcPr>
          <w:p w14:paraId="4ED9B97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978" w:type="dxa"/>
            <w:vAlign w:val="top"/>
          </w:tcPr>
          <w:p w14:paraId="72FA28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vAlign w:val="top"/>
          </w:tcPr>
          <w:p w14:paraId="04F2B0E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vAlign w:val="top"/>
          </w:tcPr>
          <w:p w14:paraId="54A8EC7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25</w:t>
            </w:r>
          </w:p>
        </w:tc>
        <w:tc>
          <w:tcPr>
            <w:tcW w:w="1171" w:type="dxa"/>
            <w:vAlign w:val="top"/>
          </w:tcPr>
          <w:p w14:paraId="18BD76A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914" w:type="dxa"/>
            <w:vAlign w:val="top"/>
          </w:tcPr>
          <w:p w14:paraId="4828292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7BAEFDA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52</w:t>
            </w:r>
          </w:p>
        </w:tc>
        <w:tc>
          <w:tcPr>
            <w:tcW w:w="1000" w:type="dxa"/>
          </w:tcPr>
          <w:p w14:paraId="347960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75AC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566F84D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累计</w:t>
            </w:r>
          </w:p>
        </w:tc>
        <w:tc>
          <w:tcPr>
            <w:tcW w:w="1100" w:type="dxa"/>
            <w:vAlign w:val="top"/>
          </w:tcPr>
          <w:p w14:paraId="124F36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2D5DD7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204</w:t>
            </w:r>
          </w:p>
        </w:tc>
        <w:tc>
          <w:tcPr>
            <w:tcW w:w="978" w:type="dxa"/>
            <w:vAlign w:val="top"/>
          </w:tcPr>
          <w:p w14:paraId="762218C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441</w:t>
            </w:r>
          </w:p>
        </w:tc>
        <w:tc>
          <w:tcPr>
            <w:tcW w:w="1026" w:type="dxa"/>
            <w:vAlign w:val="top"/>
          </w:tcPr>
          <w:p w14:paraId="5803802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130</w:t>
            </w:r>
          </w:p>
        </w:tc>
        <w:tc>
          <w:tcPr>
            <w:tcW w:w="904" w:type="dxa"/>
            <w:vAlign w:val="top"/>
          </w:tcPr>
          <w:p w14:paraId="2EF3F49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1050</w:t>
            </w:r>
          </w:p>
        </w:tc>
        <w:tc>
          <w:tcPr>
            <w:tcW w:w="1171" w:type="dxa"/>
            <w:vAlign w:val="top"/>
          </w:tcPr>
          <w:p w14:paraId="2633ED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101.5</w:t>
            </w:r>
          </w:p>
        </w:tc>
        <w:tc>
          <w:tcPr>
            <w:tcW w:w="914" w:type="dxa"/>
            <w:vAlign w:val="top"/>
          </w:tcPr>
          <w:p w14:paraId="50F5247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vAlign w:val="top"/>
          </w:tcPr>
          <w:p w14:paraId="5E846A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00" w:type="dxa"/>
          </w:tcPr>
          <w:p w14:paraId="3614B5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4693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0" w:type="dxa"/>
            <w:vAlign w:val="top"/>
          </w:tcPr>
          <w:p w14:paraId="4A8561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远期</w:t>
            </w:r>
          </w:p>
        </w:tc>
        <w:tc>
          <w:tcPr>
            <w:tcW w:w="1100" w:type="dxa"/>
            <w:vAlign w:val="top"/>
          </w:tcPr>
          <w:p w14:paraId="641E95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vertAlign w:val="baseline"/>
                <w:lang w:val="en-US" w:eastAsia="zh-CN"/>
              </w:rPr>
            </w:pPr>
          </w:p>
        </w:tc>
        <w:tc>
          <w:tcPr>
            <w:tcW w:w="842" w:type="dxa"/>
            <w:vAlign w:val="top"/>
          </w:tcPr>
          <w:p w14:paraId="51B75FC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978" w:type="dxa"/>
            <w:vAlign w:val="top"/>
          </w:tcPr>
          <w:p w14:paraId="47D8226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1026" w:type="dxa"/>
            <w:vAlign w:val="top"/>
          </w:tcPr>
          <w:p w14:paraId="1D2AE0A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904" w:type="dxa"/>
            <w:vAlign w:val="top"/>
          </w:tcPr>
          <w:p w14:paraId="63770A8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1171" w:type="dxa"/>
            <w:vAlign w:val="top"/>
          </w:tcPr>
          <w:p w14:paraId="477F9FA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914" w:type="dxa"/>
            <w:vAlign w:val="top"/>
          </w:tcPr>
          <w:p w14:paraId="39C5EB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p>
        </w:tc>
        <w:tc>
          <w:tcPr>
            <w:tcW w:w="1112" w:type="dxa"/>
            <w:vAlign w:val="top"/>
          </w:tcPr>
          <w:p w14:paraId="7C1EE2F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821</w:t>
            </w:r>
          </w:p>
        </w:tc>
        <w:tc>
          <w:tcPr>
            <w:tcW w:w="1000" w:type="dxa"/>
          </w:tcPr>
          <w:p w14:paraId="1B0D71B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59C8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00" w:type="dxa"/>
          </w:tcPr>
          <w:p w14:paraId="69B390E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县殡葬服务中心迁建</w:t>
            </w:r>
          </w:p>
        </w:tc>
        <w:tc>
          <w:tcPr>
            <w:tcW w:w="1100" w:type="dxa"/>
          </w:tcPr>
          <w:p w14:paraId="3445F89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p>
        </w:tc>
        <w:tc>
          <w:tcPr>
            <w:tcW w:w="842" w:type="dxa"/>
          </w:tcPr>
          <w:p w14:paraId="52336FC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tcPr>
          <w:p w14:paraId="1CF5F3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tcPr>
          <w:p w14:paraId="4FCF0F5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tcPr>
          <w:p w14:paraId="1D682CF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tcPr>
          <w:p w14:paraId="69C2C2F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tcPr>
          <w:p w14:paraId="085CC1B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tcPr>
          <w:p w14:paraId="1EA96ED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110</w:t>
            </w:r>
          </w:p>
        </w:tc>
        <w:tc>
          <w:tcPr>
            <w:tcW w:w="1000" w:type="dxa"/>
          </w:tcPr>
          <w:p w14:paraId="56DF15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含智慧管理服务中心</w:t>
            </w:r>
          </w:p>
        </w:tc>
      </w:tr>
      <w:tr w14:paraId="7149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Pr>
          <w:p w14:paraId="174C4BA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军人公墓</w:t>
            </w:r>
          </w:p>
        </w:tc>
        <w:tc>
          <w:tcPr>
            <w:tcW w:w="1100" w:type="dxa"/>
          </w:tcPr>
          <w:p w14:paraId="32F5C7E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tcPr>
          <w:p w14:paraId="492FDF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tcPr>
          <w:p w14:paraId="450DBB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tcPr>
          <w:p w14:paraId="19624C7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tcPr>
          <w:p w14:paraId="32CF5BF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tcPr>
          <w:p w14:paraId="294DC58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tcPr>
          <w:p w14:paraId="4F2AD9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12" w:type="dxa"/>
          </w:tcPr>
          <w:p w14:paraId="1417D82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50</w:t>
            </w:r>
          </w:p>
        </w:tc>
        <w:tc>
          <w:tcPr>
            <w:tcW w:w="1000" w:type="dxa"/>
          </w:tcPr>
          <w:p w14:paraId="417986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213B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top"/>
          </w:tcPr>
          <w:p w14:paraId="19E3A0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古城镇</w:t>
            </w:r>
          </w:p>
        </w:tc>
        <w:tc>
          <w:tcPr>
            <w:tcW w:w="1100" w:type="dxa"/>
            <w:vAlign w:val="top"/>
          </w:tcPr>
          <w:p w14:paraId="088AE9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64686E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6FA1947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609EA1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4041887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443288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7CD916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5E9E7F3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000" w:type="dxa"/>
          </w:tcPr>
          <w:p w14:paraId="6DF2262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56A5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top"/>
          </w:tcPr>
          <w:p w14:paraId="519DC5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大同镇</w:t>
            </w:r>
          </w:p>
        </w:tc>
        <w:tc>
          <w:tcPr>
            <w:tcW w:w="1100" w:type="dxa"/>
            <w:vAlign w:val="top"/>
          </w:tcPr>
          <w:p w14:paraId="33BEEE4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24D05CD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1787D0F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36EB2B2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321D99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667960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41E5F9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112" w:type="dxa"/>
          </w:tcPr>
          <w:p w14:paraId="6EE1CA8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000" w:type="dxa"/>
          </w:tcPr>
          <w:p w14:paraId="437E889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4A7A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top"/>
          </w:tcPr>
          <w:p w14:paraId="024470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策武镇</w:t>
            </w:r>
          </w:p>
        </w:tc>
        <w:tc>
          <w:tcPr>
            <w:tcW w:w="1100" w:type="dxa"/>
            <w:vAlign w:val="top"/>
          </w:tcPr>
          <w:p w14:paraId="1E02182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55FAFB6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7D76630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26A03BD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50ED2B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6047F9B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41E8D04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49F171D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000" w:type="dxa"/>
          </w:tcPr>
          <w:p w14:paraId="4DAAF8D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0FB4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top"/>
          </w:tcPr>
          <w:p w14:paraId="0563B2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河田镇</w:t>
            </w:r>
          </w:p>
        </w:tc>
        <w:tc>
          <w:tcPr>
            <w:tcW w:w="1100" w:type="dxa"/>
            <w:vAlign w:val="top"/>
          </w:tcPr>
          <w:p w14:paraId="28FBA41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031918D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05FB9B9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110D2C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0B1919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56EB9BF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69094C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112" w:type="dxa"/>
          </w:tcPr>
          <w:p w14:paraId="0E5958D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000" w:type="dxa"/>
          </w:tcPr>
          <w:p w14:paraId="5526199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0F82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top"/>
          </w:tcPr>
          <w:p w14:paraId="16C506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南山镇</w:t>
            </w:r>
          </w:p>
        </w:tc>
        <w:tc>
          <w:tcPr>
            <w:tcW w:w="1100" w:type="dxa"/>
            <w:vAlign w:val="top"/>
          </w:tcPr>
          <w:p w14:paraId="6ADA16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4ED7470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08B527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2D13F1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4AC4115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2655C6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42217E8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04D13BD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000" w:type="dxa"/>
          </w:tcPr>
          <w:p w14:paraId="3A5F64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6EF2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top"/>
          </w:tcPr>
          <w:p w14:paraId="17A1E86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三洲镇</w:t>
            </w:r>
          </w:p>
        </w:tc>
        <w:tc>
          <w:tcPr>
            <w:tcW w:w="1100" w:type="dxa"/>
            <w:vAlign w:val="top"/>
          </w:tcPr>
          <w:p w14:paraId="485E8DC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1772A92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39FC38C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467A964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77CA2C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3C7C0A0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1E966F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5DE4A9F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000" w:type="dxa"/>
          </w:tcPr>
          <w:p w14:paraId="1AD6E0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566E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top"/>
          </w:tcPr>
          <w:p w14:paraId="4314634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四都镇</w:t>
            </w:r>
          </w:p>
        </w:tc>
        <w:tc>
          <w:tcPr>
            <w:tcW w:w="1100" w:type="dxa"/>
            <w:vAlign w:val="top"/>
          </w:tcPr>
          <w:p w14:paraId="5AC9A1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6FCD525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7080BEC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17CE2D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1DAF2D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140994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253F779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26846A5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000" w:type="dxa"/>
          </w:tcPr>
          <w:p w14:paraId="346400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48C8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top"/>
          </w:tcPr>
          <w:p w14:paraId="38045D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濯田镇</w:t>
            </w:r>
          </w:p>
        </w:tc>
        <w:tc>
          <w:tcPr>
            <w:tcW w:w="1100" w:type="dxa"/>
            <w:vAlign w:val="top"/>
          </w:tcPr>
          <w:p w14:paraId="2123EB0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0819A0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645E6A2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7B5E65D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1F74DFD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536C01C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5D5166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112" w:type="dxa"/>
          </w:tcPr>
          <w:p w14:paraId="3975F1F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000" w:type="dxa"/>
          </w:tcPr>
          <w:p w14:paraId="6099889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1D84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top"/>
          </w:tcPr>
          <w:p w14:paraId="739CB3C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新桥镇</w:t>
            </w:r>
          </w:p>
        </w:tc>
        <w:tc>
          <w:tcPr>
            <w:tcW w:w="1100" w:type="dxa"/>
            <w:vAlign w:val="top"/>
          </w:tcPr>
          <w:p w14:paraId="2995E4F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364F1B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77A04B9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11B35AE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5DFC22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64E7E1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04727F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1160DAB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000" w:type="dxa"/>
          </w:tcPr>
          <w:p w14:paraId="674E9E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3AAB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top"/>
          </w:tcPr>
          <w:p w14:paraId="35CED5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庵杰乡</w:t>
            </w:r>
          </w:p>
        </w:tc>
        <w:tc>
          <w:tcPr>
            <w:tcW w:w="1100" w:type="dxa"/>
            <w:vAlign w:val="top"/>
          </w:tcPr>
          <w:p w14:paraId="074F22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35178D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78" w:type="dxa"/>
            <w:vAlign w:val="top"/>
          </w:tcPr>
          <w:p w14:paraId="5755DFB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26" w:type="dxa"/>
            <w:vAlign w:val="top"/>
          </w:tcPr>
          <w:p w14:paraId="0625597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04" w:type="dxa"/>
            <w:vAlign w:val="top"/>
          </w:tcPr>
          <w:p w14:paraId="59652DB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171" w:type="dxa"/>
            <w:vAlign w:val="top"/>
          </w:tcPr>
          <w:p w14:paraId="07D2AC2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914" w:type="dxa"/>
            <w:vAlign w:val="top"/>
          </w:tcPr>
          <w:p w14:paraId="3600F32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112" w:type="dxa"/>
          </w:tcPr>
          <w:p w14:paraId="21197CD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000" w:type="dxa"/>
          </w:tcPr>
          <w:p w14:paraId="03B3E09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2EC1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Pr>
          <w:p w14:paraId="78C5CE0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馆前镇</w:t>
            </w:r>
          </w:p>
        </w:tc>
        <w:tc>
          <w:tcPr>
            <w:tcW w:w="1100" w:type="dxa"/>
          </w:tcPr>
          <w:p w14:paraId="36A650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16547</w:t>
            </w:r>
          </w:p>
        </w:tc>
        <w:tc>
          <w:tcPr>
            <w:tcW w:w="842" w:type="dxa"/>
          </w:tcPr>
          <w:p w14:paraId="203827A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w:t>
            </w:r>
          </w:p>
        </w:tc>
        <w:tc>
          <w:tcPr>
            <w:tcW w:w="978" w:type="dxa"/>
          </w:tcPr>
          <w:p w14:paraId="731EC1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tcPr>
          <w:p w14:paraId="58CC554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tcPr>
          <w:p w14:paraId="2D1EE5C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70</w:t>
            </w:r>
          </w:p>
        </w:tc>
        <w:tc>
          <w:tcPr>
            <w:tcW w:w="1171" w:type="dxa"/>
          </w:tcPr>
          <w:p w14:paraId="6D155D0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914" w:type="dxa"/>
          </w:tcPr>
          <w:p w14:paraId="1AA775A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0AE3130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104</w:t>
            </w:r>
          </w:p>
        </w:tc>
        <w:tc>
          <w:tcPr>
            <w:tcW w:w="1000" w:type="dxa"/>
          </w:tcPr>
          <w:p w14:paraId="56F22E9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2353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Pr>
          <w:p w14:paraId="393E27D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童坊镇</w:t>
            </w:r>
          </w:p>
        </w:tc>
        <w:tc>
          <w:tcPr>
            <w:tcW w:w="1100" w:type="dxa"/>
          </w:tcPr>
          <w:p w14:paraId="78D9A14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31417</w:t>
            </w:r>
          </w:p>
        </w:tc>
        <w:tc>
          <w:tcPr>
            <w:tcW w:w="842" w:type="dxa"/>
          </w:tcPr>
          <w:p w14:paraId="2D2FA94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24</w:t>
            </w:r>
          </w:p>
        </w:tc>
        <w:tc>
          <w:tcPr>
            <w:tcW w:w="978" w:type="dxa"/>
          </w:tcPr>
          <w:p w14:paraId="49E4F77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tcPr>
          <w:p w14:paraId="173288B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tcPr>
          <w:p w14:paraId="27273C0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120</w:t>
            </w:r>
          </w:p>
        </w:tc>
        <w:tc>
          <w:tcPr>
            <w:tcW w:w="1171" w:type="dxa"/>
          </w:tcPr>
          <w:p w14:paraId="2EBF4E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w:t>
            </w:r>
          </w:p>
        </w:tc>
        <w:tc>
          <w:tcPr>
            <w:tcW w:w="914" w:type="dxa"/>
          </w:tcPr>
          <w:p w14:paraId="23A2166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5864A52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159</w:t>
            </w:r>
          </w:p>
        </w:tc>
        <w:tc>
          <w:tcPr>
            <w:tcW w:w="1000" w:type="dxa"/>
          </w:tcPr>
          <w:p w14:paraId="2D0D007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27EE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Pr>
          <w:p w14:paraId="3131BAF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涂坊镇</w:t>
            </w:r>
          </w:p>
        </w:tc>
        <w:tc>
          <w:tcPr>
            <w:tcW w:w="1100" w:type="dxa"/>
          </w:tcPr>
          <w:p w14:paraId="074E81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30561</w:t>
            </w:r>
          </w:p>
        </w:tc>
        <w:tc>
          <w:tcPr>
            <w:tcW w:w="842" w:type="dxa"/>
          </w:tcPr>
          <w:p w14:paraId="475F262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978" w:type="dxa"/>
          </w:tcPr>
          <w:p w14:paraId="00BABD8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tcPr>
          <w:p w14:paraId="2C2339E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tcPr>
          <w:p w14:paraId="773E3F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75</w:t>
            </w:r>
          </w:p>
        </w:tc>
        <w:tc>
          <w:tcPr>
            <w:tcW w:w="1171" w:type="dxa"/>
          </w:tcPr>
          <w:p w14:paraId="260C22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7.5</w:t>
            </w:r>
          </w:p>
        </w:tc>
        <w:tc>
          <w:tcPr>
            <w:tcW w:w="914" w:type="dxa"/>
          </w:tcPr>
          <w:p w14:paraId="23BE805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5E41FEF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109.50</w:t>
            </w:r>
          </w:p>
        </w:tc>
        <w:tc>
          <w:tcPr>
            <w:tcW w:w="1000" w:type="dxa"/>
          </w:tcPr>
          <w:p w14:paraId="3C84B2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7A8A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Pr>
          <w:p w14:paraId="60F350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铁长乡</w:t>
            </w:r>
          </w:p>
        </w:tc>
        <w:tc>
          <w:tcPr>
            <w:tcW w:w="1100" w:type="dxa"/>
          </w:tcPr>
          <w:p w14:paraId="7974385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6890</w:t>
            </w:r>
          </w:p>
        </w:tc>
        <w:tc>
          <w:tcPr>
            <w:tcW w:w="842" w:type="dxa"/>
          </w:tcPr>
          <w:p w14:paraId="108B42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978" w:type="dxa"/>
          </w:tcPr>
          <w:p w14:paraId="4BF2CB8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026" w:type="dxa"/>
          </w:tcPr>
          <w:p w14:paraId="49C31CF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904" w:type="dxa"/>
          </w:tcPr>
          <w:p w14:paraId="02D73A6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29</w:t>
            </w:r>
          </w:p>
        </w:tc>
        <w:tc>
          <w:tcPr>
            <w:tcW w:w="1171" w:type="dxa"/>
          </w:tcPr>
          <w:p w14:paraId="5BD2CF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914" w:type="dxa"/>
          </w:tcPr>
          <w:p w14:paraId="71A6461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112" w:type="dxa"/>
          </w:tcPr>
          <w:p w14:paraId="3CF453D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42</w:t>
            </w:r>
          </w:p>
        </w:tc>
        <w:tc>
          <w:tcPr>
            <w:tcW w:w="1000" w:type="dxa"/>
          </w:tcPr>
          <w:p w14:paraId="5BF1BCC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084F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Pr>
          <w:p w14:paraId="6BE5C99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宣成乡</w:t>
            </w:r>
          </w:p>
        </w:tc>
        <w:tc>
          <w:tcPr>
            <w:tcW w:w="1100" w:type="dxa"/>
          </w:tcPr>
          <w:p w14:paraId="5E0A1D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12303</w:t>
            </w:r>
          </w:p>
        </w:tc>
        <w:tc>
          <w:tcPr>
            <w:tcW w:w="842" w:type="dxa"/>
          </w:tcPr>
          <w:p w14:paraId="5DC6B75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978" w:type="dxa"/>
          </w:tcPr>
          <w:p w14:paraId="2322A06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tcPr>
          <w:p w14:paraId="503554C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tcPr>
          <w:p w14:paraId="6641B6B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40</w:t>
            </w:r>
          </w:p>
        </w:tc>
        <w:tc>
          <w:tcPr>
            <w:tcW w:w="1171" w:type="dxa"/>
          </w:tcPr>
          <w:p w14:paraId="4DFCA15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914" w:type="dxa"/>
          </w:tcPr>
          <w:p w14:paraId="59CAC04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47A56F9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71</w:t>
            </w:r>
          </w:p>
        </w:tc>
        <w:tc>
          <w:tcPr>
            <w:tcW w:w="1000" w:type="dxa"/>
          </w:tcPr>
          <w:p w14:paraId="1AC17A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293F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Pr>
          <w:p w14:paraId="4BF59D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红山乡</w:t>
            </w:r>
          </w:p>
        </w:tc>
        <w:tc>
          <w:tcPr>
            <w:tcW w:w="1100" w:type="dxa"/>
          </w:tcPr>
          <w:p w14:paraId="2BD65D2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9264</w:t>
            </w:r>
          </w:p>
        </w:tc>
        <w:tc>
          <w:tcPr>
            <w:tcW w:w="842" w:type="dxa"/>
          </w:tcPr>
          <w:p w14:paraId="1ACCF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w:t>
            </w:r>
          </w:p>
        </w:tc>
        <w:tc>
          <w:tcPr>
            <w:tcW w:w="978" w:type="dxa"/>
          </w:tcPr>
          <w:p w14:paraId="3CEF5B7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026" w:type="dxa"/>
          </w:tcPr>
          <w:p w14:paraId="4BBF27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904" w:type="dxa"/>
          </w:tcPr>
          <w:p w14:paraId="1A1A34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55</w:t>
            </w:r>
          </w:p>
        </w:tc>
        <w:tc>
          <w:tcPr>
            <w:tcW w:w="1171" w:type="dxa"/>
          </w:tcPr>
          <w:p w14:paraId="0A271E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5.5</w:t>
            </w:r>
          </w:p>
        </w:tc>
        <w:tc>
          <w:tcPr>
            <w:tcW w:w="914" w:type="dxa"/>
          </w:tcPr>
          <w:p w14:paraId="4A951E8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112" w:type="dxa"/>
          </w:tcPr>
          <w:p w14:paraId="136E37B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71.50</w:t>
            </w:r>
          </w:p>
        </w:tc>
        <w:tc>
          <w:tcPr>
            <w:tcW w:w="1000" w:type="dxa"/>
          </w:tcPr>
          <w:p w14:paraId="4E0061B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5B9D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Pr>
          <w:p w14:paraId="3C3A52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羊牯乡</w:t>
            </w:r>
          </w:p>
        </w:tc>
        <w:tc>
          <w:tcPr>
            <w:tcW w:w="1100" w:type="dxa"/>
          </w:tcPr>
          <w:p w14:paraId="7AA7E16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10546</w:t>
            </w:r>
          </w:p>
        </w:tc>
        <w:tc>
          <w:tcPr>
            <w:tcW w:w="842" w:type="dxa"/>
          </w:tcPr>
          <w:p w14:paraId="184686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78" w:type="dxa"/>
          </w:tcPr>
          <w:p w14:paraId="2E71BD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26" w:type="dxa"/>
          </w:tcPr>
          <w:p w14:paraId="67D99F8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904" w:type="dxa"/>
          </w:tcPr>
          <w:p w14:paraId="353CF50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50</w:t>
            </w:r>
          </w:p>
        </w:tc>
        <w:tc>
          <w:tcPr>
            <w:tcW w:w="1171" w:type="dxa"/>
          </w:tcPr>
          <w:p w14:paraId="476686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914" w:type="dxa"/>
          </w:tcPr>
          <w:p w14:paraId="5DDBCCB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112" w:type="dxa"/>
          </w:tcPr>
          <w:p w14:paraId="09B1168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82</w:t>
            </w:r>
          </w:p>
        </w:tc>
        <w:tc>
          <w:tcPr>
            <w:tcW w:w="1000" w:type="dxa"/>
          </w:tcPr>
          <w:p w14:paraId="3B2654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r w14:paraId="47E7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100" w:type="dxa"/>
          </w:tcPr>
          <w:p w14:paraId="560F39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累计</w:t>
            </w:r>
          </w:p>
        </w:tc>
        <w:tc>
          <w:tcPr>
            <w:tcW w:w="1100" w:type="dxa"/>
          </w:tcPr>
          <w:p w14:paraId="7FD03E9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842" w:type="dxa"/>
            <w:vAlign w:val="top"/>
          </w:tcPr>
          <w:p w14:paraId="5EADEF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86</w:t>
            </w:r>
          </w:p>
        </w:tc>
        <w:tc>
          <w:tcPr>
            <w:tcW w:w="978" w:type="dxa"/>
            <w:vAlign w:val="top"/>
          </w:tcPr>
          <w:p w14:paraId="77B8A8A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85</w:t>
            </w:r>
          </w:p>
        </w:tc>
        <w:tc>
          <w:tcPr>
            <w:tcW w:w="1026" w:type="dxa"/>
            <w:vAlign w:val="top"/>
          </w:tcPr>
          <w:p w14:paraId="03353D8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60</w:t>
            </w:r>
          </w:p>
        </w:tc>
        <w:tc>
          <w:tcPr>
            <w:tcW w:w="904" w:type="dxa"/>
            <w:vAlign w:val="top"/>
          </w:tcPr>
          <w:p w14:paraId="1B5EE11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439</w:t>
            </w:r>
          </w:p>
        </w:tc>
        <w:tc>
          <w:tcPr>
            <w:tcW w:w="1171" w:type="dxa"/>
            <w:vAlign w:val="top"/>
          </w:tcPr>
          <w:p w14:paraId="247114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43</w:t>
            </w:r>
          </w:p>
        </w:tc>
        <w:tc>
          <w:tcPr>
            <w:tcW w:w="914" w:type="dxa"/>
            <w:vAlign w:val="top"/>
          </w:tcPr>
          <w:p w14:paraId="450DF7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34</w:t>
            </w:r>
          </w:p>
        </w:tc>
        <w:tc>
          <w:tcPr>
            <w:tcW w:w="1112" w:type="dxa"/>
          </w:tcPr>
          <w:p w14:paraId="4BFFAB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c>
          <w:tcPr>
            <w:tcW w:w="1000" w:type="dxa"/>
          </w:tcPr>
          <w:p w14:paraId="3088E87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vertAlign w:val="baseline"/>
                <w:lang w:val="en-US" w:eastAsia="zh-CN"/>
              </w:rPr>
            </w:pPr>
          </w:p>
        </w:tc>
      </w:tr>
    </w:tbl>
    <w:p w14:paraId="1065A819">
      <w:pPr>
        <w:rPr>
          <w:rFonts w:ascii="Microsoft YaHei UI" w:hAnsi="Microsoft YaHei UI" w:eastAsia="Microsoft YaHei UI" w:cs="Microsoft YaHei UI"/>
          <w:b/>
          <w:bCs/>
          <w:spacing w:val="0"/>
          <w:w w:val="100"/>
          <w:sz w:val="32"/>
          <w:szCs w:val="32"/>
        </w:rPr>
      </w:pPr>
      <w:r>
        <w:rPr>
          <w:rFonts w:ascii="Microsoft YaHei UI" w:hAnsi="Microsoft YaHei UI" w:eastAsia="Microsoft YaHei UI" w:cs="Microsoft YaHei UI"/>
          <w:b/>
          <w:bCs/>
          <w:spacing w:val="0"/>
          <w:w w:val="100"/>
          <w:sz w:val="32"/>
          <w:szCs w:val="32"/>
        </w:rPr>
        <w:br w:type="page"/>
      </w:r>
    </w:p>
    <w:p w14:paraId="0C516AA1">
      <w:pPr>
        <w:bidi w:val="0"/>
        <w:rPr>
          <w:rFonts w:hint="eastAsia"/>
          <w:lang w:val="en-US" w:eastAsia="zh-CN"/>
        </w:rPr>
      </w:pPr>
    </w:p>
    <w:p w14:paraId="1B2593F1">
      <w:pPr>
        <w:numPr>
          <w:ilvl w:val="0"/>
          <w:numId w:val="0"/>
        </w:numPr>
        <w:ind w:left="0" w:leftChars="0" w:firstLine="0" w:firstLineChars="0"/>
        <w:jc w:val="center"/>
        <w:outlineLvl w:val="0"/>
        <w:rPr>
          <w:rFonts w:ascii="微软雅黑" w:hAnsi="微软雅黑" w:eastAsia="微软雅黑" w:cs="微软雅黑"/>
          <w:i w:val="0"/>
          <w:iCs w:val="0"/>
          <w:caps w:val="0"/>
          <w:color w:val="000000"/>
          <w:spacing w:val="0"/>
          <w:sz w:val="19"/>
          <w:szCs w:val="19"/>
          <w:shd w:val="clear" w:fill="FFFFFF"/>
        </w:rPr>
      </w:pPr>
      <w:bookmarkStart w:id="61" w:name="_Toc14659"/>
      <w:r>
        <w:rPr>
          <w:rFonts w:hint="eastAsia" w:ascii="微软雅黑" w:hAnsi="微软雅黑" w:eastAsia="微软雅黑" w:cs="微软雅黑"/>
          <w:b/>
          <w:bCs/>
          <w:i w:val="0"/>
          <w:iCs w:val="0"/>
          <w:caps w:val="0"/>
          <w:color w:val="000000"/>
          <w:spacing w:val="0"/>
          <w:sz w:val="36"/>
          <w:szCs w:val="36"/>
          <w:shd w:val="clear" w:fill="FFFFFF"/>
          <w:lang w:eastAsia="zh-CN"/>
        </w:rPr>
        <w:t xml:space="preserve">第四章  </w:t>
      </w:r>
      <w:r>
        <w:rPr>
          <w:rFonts w:hint="eastAsia" w:ascii="微软雅黑" w:hAnsi="微软雅黑" w:eastAsia="微软雅黑" w:cs="微软雅黑"/>
          <w:b/>
          <w:bCs/>
          <w:i w:val="0"/>
          <w:iCs w:val="0"/>
          <w:caps w:val="0"/>
          <w:color w:val="000000"/>
          <w:spacing w:val="0"/>
          <w:sz w:val="36"/>
          <w:szCs w:val="36"/>
          <w:shd w:val="clear" w:fill="FFFFFF"/>
          <w:lang w:val="en-US" w:eastAsia="zh-CN"/>
        </w:rPr>
        <w:t>中心城区殡葬设施建设规划</w:t>
      </w:r>
      <w:bookmarkEnd w:id="61"/>
    </w:p>
    <w:p w14:paraId="35A7A720">
      <w:pPr>
        <w:numPr>
          <w:ilvl w:val="0"/>
          <w:numId w:val="0"/>
        </w:numPr>
        <w:ind w:left="0" w:leftChars="0" w:firstLine="0" w:firstLineChars="0"/>
        <w:outlineLvl w:val="9"/>
        <w:rPr>
          <w:rFonts w:hint="eastAsia" w:ascii="微软雅黑" w:hAnsi="微软雅黑" w:eastAsia="微软雅黑" w:cs="微软雅黑"/>
          <w:b/>
          <w:bCs/>
          <w:i w:val="0"/>
          <w:iCs w:val="0"/>
          <w:caps w:val="0"/>
          <w:color w:val="000000"/>
          <w:spacing w:val="0"/>
          <w:sz w:val="28"/>
          <w:szCs w:val="28"/>
          <w:shd w:val="clear" w:fill="FFFFFF"/>
          <w:lang w:eastAsia="zh-CN"/>
        </w:rPr>
      </w:pPr>
    </w:p>
    <w:p w14:paraId="0464DD12">
      <w:pPr>
        <w:bidi w:val="0"/>
        <w:outlineLvl w:val="0"/>
        <w:rPr>
          <w:rFonts w:hint="eastAsia" w:ascii="微软雅黑" w:hAnsi="微软雅黑" w:eastAsia="微软雅黑" w:cs="微软雅黑"/>
          <w:b/>
          <w:bCs/>
          <w:i w:val="0"/>
          <w:iCs w:val="0"/>
          <w:caps w:val="0"/>
          <w:color w:val="000000"/>
          <w:spacing w:val="0"/>
          <w:sz w:val="28"/>
          <w:szCs w:val="28"/>
          <w:shd w:val="clear" w:fill="FFFFFF"/>
          <w:lang w:eastAsia="zh-CN"/>
        </w:rPr>
      </w:pPr>
      <w:bookmarkStart w:id="62" w:name="_Toc17466"/>
      <w:r>
        <w:rPr>
          <w:rFonts w:hint="eastAsia" w:ascii="微软雅黑" w:hAnsi="微软雅黑" w:eastAsia="微软雅黑" w:cs="微软雅黑"/>
          <w:b/>
          <w:bCs/>
          <w:i w:val="0"/>
          <w:iCs w:val="0"/>
          <w:caps w:val="0"/>
          <w:color w:val="000000"/>
          <w:spacing w:val="0"/>
          <w:sz w:val="28"/>
          <w:szCs w:val="28"/>
          <w:shd w:val="clear" w:fill="FFFFFF"/>
          <w:lang w:eastAsia="zh-CN"/>
        </w:rPr>
        <w:t>一、</w:t>
      </w:r>
      <w:r>
        <w:rPr>
          <w:rFonts w:hint="eastAsia" w:ascii="微软雅黑" w:hAnsi="微软雅黑" w:eastAsia="微软雅黑" w:cs="微软雅黑"/>
          <w:b/>
          <w:bCs/>
          <w:i w:val="0"/>
          <w:iCs w:val="0"/>
          <w:caps w:val="0"/>
          <w:color w:val="000000"/>
          <w:spacing w:val="0"/>
          <w:sz w:val="28"/>
          <w:szCs w:val="28"/>
          <w:shd w:val="clear" w:fill="FFFFFF"/>
          <w:lang w:val="en-US" w:eastAsia="zh-CN"/>
        </w:rPr>
        <w:t>中心城区殡葬设施布局规划</w:t>
      </w:r>
      <w:bookmarkEnd w:id="62"/>
    </w:p>
    <w:p w14:paraId="1BBB0C47">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1.中心城区范围;</w:t>
      </w:r>
      <w:r>
        <w:rPr>
          <w:rFonts w:hint="eastAsia" w:ascii="微软雅黑" w:hAnsi="微软雅黑" w:eastAsia="微软雅黑" w:cs="微软雅黑"/>
          <w:i w:val="0"/>
          <w:iCs w:val="0"/>
          <w:caps w:val="0"/>
          <w:color w:val="000000"/>
          <w:spacing w:val="0"/>
          <w:sz w:val="28"/>
          <w:szCs w:val="28"/>
          <w:shd w:val="clear" w:fill="FFFFFF"/>
          <w:lang w:eastAsia="zh-CN"/>
        </w:rPr>
        <w:t>包括汀州镇所有行政区范围及大同镇、策武镇的部分区域，北、西至潮南高速、南至策武镇区、东至客家大道及周边区域，总面积约108平方千米。至2035年，规划中心城区城镇人口30万人左右。</w:t>
      </w:r>
    </w:p>
    <w:p w14:paraId="1F21B40A">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 xml:space="preserve">2.中心城区重点殡葬设施布局规划 </w:t>
      </w:r>
    </w:p>
    <w:p w14:paraId="2238646A">
      <w:pPr>
        <w:numPr>
          <w:ilvl w:val="0"/>
          <w:numId w:val="0"/>
        </w:numPr>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 xml:space="preserve">    中心城区殡葬设施包括县级殡葬服务中心1处（</w:t>
      </w:r>
      <w:r>
        <w:rPr>
          <w:rFonts w:hint="eastAsia" w:ascii="微软雅黑" w:hAnsi="微软雅黑" w:eastAsia="微软雅黑" w:cs="微软雅黑"/>
          <w:i w:val="0"/>
          <w:iCs w:val="0"/>
          <w:caps w:val="0"/>
          <w:color w:val="000000"/>
          <w:spacing w:val="0"/>
          <w:sz w:val="28"/>
          <w:szCs w:val="28"/>
          <w:shd w:val="clear" w:fill="FFFFFF"/>
          <w:lang w:eastAsia="zh-CN"/>
        </w:rPr>
        <w:t>含殡葬智慧管理服务信息平台、</w:t>
      </w:r>
      <w:r>
        <w:rPr>
          <w:rFonts w:hint="eastAsia" w:ascii="微软雅黑" w:hAnsi="微软雅黑" w:eastAsia="微软雅黑" w:cs="微软雅黑"/>
          <w:i w:val="0"/>
          <w:iCs w:val="0"/>
          <w:caps w:val="0"/>
          <w:color w:val="000000"/>
          <w:spacing w:val="0"/>
          <w:sz w:val="28"/>
          <w:szCs w:val="28"/>
          <w:shd w:val="clear" w:fill="FFFFFF"/>
          <w:lang w:val="en-US" w:eastAsia="zh-CN"/>
        </w:rPr>
        <w:t>含殡葬骨灰堂），县级生命公园1处（含县级公益性公墓、骨灰堂），经营性公墓1处，村（社）集中办丧场所，殡葬服务龙头企业的培育。</w:t>
      </w:r>
    </w:p>
    <w:p w14:paraId="17C3EC00">
      <w:pPr>
        <w:numPr>
          <w:ilvl w:val="0"/>
          <w:numId w:val="0"/>
        </w:numPr>
        <w:ind w:left="0" w:leftChars="0" w:firstLine="0" w:firstLineChars="0"/>
        <w:outlineLvl w:val="0"/>
        <w:rPr>
          <w:rFonts w:hint="eastAsia" w:ascii="微软雅黑" w:hAnsi="微软雅黑" w:eastAsia="微软雅黑" w:cs="微软雅黑"/>
          <w:b/>
          <w:bCs/>
          <w:i w:val="0"/>
          <w:iCs w:val="0"/>
          <w:caps w:val="0"/>
          <w:color w:val="000000"/>
          <w:spacing w:val="0"/>
          <w:sz w:val="28"/>
          <w:szCs w:val="28"/>
          <w:shd w:val="clear" w:fill="FFFFFF"/>
          <w:lang w:eastAsia="zh-CN"/>
        </w:rPr>
      </w:pPr>
      <w:bookmarkStart w:id="63" w:name="_Toc22612"/>
      <w:bookmarkStart w:id="64" w:name="_Toc4600"/>
      <w:r>
        <w:rPr>
          <w:rFonts w:hint="eastAsia" w:ascii="微软雅黑" w:hAnsi="微软雅黑" w:eastAsia="微软雅黑" w:cs="微软雅黑"/>
          <w:b/>
          <w:bCs/>
          <w:i w:val="0"/>
          <w:iCs w:val="0"/>
          <w:caps w:val="0"/>
          <w:color w:val="000000"/>
          <w:spacing w:val="0"/>
          <w:sz w:val="28"/>
          <w:szCs w:val="28"/>
          <w:shd w:val="clear" w:fill="FFFFFF"/>
          <w:lang w:eastAsia="zh-CN"/>
        </w:rPr>
        <w:t>二、中心城区殡葬服务设施建设规划</w:t>
      </w:r>
      <w:bookmarkEnd w:id="63"/>
      <w:bookmarkEnd w:id="64"/>
      <w:r>
        <w:rPr>
          <w:rFonts w:hint="eastAsia" w:ascii="微软雅黑" w:hAnsi="微软雅黑" w:eastAsia="微软雅黑" w:cs="微软雅黑"/>
          <w:b/>
          <w:bCs/>
          <w:i w:val="0"/>
          <w:iCs w:val="0"/>
          <w:caps w:val="0"/>
          <w:color w:val="000000"/>
          <w:spacing w:val="0"/>
          <w:sz w:val="28"/>
          <w:szCs w:val="28"/>
          <w:shd w:val="clear" w:fill="FFFFFF"/>
          <w:lang w:eastAsia="zh-CN"/>
        </w:rPr>
        <w:t xml:space="preserve"> </w:t>
      </w:r>
    </w:p>
    <w:p w14:paraId="4A8274F4">
      <w:pPr>
        <w:numPr>
          <w:ilvl w:val="0"/>
          <w:numId w:val="0"/>
        </w:numPr>
        <w:ind w:left="0" w:leftChars="0" w:firstLine="0" w:firstLineChars="0"/>
        <w:outlineLvl w:val="1"/>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b/>
          <w:bCs/>
          <w:i w:val="0"/>
          <w:iCs w:val="0"/>
          <w:caps w:val="0"/>
          <w:color w:val="000000"/>
          <w:spacing w:val="0"/>
          <w:sz w:val="28"/>
          <w:szCs w:val="28"/>
          <w:shd w:val="clear" w:fill="FFFFFF"/>
          <w:lang w:eastAsia="zh-CN"/>
        </w:rPr>
        <w:t xml:space="preserve">    </w:t>
      </w:r>
      <w:bookmarkStart w:id="65" w:name="_Toc3896"/>
      <w:r>
        <w:rPr>
          <w:rFonts w:hint="eastAsia" w:ascii="微软雅黑" w:hAnsi="微软雅黑" w:eastAsia="微软雅黑" w:cs="微软雅黑"/>
          <w:i w:val="0"/>
          <w:iCs w:val="0"/>
          <w:caps w:val="0"/>
          <w:color w:val="000000"/>
          <w:spacing w:val="0"/>
          <w:sz w:val="28"/>
          <w:szCs w:val="28"/>
          <w:shd w:val="clear" w:fill="FFFFFF"/>
          <w:lang w:val="en-US" w:eastAsia="zh-CN"/>
        </w:rPr>
        <w:t>1.县殡葬服务中心改扩建（近期）</w:t>
      </w:r>
      <w:bookmarkEnd w:id="65"/>
    </w:p>
    <w:p w14:paraId="1819FD87">
      <w:pPr>
        <w:numPr>
          <w:ilvl w:val="0"/>
          <w:numId w:val="0"/>
        </w:numPr>
        <w:ind w:left="0" w:leftChars="0" w:firstLine="0" w:firstLineChars="0"/>
        <w:outlineLvl w:val="9"/>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 xml:space="preserve">    长汀县殡葬服务中心于1993年元旦正式开业，位于大同镇黄屋村观音桥4号，距城区约3公里</w:t>
      </w:r>
      <w:r>
        <w:rPr>
          <w:rFonts w:hint="eastAsia" w:ascii="微软雅黑" w:hAnsi="微软雅黑" w:eastAsia="微软雅黑" w:cs="微软雅黑"/>
          <w:i w:val="0"/>
          <w:iCs w:val="0"/>
          <w:caps w:val="0"/>
          <w:color w:val="000000"/>
          <w:spacing w:val="0"/>
          <w:sz w:val="28"/>
          <w:szCs w:val="28"/>
          <w:shd w:val="clear" w:fill="FFFFFF"/>
          <w:lang w:eastAsia="zh-CN"/>
        </w:rPr>
        <w:t>，</w:t>
      </w:r>
      <w:r>
        <w:rPr>
          <w:rFonts w:hint="eastAsia" w:ascii="微软雅黑" w:hAnsi="微软雅黑" w:eastAsia="微软雅黑" w:cs="微软雅黑"/>
          <w:i w:val="0"/>
          <w:iCs w:val="0"/>
          <w:caps w:val="0"/>
          <w:color w:val="000000"/>
          <w:spacing w:val="0"/>
          <w:sz w:val="28"/>
          <w:szCs w:val="28"/>
          <w:shd w:val="clear" w:fill="FFFFFF"/>
          <w:lang w:val="en-US" w:eastAsia="zh-CN"/>
        </w:rPr>
        <w:t>占地面积约33.67亩。</w:t>
      </w:r>
      <w:r>
        <w:rPr>
          <w:rFonts w:hint="eastAsia" w:ascii="微软雅黑" w:hAnsi="微软雅黑" w:eastAsia="微软雅黑" w:cs="微软雅黑"/>
          <w:i w:val="0"/>
          <w:iCs w:val="0"/>
          <w:caps w:val="0"/>
          <w:color w:val="000000"/>
          <w:spacing w:val="0"/>
          <w:sz w:val="28"/>
          <w:szCs w:val="28"/>
          <w:shd w:val="clear" w:fill="FFFFFF"/>
          <w:lang w:eastAsia="zh-CN"/>
        </w:rPr>
        <w:t>在现有用地基础上，新征用地面积30亩，拉直通往师福、新桥道路，在大同镇黄屋村福建水文站至福连水泥制品厂门口沿着汀江河边新建设一条公路；实施填土堆山、植林扩绿生态建设工程，沿新建公路旁堆填土山，种植高大树种，产生天然绿障；同时增加吊唁</w:t>
      </w:r>
      <w:r>
        <w:rPr>
          <w:rFonts w:ascii="微软雅黑" w:hAnsi="微软雅黑" w:eastAsia="微软雅黑" w:cs="微软雅黑"/>
          <w:i w:val="0"/>
          <w:iCs w:val="0"/>
          <w:caps w:val="0"/>
          <w:color w:val="000000"/>
          <w:spacing w:val="0"/>
          <w:sz w:val="28"/>
          <w:szCs w:val="28"/>
          <w:shd w:val="clear" w:fill="FFFFFF"/>
        </w:rPr>
        <w:t>守灵</w:t>
      </w:r>
      <w:r>
        <w:rPr>
          <w:rFonts w:hint="eastAsia" w:ascii="微软雅黑" w:hAnsi="微软雅黑" w:eastAsia="微软雅黑" w:cs="微软雅黑"/>
          <w:i w:val="0"/>
          <w:iCs w:val="0"/>
          <w:caps w:val="0"/>
          <w:color w:val="000000"/>
          <w:spacing w:val="0"/>
          <w:sz w:val="28"/>
          <w:szCs w:val="28"/>
          <w:shd w:val="clear" w:fill="FFFFFF"/>
          <w:lang w:eastAsia="zh-CN"/>
        </w:rPr>
        <w:t>室</w:t>
      </w:r>
      <w:r>
        <w:rPr>
          <w:rFonts w:ascii="微软雅黑" w:hAnsi="微软雅黑" w:eastAsia="微软雅黑" w:cs="微软雅黑"/>
          <w:i w:val="0"/>
          <w:iCs w:val="0"/>
          <w:caps w:val="0"/>
          <w:color w:val="000000"/>
          <w:spacing w:val="0"/>
          <w:sz w:val="28"/>
          <w:szCs w:val="28"/>
          <w:shd w:val="clear" w:fill="FFFFFF"/>
        </w:rPr>
        <w:t>、</w:t>
      </w:r>
      <w:r>
        <w:rPr>
          <w:rFonts w:hint="eastAsia" w:ascii="微软雅黑" w:hAnsi="微软雅黑" w:eastAsia="微软雅黑" w:cs="微软雅黑"/>
          <w:i w:val="0"/>
          <w:iCs w:val="0"/>
          <w:caps w:val="0"/>
          <w:color w:val="000000"/>
          <w:spacing w:val="0"/>
          <w:sz w:val="28"/>
          <w:szCs w:val="28"/>
          <w:shd w:val="clear" w:fill="FFFFFF"/>
          <w:lang w:eastAsia="zh-CN"/>
        </w:rPr>
        <w:t>守灵食堂、守灵住宿、防腐室和整容室</w:t>
      </w:r>
      <w:r>
        <w:rPr>
          <w:rFonts w:ascii="微软雅黑" w:hAnsi="微软雅黑" w:eastAsia="微软雅黑" w:cs="微软雅黑"/>
          <w:i w:val="0"/>
          <w:iCs w:val="0"/>
          <w:caps w:val="0"/>
          <w:color w:val="000000"/>
          <w:spacing w:val="0"/>
          <w:sz w:val="28"/>
          <w:szCs w:val="28"/>
          <w:shd w:val="clear" w:fill="FFFFFF"/>
        </w:rPr>
        <w:t>等殡</w:t>
      </w:r>
      <w:r>
        <w:rPr>
          <w:rFonts w:hint="eastAsia" w:ascii="微软雅黑" w:hAnsi="微软雅黑" w:eastAsia="微软雅黑" w:cs="微软雅黑"/>
          <w:i w:val="0"/>
          <w:iCs w:val="0"/>
          <w:caps w:val="0"/>
          <w:color w:val="000000"/>
          <w:spacing w:val="0"/>
          <w:sz w:val="28"/>
          <w:szCs w:val="28"/>
          <w:shd w:val="clear" w:fill="FFFFFF"/>
          <w:lang w:eastAsia="zh-CN"/>
        </w:rPr>
        <w:t>葬</w:t>
      </w:r>
      <w:r>
        <w:rPr>
          <w:rFonts w:ascii="微软雅黑" w:hAnsi="微软雅黑" w:eastAsia="微软雅黑" w:cs="微软雅黑"/>
          <w:i w:val="0"/>
          <w:iCs w:val="0"/>
          <w:caps w:val="0"/>
          <w:color w:val="000000"/>
          <w:spacing w:val="0"/>
          <w:sz w:val="28"/>
          <w:szCs w:val="28"/>
          <w:shd w:val="clear" w:fill="FFFFFF"/>
        </w:rPr>
        <w:t>服务设施</w:t>
      </w:r>
      <w:r>
        <w:rPr>
          <w:rFonts w:hint="eastAsia" w:ascii="微软雅黑" w:hAnsi="微软雅黑" w:eastAsia="微软雅黑" w:cs="微软雅黑"/>
          <w:i w:val="0"/>
          <w:iCs w:val="0"/>
          <w:caps w:val="0"/>
          <w:color w:val="000000"/>
          <w:spacing w:val="0"/>
          <w:sz w:val="28"/>
          <w:szCs w:val="28"/>
          <w:shd w:val="clear" w:fill="FFFFFF"/>
          <w:lang w:eastAsia="zh-CN"/>
        </w:rPr>
        <w:t>，对原有业务大厅等老旧建筑进行修缮、对第二代火化车间进行改造，提升中心生态环境，推行集中治丧。</w:t>
      </w:r>
      <w:r>
        <w:rPr>
          <w:rFonts w:hint="eastAsia" w:ascii="微软雅黑" w:hAnsi="微软雅黑" w:eastAsia="微软雅黑" w:cs="微软雅黑"/>
          <w:i w:val="0"/>
          <w:iCs w:val="0"/>
          <w:caps w:val="0"/>
          <w:color w:val="000000"/>
          <w:spacing w:val="0"/>
          <w:sz w:val="28"/>
          <w:szCs w:val="28"/>
          <w:shd w:val="clear" w:fill="FFFFFF"/>
          <w:lang w:val="en-US" w:eastAsia="zh-CN"/>
        </w:rPr>
        <w:t>项目总投资约8000万元。</w:t>
      </w:r>
    </w:p>
    <w:p w14:paraId="5F25B8DE">
      <w:pPr>
        <w:numPr>
          <w:ilvl w:val="0"/>
          <w:numId w:val="0"/>
        </w:numPr>
        <w:ind w:left="0" w:leftChars="0" w:firstLine="560" w:firstLineChars="200"/>
        <w:outlineLvl w:val="1"/>
        <w:rPr>
          <w:rFonts w:hint="eastAsia" w:ascii="微软雅黑" w:hAnsi="微软雅黑" w:eastAsia="微软雅黑" w:cs="微软雅黑"/>
          <w:i w:val="0"/>
          <w:iCs w:val="0"/>
          <w:caps w:val="0"/>
          <w:color w:val="000000"/>
          <w:spacing w:val="0"/>
          <w:sz w:val="28"/>
          <w:szCs w:val="28"/>
          <w:shd w:val="clear" w:fill="FFFFFF"/>
          <w:lang w:val="en-US" w:eastAsia="zh-CN"/>
        </w:rPr>
      </w:pPr>
      <w:bookmarkStart w:id="66" w:name="_Toc6754"/>
      <w:r>
        <w:rPr>
          <w:rFonts w:hint="eastAsia" w:ascii="微软雅黑" w:hAnsi="微软雅黑" w:eastAsia="微软雅黑" w:cs="微软雅黑"/>
          <w:i w:val="0"/>
          <w:iCs w:val="0"/>
          <w:caps w:val="0"/>
          <w:color w:val="000000"/>
          <w:spacing w:val="0"/>
          <w:sz w:val="28"/>
          <w:szCs w:val="28"/>
          <w:shd w:val="clear" w:fill="FFFFFF"/>
          <w:lang w:val="en-US" w:eastAsia="zh-CN"/>
        </w:rPr>
        <w:t>2.县殡葬服务中心整体搬迁项目（远期）</w:t>
      </w:r>
      <w:bookmarkEnd w:id="66"/>
    </w:p>
    <w:p w14:paraId="3FC8CB86">
      <w:pPr>
        <w:numPr>
          <w:ilvl w:val="0"/>
          <w:numId w:val="0"/>
        </w:numPr>
        <w:ind w:left="0" w:leftChars="0" w:firstLine="560" w:firstLineChars="0"/>
        <w:outlineLvl w:val="9"/>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 xml:space="preserve">占地110亩、规划建设面积12000平方米，新建火化车间、家属休息室、守灵（悼念）室、遗体冷藏室、职工（家属）食堂、殡仪馆山门、道路、停车场及挡土墙、排洪沟、绿化等相关附属设施、采购火化设备设施等。完成建设投产后，可为丧属提供配套餐饮、住宿服务，基本可有效缓解城区居民在家中办丧扰民问题，满足群众在殡仪馆办丧需求。项目总投资约50000万元。   </w:t>
      </w:r>
    </w:p>
    <w:p w14:paraId="044CCEF2">
      <w:pPr>
        <w:numPr>
          <w:ilvl w:val="0"/>
          <w:numId w:val="0"/>
        </w:numPr>
        <w:ind w:left="0" w:leftChars="0" w:firstLine="560" w:firstLineChars="200"/>
        <w:outlineLvl w:val="1"/>
        <w:rPr>
          <w:rFonts w:hint="eastAsia" w:ascii="微软雅黑" w:hAnsi="微软雅黑" w:eastAsia="微软雅黑" w:cs="微软雅黑"/>
          <w:i w:val="0"/>
          <w:iCs w:val="0"/>
          <w:caps w:val="0"/>
          <w:color w:val="000000"/>
          <w:spacing w:val="0"/>
          <w:sz w:val="28"/>
          <w:szCs w:val="28"/>
          <w:shd w:val="clear" w:fill="FFFFFF"/>
          <w:lang w:eastAsia="zh-CN"/>
        </w:rPr>
      </w:pPr>
      <w:bookmarkStart w:id="67" w:name="_Toc3348"/>
      <w:r>
        <w:rPr>
          <w:rFonts w:hint="eastAsia" w:ascii="微软雅黑" w:hAnsi="微软雅黑" w:eastAsia="微软雅黑" w:cs="微软雅黑"/>
          <w:i w:val="0"/>
          <w:iCs w:val="0"/>
          <w:caps w:val="0"/>
          <w:color w:val="000000"/>
          <w:spacing w:val="0"/>
          <w:sz w:val="28"/>
          <w:szCs w:val="28"/>
          <w:shd w:val="clear" w:fill="FFFFFF"/>
          <w:lang w:val="en-US" w:eastAsia="zh-CN"/>
        </w:rPr>
        <w:t>3.</w:t>
      </w:r>
      <w:r>
        <w:rPr>
          <w:rFonts w:hint="eastAsia" w:ascii="微软雅黑" w:hAnsi="微软雅黑" w:eastAsia="微软雅黑" w:cs="微软雅黑"/>
          <w:i w:val="0"/>
          <w:iCs w:val="0"/>
          <w:caps w:val="0"/>
          <w:color w:val="000000"/>
          <w:spacing w:val="0"/>
          <w:sz w:val="28"/>
          <w:szCs w:val="28"/>
          <w:shd w:val="clear" w:fill="FFFFFF"/>
          <w:lang w:eastAsia="zh-CN"/>
        </w:rPr>
        <w:t>长汀县（张坊岽）生命公园（近期）</w:t>
      </w:r>
      <w:bookmarkEnd w:id="67"/>
    </w:p>
    <w:p w14:paraId="7CB1052C">
      <w:pPr>
        <w:numPr>
          <w:ilvl w:val="0"/>
          <w:numId w:val="0"/>
        </w:numPr>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 xml:space="preserve">    长汀县城市公益性公墓--张坊岽生命公园项目，建设规模为二类公墓，项目规划用地276亩，配套进场道路73.5亩，总投资4.1亿元，建设工期为2024年至2027年。项目计容总建筑面积5100平方米，规划骨灰寄存格位3.5万个，墓穴位5.8万个。新建公益性骨灰楼堂、管理用房、材料厂房、公用卫生间等；设生态公墓墓葬区、公祭区；配套道路、水电、绿化、围墙、大门、停车场及其他附属设施等。</w:t>
      </w:r>
    </w:p>
    <w:p w14:paraId="43A50A83">
      <w:pPr>
        <w:numPr>
          <w:ilvl w:val="0"/>
          <w:numId w:val="0"/>
        </w:numPr>
        <w:ind w:left="0" w:leftChars="0" w:firstLine="0" w:firstLineChars="0"/>
        <w:outlineLvl w:val="1"/>
        <w:rPr>
          <w:rFonts w:hint="eastAsia" w:ascii="微软雅黑" w:hAnsi="微软雅黑" w:eastAsia="微软雅黑" w:cs="微软雅黑"/>
          <w:i w:val="0"/>
          <w:iCs w:val="0"/>
          <w:caps w:val="0"/>
          <w:color w:val="000000"/>
          <w:spacing w:val="0"/>
          <w:sz w:val="28"/>
          <w:szCs w:val="28"/>
          <w:shd w:val="clear" w:fill="FFFFFF"/>
        </w:rPr>
      </w:pPr>
      <w:r>
        <w:rPr>
          <w:rFonts w:hint="eastAsia" w:ascii="微软雅黑" w:hAnsi="微软雅黑" w:eastAsia="微软雅黑" w:cs="微软雅黑"/>
          <w:i w:val="0"/>
          <w:iCs w:val="0"/>
          <w:caps w:val="0"/>
          <w:color w:val="000000"/>
          <w:spacing w:val="0"/>
          <w:sz w:val="28"/>
          <w:szCs w:val="28"/>
          <w:shd w:val="clear" w:fill="FFFFFF"/>
          <w:lang w:eastAsia="zh-CN"/>
        </w:rPr>
        <w:t xml:space="preserve">    </w:t>
      </w:r>
      <w:bookmarkStart w:id="68" w:name="_Toc19803"/>
      <w:r>
        <w:rPr>
          <w:rFonts w:hint="eastAsia" w:ascii="微软雅黑" w:hAnsi="微软雅黑" w:eastAsia="微软雅黑" w:cs="微软雅黑"/>
          <w:i w:val="0"/>
          <w:iCs w:val="0"/>
          <w:caps w:val="0"/>
          <w:color w:val="000000"/>
          <w:spacing w:val="0"/>
          <w:sz w:val="28"/>
          <w:szCs w:val="28"/>
          <w:shd w:val="clear" w:fill="FFFFFF"/>
          <w:lang w:eastAsia="zh-CN"/>
        </w:rPr>
        <w:t>4.</w:t>
      </w:r>
      <w:r>
        <w:rPr>
          <w:rFonts w:hint="eastAsia" w:ascii="微软雅黑" w:hAnsi="微软雅黑" w:eastAsia="微软雅黑" w:cs="微软雅黑"/>
          <w:i w:val="0"/>
          <w:iCs w:val="0"/>
          <w:caps w:val="0"/>
          <w:color w:val="000000"/>
          <w:spacing w:val="0"/>
          <w:sz w:val="28"/>
          <w:szCs w:val="28"/>
          <w:shd w:val="clear" w:fill="FFFFFF"/>
        </w:rPr>
        <w:t>长汀县松鹤陵园</w:t>
      </w:r>
      <w:r>
        <w:rPr>
          <w:rFonts w:hint="eastAsia" w:ascii="微软雅黑" w:hAnsi="微软雅黑" w:eastAsia="微软雅黑" w:cs="微软雅黑"/>
          <w:i w:val="0"/>
          <w:iCs w:val="0"/>
          <w:caps w:val="0"/>
          <w:color w:val="000000"/>
          <w:spacing w:val="0"/>
          <w:sz w:val="28"/>
          <w:szCs w:val="28"/>
          <w:shd w:val="clear" w:fill="FFFFFF"/>
          <w:lang w:eastAsia="zh-CN"/>
        </w:rPr>
        <w:t>扩建项目（近期）</w:t>
      </w:r>
      <w:bookmarkEnd w:id="68"/>
    </w:p>
    <w:p w14:paraId="1DB1CAE8">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rPr>
      </w:pPr>
      <w:r>
        <w:rPr>
          <w:rFonts w:hint="eastAsia" w:ascii="微软雅黑" w:hAnsi="微软雅黑" w:eastAsia="微软雅黑" w:cs="微软雅黑"/>
          <w:i w:val="0"/>
          <w:iCs w:val="0"/>
          <w:caps w:val="0"/>
          <w:color w:val="000000"/>
          <w:spacing w:val="0"/>
          <w:sz w:val="28"/>
          <w:szCs w:val="28"/>
          <w:shd w:val="clear" w:fill="FFFFFF"/>
        </w:rPr>
        <w:t>规划用地28.65亩，墓穴位4800个。设生态公墓墓葬区、公祭区，配套道路等设施。</w:t>
      </w:r>
      <w:r>
        <w:rPr>
          <w:rFonts w:hint="eastAsia" w:ascii="微软雅黑" w:hAnsi="微软雅黑" w:eastAsia="微软雅黑" w:cs="微软雅黑"/>
          <w:i w:val="0"/>
          <w:iCs w:val="0"/>
          <w:caps w:val="0"/>
          <w:color w:val="000000"/>
          <w:spacing w:val="0"/>
          <w:sz w:val="28"/>
          <w:szCs w:val="28"/>
          <w:shd w:val="clear" w:fill="FFFFFF"/>
          <w:lang w:val="en-US" w:eastAsia="zh-CN"/>
        </w:rPr>
        <w:t>项目总投资约6500万元。</w:t>
      </w:r>
    </w:p>
    <w:p w14:paraId="22CB181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rightChars="0" w:firstLine="420" w:firstLineChars="0"/>
        <w:jc w:val="both"/>
        <w:outlineLvl w:val="1"/>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 xml:space="preserve"> </w:t>
      </w:r>
      <w:bookmarkStart w:id="69" w:name="_Toc1179"/>
      <w:r>
        <w:rPr>
          <w:rFonts w:hint="eastAsia" w:ascii="微软雅黑" w:hAnsi="微软雅黑" w:eastAsia="微软雅黑" w:cs="微软雅黑"/>
          <w:i w:val="0"/>
          <w:iCs w:val="0"/>
          <w:caps w:val="0"/>
          <w:color w:val="000000"/>
          <w:spacing w:val="0"/>
          <w:sz w:val="28"/>
          <w:szCs w:val="28"/>
          <w:shd w:val="clear" w:fill="FFFFFF"/>
          <w:lang w:val="en-US" w:eastAsia="zh-CN"/>
        </w:rPr>
        <w:t>5.</w:t>
      </w:r>
      <w:r>
        <w:rPr>
          <w:rFonts w:hint="eastAsia" w:ascii="微软雅黑" w:hAnsi="微软雅黑" w:eastAsia="微软雅黑" w:cs="微软雅黑"/>
          <w:i w:val="0"/>
          <w:iCs w:val="0"/>
          <w:caps w:val="0"/>
          <w:color w:val="000000"/>
          <w:spacing w:val="0"/>
          <w:sz w:val="28"/>
          <w:szCs w:val="28"/>
          <w:shd w:val="clear" w:fill="FFFFFF"/>
          <w:lang w:eastAsia="zh-CN"/>
        </w:rPr>
        <w:t xml:space="preserve"> 殡葬服务龙头培育</w:t>
      </w:r>
      <w:bookmarkEnd w:id="69"/>
    </w:p>
    <w:p w14:paraId="5635E07A">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鼓励和引导社会资本从事殡葬中介及相关服务活动、将从事殡葬中介及相关服务活动的组织和个人纳入殡葬服务管理信息系统和殡葬行业组织管理，引导殡葬中介依据有关殡葬服务规范要求，提升服务水平，培育殡葬服务龙头企业3家以上（其中近期2家以上）。</w:t>
      </w:r>
    </w:p>
    <w:p w14:paraId="48D3109A">
      <w:pPr>
        <w:bidi w:val="0"/>
        <w:rPr>
          <w:rFonts w:hint="default" w:asciiTheme="minorHAnsi" w:hAnsiTheme="minorHAnsi" w:eastAsiaTheme="minorEastAsia" w:cstheme="minorBidi"/>
          <w:kern w:val="2"/>
          <w:sz w:val="21"/>
          <w:szCs w:val="24"/>
          <w:lang w:val="en-US" w:eastAsia="zh-CN" w:bidi="ar-SA"/>
        </w:rPr>
      </w:pPr>
    </w:p>
    <w:p w14:paraId="67147DB4">
      <w:pPr>
        <w:bidi w:val="0"/>
        <w:rPr>
          <w:rFonts w:hint="default"/>
          <w:lang w:val="en-US" w:eastAsia="zh-CN"/>
        </w:rPr>
      </w:pPr>
    </w:p>
    <w:p w14:paraId="1FFF215B">
      <w:pPr>
        <w:bidi w:val="0"/>
        <w:rPr>
          <w:rFonts w:hint="default"/>
          <w:lang w:val="en-US" w:eastAsia="zh-CN"/>
        </w:rPr>
      </w:pPr>
    </w:p>
    <w:p w14:paraId="2D8DE5D1">
      <w:pPr>
        <w:bidi w:val="0"/>
        <w:rPr>
          <w:rFonts w:hint="default"/>
          <w:lang w:val="en-US" w:eastAsia="zh-CN"/>
        </w:rPr>
      </w:pPr>
    </w:p>
    <w:p w14:paraId="0655F07F">
      <w:pPr>
        <w:bidi w:val="0"/>
        <w:rPr>
          <w:rFonts w:hint="default"/>
          <w:lang w:val="en-US" w:eastAsia="zh-CN"/>
        </w:rPr>
      </w:pPr>
    </w:p>
    <w:p w14:paraId="085F0C1D">
      <w:pPr>
        <w:bidi w:val="0"/>
        <w:rPr>
          <w:rFonts w:hint="default"/>
          <w:lang w:val="en-US" w:eastAsia="zh-CN"/>
        </w:rPr>
      </w:pPr>
    </w:p>
    <w:p w14:paraId="454AFB8A">
      <w:pPr>
        <w:bidi w:val="0"/>
        <w:rPr>
          <w:rFonts w:hint="default"/>
          <w:lang w:val="en-US" w:eastAsia="zh-CN"/>
        </w:rPr>
      </w:pPr>
    </w:p>
    <w:p w14:paraId="1112D5A0">
      <w:pPr>
        <w:bidi w:val="0"/>
        <w:rPr>
          <w:rFonts w:hint="default"/>
          <w:lang w:val="en-US" w:eastAsia="zh-CN"/>
        </w:rPr>
      </w:pPr>
    </w:p>
    <w:p w14:paraId="5B87EEAA">
      <w:pPr>
        <w:bidi w:val="0"/>
        <w:rPr>
          <w:rFonts w:hint="default"/>
          <w:lang w:val="en-US" w:eastAsia="zh-CN"/>
        </w:rPr>
      </w:pPr>
    </w:p>
    <w:p w14:paraId="37CEA591">
      <w:pPr>
        <w:numPr>
          <w:ilvl w:val="0"/>
          <w:numId w:val="0"/>
        </w:numPr>
        <w:ind w:left="0" w:leftChars="0" w:firstLine="0" w:firstLineChars="0"/>
        <w:jc w:val="center"/>
        <w:outlineLvl w:val="9"/>
        <w:rPr>
          <w:rFonts w:hint="eastAsia" w:ascii="微软雅黑" w:hAnsi="微软雅黑" w:eastAsia="微软雅黑" w:cs="微软雅黑"/>
          <w:b/>
          <w:bCs/>
          <w:i w:val="0"/>
          <w:iCs w:val="0"/>
          <w:caps w:val="0"/>
          <w:color w:val="000000"/>
          <w:spacing w:val="0"/>
          <w:sz w:val="36"/>
          <w:szCs w:val="36"/>
          <w:shd w:val="clear" w:fill="FFFFFF"/>
          <w:lang w:eastAsia="zh-CN"/>
        </w:rPr>
        <w:sectPr>
          <w:pgSz w:w="11906" w:h="16838"/>
          <w:pgMar w:top="1440" w:right="1800" w:bottom="1440" w:left="1800" w:header="851" w:footer="992" w:gutter="0"/>
          <w:pgNumType w:fmt="decimal"/>
          <w:cols w:space="425" w:num="1"/>
          <w:docGrid w:type="lines" w:linePitch="312" w:charSpace="0"/>
        </w:sectPr>
      </w:pPr>
    </w:p>
    <w:p w14:paraId="4E52A563">
      <w:pPr>
        <w:numPr>
          <w:ilvl w:val="0"/>
          <w:numId w:val="0"/>
        </w:numPr>
        <w:ind w:left="0" w:leftChars="0" w:firstLine="0" w:firstLineChars="0"/>
        <w:jc w:val="center"/>
        <w:outlineLvl w:val="0"/>
        <w:rPr>
          <w:rFonts w:ascii="微软雅黑" w:hAnsi="微软雅黑" w:eastAsia="微软雅黑" w:cs="微软雅黑"/>
          <w:i w:val="0"/>
          <w:iCs w:val="0"/>
          <w:caps w:val="0"/>
          <w:color w:val="000000"/>
          <w:spacing w:val="0"/>
          <w:sz w:val="19"/>
          <w:szCs w:val="19"/>
          <w:shd w:val="clear" w:fill="FFFFFF"/>
        </w:rPr>
      </w:pPr>
      <w:bookmarkStart w:id="70" w:name="_Toc29455"/>
      <w:r>
        <w:rPr>
          <w:rFonts w:hint="eastAsia" w:ascii="微软雅黑" w:hAnsi="微软雅黑" w:eastAsia="微软雅黑" w:cs="微软雅黑"/>
          <w:b/>
          <w:bCs/>
          <w:i w:val="0"/>
          <w:iCs w:val="0"/>
          <w:caps w:val="0"/>
          <w:color w:val="000000"/>
          <w:spacing w:val="0"/>
          <w:sz w:val="36"/>
          <w:szCs w:val="36"/>
          <w:shd w:val="clear" w:fill="FFFFFF"/>
          <w:lang w:eastAsia="zh-CN"/>
        </w:rPr>
        <w:t>第五章  术语解释</w:t>
      </w:r>
      <w:bookmarkEnd w:id="70"/>
    </w:p>
    <w:p w14:paraId="208BC7E5">
      <w:pPr>
        <w:numPr>
          <w:ilvl w:val="0"/>
          <w:numId w:val="0"/>
        </w:numPr>
        <w:ind w:left="0" w:leftChars="0" w:firstLine="0" w:firstLineChars="0"/>
        <w:outlineLvl w:val="9"/>
        <w:rPr>
          <w:rFonts w:hint="eastAsia" w:ascii="微软雅黑" w:hAnsi="微软雅黑" w:eastAsia="微软雅黑" w:cs="微软雅黑"/>
          <w:b/>
          <w:bCs/>
          <w:i w:val="0"/>
          <w:iCs w:val="0"/>
          <w:caps w:val="0"/>
          <w:color w:val="000000"/>
          <w:spacing w:val="0"/>
          <w:sz w:val="28"/>
          <w:szCs w:val="28"/>
          <w:shd w:val="clear" w:fill="FFFFFF"/>
          <w:lang w:eastAsia="zh-CN"/>
        </w:rPr>
      </w:pPr>
    </w:p>
    <w:p w14:paraId="23AD456F">
      <w:pPr>
        <w:bidi w:val="0"/>
        <w:outlineLvl w:val="0"/>
        <w:rPr>
          <w:rFonts w:hint="eastAsia" w:ascii="微软雅黑" w:hAnsi="微软雅黑" w:eastAsia="微软雅黑" w:cs="微软雅黑"/>
          <w:b/>
          <w:bCs/>
          <w:i w:val="0"/>
          <w:iCs w:val="0"/>
          <w:caps w:val="0"/>
          <w:color w:val="000000"/>
          <w:spacing w:val="0"/>
          <w:sz w:val="28"/>
          <w:szCs w:val="28"/>
          <w:shd w:val="clear" w:fill="FFFFFF"/>
          <w:lang w:eastAsia="zh-CN"/>
        </w:rPr>
      </w:pPr>
      <w:bookmarkStart w:id="71" w:name="_Toc13771"/>
      <w:r>
        <w:rPr>
          <w:rFonts w:hint="eastAsia" w:ascii="微软雅黑" w:hAnsi="微软雅黑" w:eastAsia="微软雅黑" w:cs="微软雅黑"/>
          <w:b/>
          <w:bCs/>
          <w:i w:val="0"/>
          <w:iCs w:val="0"/>
          <w:caps w:val="0"/>
          <w:color w:val="000000"/>
          <w:spacing w:val="0"/>
          <w:sz w:val="28"/>
          <w:szCs w:val="28"/>
          <w:shd w:val="clear" w:fill="FFFFFF"/>
          <w:lang w:eastAsia="zh-CN"/>
        </w:rPr>
        <w:t>一、规划名词</w:t>
      </w:r>
      <w:bookmarkEnd w:id="71"/>
    </w:p>
    <w:p w14:paraId="4D462A12">
      <w:pPr>
        <w:numPr>
          <w:ilvl w:val="0"/>
          <w:numId w:val="0"/>
        </w:numPr>
        <w:ind w:left="0" w:leftChars="0" w:firstLine="560" w:firstLineChars="200"/>
        <w:outlineLvl w:val="1"/>
        <w:rPr>
          <w:rFonts w:hint="eastAsia" w:ascii="微软雅黑" w:hAnsi="微软雅黑" w:eastAsia="微软雅黑" w:cs="微软雅黑"/>
          <w:i w:val="0"/>
          <w:iCs w:val="0"/>
          <w:caps w:val="0"/>
          <w:color w:val="000000"/>
          <w:spacing w:val="0"/>
          <w:sz w:val="28"/>
          <w:szCs w:val="28"/>
          <w:shd w:val="clear" w:fill="FFFFFF"/>
          <w:lang w:val="en-US" w:eastAsia="zh-CN"/>
        </w:rPr>
      </w:pPr>
      <w:bookmarkStart w:id="72" w:name="_Toc9025"/>
      <w:r>
        <w:rPr>
          <w:rFonts w:hint="eastAsia" w:ascii="微软雅黑" w:hAnsi="微软雅黑" w:eastAsia="微软雅黑" w:cs="微软雅黑"/>
          <w:i w:val="0"/>
          <w:iCs w:val="0"/>
          <w:caps w:val="0"/>
          <w:color w:val="000000"/>
          <w:spacing w:val="0"/>
          <w:sz w:val="28"/>
          <w:szCs w:val="28"/>
          <w:shd w:val="clear" w:fill="FFFFFF"/>
          <w:lang w:val="en-US" w:eastAsia="zh-CN"/>
        </w:rPr>
        <w:t>1. 三沿六区</w:t>
      </w:r>
      <w:bookmarkEnd w:id="72"/>
    </w:p>
    <w:p w14:paraId="5F4C43D7">
      <w:pPr>
        <w:numPr>
          <w:ilvl w:val="0"/>
          <w:numId w:val="0"/>
        </w:numPr>
        <w:ind w:firstLine="560" w:firstLineChars="200"/>
      </w:pPr>
      <w:r>
        <w:rPr>
          <w:rFonts w:hint="default" w:ascii="微软雅黑" w:hAnsi="微软雅黑" w:eastAsia="微软雅黑" w:cs="微软雅黑"/>
          <w:i w:val="0"/>
          <w:iCs w:val="0"/>
          <w:caps w:val="0"/>
          <w:color w:val="000000"/>
          <w:spacing w:val="0"/>
          <w:sz w:val="28"/>
          <w:szCs w:val="28"/>
          <w:shd w:val="clear" w:fill="FFFFFF"/>
          <w:lang w:val="en-US" w:eastAsia="zh-CN"/>
        </w:rPr>
        <w:t>“三沿”指沿高速公路及连接线、国道及省道、铁路等主干道两侧可视范围；“六区”指耕地、林地、城市公园、风景名胜区和文物保护区、水库及河流堤坝附近和水源保护区。</w:t>
      </w:r>
    </w:p>
    <w:p w14:paraId="21939E7E">
      <w:pPr>
        <w:numPr>
          <w:ilvl w:val="0"/>
          <w:numId w:val="0"/>
        </w:numPr>
        <w:ind w:left="0" w:leftChars="0" w:firstLine="560" w:firstLineChars="200"/>
        <w:outlineLvl w:val="1"/>
        <w:rPr>
          <w:rFonts w:hint="eastAsia" w:ascii="微软雅黑" w:hAnsi="微软雅黑" w:eastAsia="微软雅黑" w:cs="微软雅黑"/>
          <w:i w:val="0"/>
          <w:iCs w:val="0"/>
          <w:caps w:val="0"/>
          <w:color w:val="000000"/>
          <w:spacing w:val="0"/>
          <w:sz w:val="28"/>
          <w:szCs w:val="28"/>
          <w:shd w:val="clear" w:fill="FFFFFF"/>
          <w:lang w:val="en-US" w:eastAsia="zh-CN"/>
        </w:rPr>
      </w:pPr>
      <w:bookmarkStart w:id="73" w:name="_Toc23055"/>
      <w:r>
        <w:rPr>
          <w:rFonts w:hint="eastAsia" w:ascii="微软雅黑" w:hAnsi="微软雅黑" w:eastAsia="微软雅黑" w:cs="微软雅黑"/>
          <w:i w:val="0"/>
          <w:iCs w:val="0"/>
          <w:caps w:val="0"/>
          <w:color w:val="000000"/>
          <w:spacing w:val="0"/>
          <w:sz w:val="28"/>
          <w:szCs w:val="28"/>
          <w:shd w:val="clear" w:fill="FFFFFF"/>
          <w:lang w:val="en-US" w:eastAsia="zh-CN"/>
        </w:rPr>
        <w:t>2.“一心二系”</w:t>
      </w:r>
      <w:bookmarkEnd w:id="73"/>
    </w:p>
    <w:p w14:paraId="4DA2384A">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一心：县城殡葬设施中心。在中心城区范围内形成布局合理、功能齐全、配套完善的殡葬设施中心</w:t>
      </w:r>
    </w:p>
    <w:p w14:paraId="1F59348F">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安葬体系：节地生态安葬体系。形成以公益性公墓、生命公园、骨灰楼堂为主的县域三级节地生态安葬体系</w:t>
      </w:r>
    </w:p>
    <w:p w14:paraId="78B98B3A">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殡葬公共服务体系：完整殡葬公共服务体系。形成以县殡葬服务中心、</w:t>
      </w:r>
      <w:r>
        <w:rPr>
          <w:rFonts w:hint="eastAsia" w:ascii="微软雅黑" w:hAnsi="微软雅黑" w:eastAsia="微软雅黑" w:cs="微软雅黑"/>
          <w:i w:val="0"/>
          <w:iCs w:val="0"/>
          <w:caps w:val="0"/>
          <w:color w:val="000000"/>
          <w:spacing w:val="0"/>
          <w:sz w:val="28"/>
          <w:szCs w:val="28"/>
          <w:shd w:val="clear" w:fill="FFFFFF"/>
        </w:rPr>
        <w:t>殡葬智慧管理服务信息平台</w:t>
      </w:r>
      <w:r>
        <w:rPr>
          <w:rFonts w:hint="eastAsia" w:ascii="微软雅黑" w:hAnsi="微软雅黑" w:eastAsia="微软雅黑" w:cs="微软雅黑"/>
          <w:i w:val="0"/>
          <w:iCs w:val="0"/>
          <w:caps w:val="0"/>
          <w:color w:val="000000"/>
          <w:spacing w:val="0"/>
          <w:sz w:val="28"/>
          <w:szCs w:val="28"/>
          <w:shd w:val="clear" w:fill="FFFFFF"/>
          <w:lang w:eastAsia="zh-CN"/>
        </w:rPr>
        <w:t>、乡镇殡仪服务站、村级集中办丧场所为主殡葬公共服务体系。</w:t>
      </w:r>
    </w:p>
    <w:p w14:paraId="28AFB24F">
      <w:pPr>
        <w:numPr>
          <w:ilvl w:val="0"/>
          <w:numId w:val="2"/>
        </w:numPr>
        <w:ind w:firstLine="560" w:firstLineChars="200"/>
        <w:outlineLvl w:val="1"/>
        <w:rPr>
          <w:rFonts w:hint="eastAsia" w:ascii="微软雅黑" w:hAnsi="微软雅黑" w:eastAsia="微软雅黑" w:cs="微软雅黑"/>
          <w:i w:val="0"/>
          <w:iCs w:val="0"/>
          <w:caps w:val="0"/>
          <w:color w:val="000000"/>
          <w:spacing w:val="0"/>
          <w:sz w:val="28"/>
          <w:szCs w:val="28"/>
          <w:shd w:val="clear" w:fill="FFFFFF"/>
          <w:lang w:val="en-US" w:eastAsia="zh-CN"/>
        </w:rPr>
      </w:pPr>
      <w:bookmarkStart w:id="74" w:name="_Toc6019"/>
      <w:r>
        <w:rPr>
          <w:rFonts w:hint="eastAsia" w:ascii="微软雅黑" w:hAnsi="微软雅黑" w:eastAsia="微软雅黑" w:cs="微软雅黑"/>
          <w:i w:val="0"/>
          <w:iCs w:val="0"/>
          <w:caps w:val="0"/>
          <w:color w:val="000000"/>
          <w:spacing w:val="0"/>
          <w:sz w:val="28"/>
          <w:szCs w:val="28"/>
          <w:shd w:val="clear" w:fill="FFFFFF"/>
          <w:lang w:val="en-US" w:eastAsia="zh-CN"/>
        </w:rPr>
        <w:t>近期重点区域</w:t>
      </w:r>
      <w:bookmarkEnd w:id="74"/>
    </w:p>
    <w:p w14:paraId="16B12A6C">
      <w:pPr>
        <w:numPr>
          <w:ilvl w:val="0"/>
          <w:numId w:val="0"/>
        </w:numPr>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eastAsia="zh-CN"/>
        </w:rPr>
        <w:t xml:space="preserve">    中心城区</w:t>
      </w:r>
      <w:r>
        <w:rPr>
          <w:rFonts w:hint="eastAsia" w:ascii="微软雅黑" w:hAnsi="微软雅黑" w:eastAsia="微软雅黑" w:cs="微软雅黑"/>
          <w:i w:val="0"/>
          <w:iCs w:val="0"/>
          <w:caps w:val="0"/>
          <w:color w:val="000000"/>
          <w:spacing w:val="0"/>
          <w:sz w:val="28"/>
          <w:szCs w:val="28"/>
          <w:shd w:val="clear" w:fill="FFFFFF"/>
          <w:lang w:val="en-US" w:eastAsia="zh-CN"/>
        </w:rPr>
        <w:t>范围、古城、大同、策武、河田、南山、三洲、四都镇、濯田镇、新桥镇、庵杰乡</w:t>
      </w:r>
    </w:p>
    <w:p w14:paraId="2872C87A">
      <w:pPr>
        <w:numPr>
          <w:ilvl w:val="0"/>
          <w:numId w:val="0"/>
        </w:numPr>
        <w:ind w:left="0" w:leftChars="0" w:firstLine="0" w:firstLineChars="0"/>
        <w:outlineLvl w:val="1"/>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 xml:space="preserve">    </w:t>
      </w:r>
      <w:bookmarkStart w:id="75" w:name="_Toc23361"/>
      <w:r>
        <w:rPr>
          <w:rFonts w:hint="eastAsia" w:ascii="微软雅黑" w:hAnsi="微软雅黑" w:eastAsia="微软雅黑" w:cs="微软雅黑"/>
          <w:i w:val="0"/>
          <w:iCs w:val="0"/>
          <w:caps w:val="0"/>
          <w:color w:val="000000"/>
          <w:spacing w:val="0"/>
          <w:sz w:val="28"/>
          <w:szCs w:val="28"/>
          <w:shd w:val="clear" w:fill="FFFFFF"/>
          <w:lang w:eastAsia="zh-CN"/>
        </w:rPr>
        <w:t>4.生命公园</w:t>
      </w:r>
      <w:bookmarkEnd w:id="75"/>
    </w:p>
    <w:p w14:paraId="0AF42F29">
      <w:pPr>
        <w:numPr>
          <w:ilvl w:val="0"/>
          <w:numId w:val="0"/>
        </w:numPr>
        <w:rPr>
          <w:rFonts w:hint="eastAsia" w:ascii="微软雅黑" w:hAnsi="微软雅黑" w:eastAsia="微软雅黑" w:cs="微软雅黑"/>
          <w:i w:val="0"/>
          <w:iCs w:val="0"/>
          <w:caps w:val="0"/>
          <w:color w:val="000000"/>
          <w:spacing w:val="0"/>
          <w:sz w:val="28"/>
          <w:szCs w:val="28"/>
          <w:shd w:val="clear" w:fill="FFFFFF"/>
          <w:lang w:eastAsia="zh-CN"/>
        </w:rPr>
      </w:pPr>
      <w:r>
        <w:rPr>
          <w:rFonts w:hint="eastAsia" w:ascii="微软雅黑" w:hAnsi="微软雅黑" w:eastAsia="微软雅黑" w:cs="微软雅黑"/>
          <w:i w:val="0"/>
          <w:iCs w:val="0"/>
          <w:caps w:val="0"/>
          <w:color w:val="000000"/>
          <w:spacing w:val="0"/>
          <w:sz w:val="28"/>
          <w:szCs w:val="28"/>
          <w:shd w:val="clear" w:fill="FFFFFF"/>
          <w:lang w:eastAsia="zh-CN"/>
        </w:rPr>
        <w:t xml:space="preserve">    是一种创新、节地、生态、环保的新型殡葬模式。之所以称之为“公园”，是因为生命公园是在建设公园的基础之上，根据公园的实际地理条件和功能区域划分，因地制宜设置花葬、草坪葬、树葬等生态节地安葬方式。改变传统山上成片的墓碑石林习惯，将传统墓碑小型化、微型化，合理设置在花草丛林中，实现生态节地、新型墓葬二者相辅相成，和谐统一。</w:t>
      </w:r>
    </w:p>
    <w:p w14:paraId="5419437C">
      <w:pPr>
        <w:bidi w:val="0"/>
        <w:outlineLvl w:val="0"/>
        <w:rPr>
          <w:rFonts w:hint="eastAsia" w:ascii="微软雅黑" w:hAnsi="微软雅黑" w:eastAsia="微软雅黑" w:cs="微软雅黑"/>
          <w:b/>
          <w:bCs/>
          <w:i w:val="0"/>
          <w:iCs w:val="0"/>
          <w:caps w:val="0"/>
          <w:color w:val="000000"/>
          <w:spacing w:val="0"/>
          <w:sz w:val="28"/>
          <w:szCs w:val="28"/>
          <w:shd w:val="clear" w:fill="FFFFFF"/>
          <w:lang w:val="en-US" w:eastAsia="zh-CN"/>
        </w:rPr>
      </w:pPr>
      <w:bookmarkStart w:id="76" w:name="_Toc30376"/>
      <w:r>
        <w:rPr>
          <w:rFonts w:hint="eastAsia" w:ascii="微软雅黑" w:hAnsi="微软雅黑" w:eastAsia="微软雅黑" w:cs="微软雅黑"/>
          <w:b/>
          <w:bCs/>
          <w:i w:val="0"/>
          <w:iCs w:val="0"/>
          <w:caps w:val="0"/>
          <w:color w:val="000000"/>
          <w:spacing w:val="0"/>
          <w:sz w:val="28"/>
          <w:szCs w:val="28"/>
          <w:shd w:val="clear" w:fill="FFFFFF"/>
          <w:lang w:val="en-US" w:eastAsia="zh-CN"/>
        </w:rPr>
        <w:t>二、“三条控制线”</w:t>
      </w:r>
      <w:bookmarkEnd w:id="76"/>
    </w:p>
    <w:p w14:paraId="36456376">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永久基本农田保护红线: 按照保质保量要求，将保障粮食安全和重要农产品供给、实施永久特殊保护的耕地划为永久基本农田保护红线。</w:t>
      </w:r>
    </w:p>
    <w:p w14:paraId="555EC643">
      <w:pPr>
        <w:numPr>
          <w:ilvl w:val="0"/>
          <w:numId w:val="0"/>
        </w:numPr>
        <w:ind w:firstLine="560" w:firstLineChars="200"/>
        <w:rPr>
          <w:rFonts w:hint="default" w:ascii="微软雅黑" w:hAnsi="微软雅黑" w:eastAsia="微软雅黑" w:cs="微软雅黑"/>
          <w:i w:val="0"/>
          <w:iCs w:val="0"/>
          <w:caps w:val="0"/>
          <w:color w:val="000000"/>
          <w:spacing w:val="0"/>
          <w:sz w:val="28"/>
          <w:szCs w:val="28"/>
          <w:shd w:val="clear" w:fill="FFFFFF"/>
          <w:lang w:val="en-US" w:eastAsia="zh-CN"/>
        </w:rPr>
      </w:pPr>
      <w:r>
        <w:rPr>
          <w:rFonts w:hint="default" w:ascii="微软雅黑" w:hAnsi="微软雅黑" w:eastAsia="微软雅黑" w:cs="微软雅黑"/>
          <w:i w:val="0"/>
          <w:iCs w:val="0"/>
          <w:caps w:val="0"/>
          <w:color w:val="000000"/>
          <w:spacing w:val="0"/>
          <w:sz w:val="28"/>
          <w:szCs w:val="28"/>
          <w:shd w:val="clear" w:fill="FFFFFF"/>
          <w:lang w:val="en-US" w:eastAsia="zh-CN"/>
        </w:rPr>
        <w:t>生态保护红线</w:t>
      </w:r>
      <w:r>
        <w:rPr>
          <w:rFonts w:hint="eastAsia" w:ascii="微软雅黑" w:hAnsi="微软雅黑" w:eastAsia="微软雅黑" w:cs="微软雅黑"/>
          <w:i w:val="0"/>
          <w:iCs w:val="0"/>
          <w:caps w:val="0"/>
          <w:color w:val="000000"/>
          <w:spacing w:val="0"/>
          <w:sz w:val="28"/>
          <w:szCs w:val="28"/>
          <w:shd w:val="clear" w:fill="FFFFFF"/>
          <w:lang w:val="en-US" w:eastAsia="zh-CN"/>
        </w:rPr>
        <w:t>: 按照“应划尽划、应保尽保”的原则，将全县生态空间中具有特殊重要生态功能，必须强制性严格保护的区域划入生态保护红线。</w:t>
      </w:r>
    </w:p>
    <w:p w14:paraId="6F5FBA08">
      <w:pPr>
        <w:numPr>
          <w:ilvl w:val="0"/>
          <w:numId w:val="0"/>
        </w:numPr>
        <w:ind w:firstLine="560" w:firstLineChars="200"/>
        <w:rPr>
          <w:rFonts w:hint="eastAsia"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城镇开发边界: 按照节约集约、绿色发展要求合理划定城镇开发边界，优先将近期明确的重大建设项目、各类依法批准的开发区等可集中进行城镇开发建设的区域，划入城镇开发边界。</w:t>
      </w:r>
    </w:p>
    <w:p w14:paraId="32DD2869">
      <w:pPr>
        <w:numPr>
          <w:ilvl w:val="0"/>
          <w:numId w:val="0"/>
        </w:numPr>
        <w:ind w:firstLine="560" w:firstLineChars="200"/>
        <w:rPr>
          <w:rFonts w:hint="default"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三条控制线”管控实施期间规则： “三条控制线”管控实施期间，法律法规和规范性文件 有新规定的，依照新规定执行。</w:t>
      </w:r>
      <w:r>
        <w:rPr>
          <w:rFonts w:hint="default" w:ascii="微软雅黑" w:hAnsi="微软雅黑" w:eastAsia="微软雅黑" w:cs="微软雅黑"/>
          <w:i w:val="0"/>
          <w:iCs w:val="0"/>
          <w:caps w:val="0"/>
          <w:color w:val="000000"/>
          <w:spacing w:val="0"/>
          <w:sz w:val="28"/>
          <w:szCs w:val="28"/>
          <w:shd w:val="clear" w:fill="FFFFFF"/>
          <w:lang w:val="en-US" w:eastAsia="zh-CN"/>
        </w:rPr>
        <w:t xml:space="preserve"> </w:t>
      </w:r>
    </w:p>
    <w:p w14:paraId="5A733FAA">
      <w:pPr>
        <w:numPr>
          <w:ilvl w:val="0"/>
          <w:numId w:val="0"/>
        </w:numPr>
        <w:ind w:firstLine="560" w:firstLineChars="200"/>
        <w:rPr>
          <w:rFonts w:hint="default" w:ascii="微软雅黑" w:hAnsi="微软雅黑" w:eastAsia="微软雅黑" w:cs="微软雅黑"/>
          <w:i w:val="0"/>
          <w:iCs w:val="0"/>
          <w:caps w:val="0"/>
          <w:color w:val="000000"/>
          <w:spacing w:val="0"/>
          <w:sz w:val="28"/>
          <w:szCs w:val="28"/>
          <w:shd w:val="clear" w:fill="FFFFFF"/>
          <w:lang w:val="en-US" w:eastAsia="zh-CN"/>
        </w:rPr>
      </w:pPr>
      <w:r>
        <w:rPr>
          <w:rFonts w:hint="eastAsia" w:ascii="微软雅黑" w:hAnsi="微软雅黑" w:eastAsia="微软雅黑" w:cs="微软雅黑"/>
          <w:i w:val="0"/>
          <w:iCs w:val="0"/>
          <w:caps w:val="0"/>
          <w:color w:val="000000"/>
          <w:spacing w:val="0"/>
          <w:sz w:val="28"/>
          <w:szCs w:val="28"/>
          <w:shd w:val="clear" w:fill="FFFFFF"/>
          <w:lang w:val="en-US" w:eastAsia="zh-CN"/>
        </w:rPr>
        <w:t>河湖水域岸线空间管控边界： 水利部门制订的河湖管理范围划定成果；河湖管理保护控制带；河湖水域岸线用途管制带。</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1064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09A1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14E287">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14E287">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726A05"/>
    <w:multiLevelType w:val="singleLevel"/>
    <w:tmpl w:val="68726A05"/>
    <w:lvl w:ilvl="0" w:tentative="0">
      <w:start w:val="7"/>
      <w:numFmt w:val="decimal"/>
      <w:lvlText w:val="%1."/>
      <w:lvlJc w:val="left"/>
    </w:lvl>
  </w:abstractNum>
  <w:abstractNum w:abstractNumId="1">
    <w:nsid w:val="68736708"/>
    <w:multiLevelType w:val="singleLevel"/>
    <w:tmpl w:val="68736708"/>
    <w:lvl w:ilvl="0" w:tentative="0">
      <w:start w:val="3"/>
      <w:numFmt w:val="decimal"/>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5B5FDB"/>
    <w:rsid w:val="435D332B"/>
    <w:rsid w:val="43BF5EB2"/>
    <w:rsid w:val="54472506"/>
    <w:rsid w:val="5A9F560D"/>
    <w:rsid w:val="5EDF16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00"/>
    </w:pPr>
    <w:rPr>
      <w:rFonts w:ascii="Microsoft YaHei UI" w:hAnsi="Microsoft YaHei UI" w:eastAsia="Microsoft YaHei UI"/>
      <w:sz w:val="24"/>
      <w:szCs w:val="24"/>
    </w:rPr>
  </w:style>
  <w:style w:type="paragraph" w:styleId="3">
    <w:name w:val="toc 3"/>
    <w:basedOn w:val="1"/>
    <w:next w:val="1"/>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uiPriority w:val="0"/>
    <w:pPr>
      <w:ind w:left="420" w:left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缩进1"/>
    <w:basedOn w:val="1"/>
    <w:qFormat/>
    <w:uiPriority w:val="0"/>
    <w:pPr>
      <w:ind w:firstLine="720" w:firstLineChars="200"/>
    </w:pPr>
  </w:style>
  <w:style w:type="paragraph" w:customStyle="1" w:styleId="13">
    <w:name w:val="li_正文"/>
    <w:basedOn w:val="1"/>
    <w:qFormat/>
    <w:uiPriority w:val="0"/>
    <w:pPr>
      <w:ind w:firstLine="200" w:firstLineChars="200"/>
      <w:jc w:val="left"/>
    </w:pPr>
    <w:rPr>
      <w:rFonts w:ascii="Calibri" w:hAnsi="Calibri" w:eastAsia="宋体" w:cs="Times New Roman"/>
      <w:sz w:val="28"/>
      <w:szCs w:val="28"/>
    </w:rPr>
  </w:style>
  <w:style w:type="paragraph" w:customStyle="1" w:styleId="14">
    <w:name w:val="Table Text"/>
    <w:basedOn w:val="1"/>
    <w:semiHidden/>
    <w:qFormat/>
    <w:uiPriority w:val="0"/>
    <w:rPr>
      <w:rFonts w:ascii="Arial" w:hAnsi="Arial" w:eastAsia="Arial" w:cs="Arial"/>
      <w:sz w:val="21"/>
      <w:szCs w:val="21"/>
      <w:lang w:val="en-US" w:eastAsia="en-US" w:bidi="ar-SA"/>
    </w:rPr>
  </w:style>
  <w:style w:type="table" w:customStyle="1" w:styleId="1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10011</Words>
  <Characters>11359</Characters>
  <Lines>0</Lines>
  <Paragraphs>0</Paragraphs>
  <TotalTime>8</TotalTime>
  <ScaleCrop>false</ScaleCrop>
  <LinksUpToDate>false</LinksUpToDate>
  <CharactersWithSpaces>11627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2025-07-22T10:55:00Z</dcterms:created>
  <dc:creator>iPad</dc:creator>
  <cp:lastModifiedBy>严二金</cp:lastModifiedBy>
  <dcterms:modified xsi:type="dcterms:W3CDTF">2025-07-23T08:40:55Z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488D0F25CFC44DD89658D0A8DD752F07_13</vt:lpwstr>
  </property>
  <property fmtid="{D5CDD505-2E9C-101B-9397-08002B2CF9AE}" pid="4" name="KSOTemplateDocerSaveRecord">
    <vt:lpwstr>eyJoZGlkIjoiZTRjNjFhM2MxNzNlYjViMjg0ZjFhNTBlNTBiOWViZmIiLCJ1c2VySWQiOiIyMTczODE2NzQifQ==</vt:lpwstr>
  </property>
</Properties>
</file>