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88571">
      <w:pPr>
        <w:jc w:val="center"/>
        <w:rPr>
          <w:rFonts w:hint="eastAsia" w:ascii="方正小标宋简体" w:hAnsi="方正小标宋简体" w:eastAsia="方正小标宋简体" w:cs="方正小标宋简体"/>
          <w:sz w:val="40"/>
          <w:szCs w:val="40"/>
          <w:lang w:val="en-US" w:eastAsia="zh-CN"/>
        </w:rPr>
      </w:pPr>
      <w:bookmarkStart w:id="0" w:name="_GoBack"/>
      <w:bookmarkEnd w:id="0"/>
      <w:r>
        <w:rPr>
          <w:rFonts w:hint="eastAsia" w:ascii="方正小标宋简体" w:hAnsi="方正小标宋简体" w:eastAsia="方正小标宋简体" w:cs="方正小标宋简体"/>
          <w:sz w:val="40"/>
          <w:szCs w:val="40"/>
          <w:lang w:val="en-US" w:eastAsia="zh-CN"/>
        </w:rPr>
        <w:t>长汀县2025中央财政林业草原生态保护</w:t>
      </w:r>
    </w:p>
    <w:p w14:paraId="79FF57A0">
      <w:pPr>
        <w:jc w:val="center"/>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恢复专项资金绩效自评报告</w:t>
      </w:r>
    </w:p>
    <w:p w14:paraId="6DAEE42C">
      <w:pPr>
        <w:ind w:left="0" w:leftChars="0" w:firstLine="640" w:firstLineChars="200"/>
        <w:rPr>
          <w:rFonts w:hint="eastAsia" w:ascii="黑体" w:hAnsi="黑体" w:eastAsia="黑体" w:cs="黑体"/>
          <w:sz w:val="32"/>
          <w:szCs w:val="32"/>
        </w:rPr>
      </w:pPr>
    </w:p>
    <w:p w14:paraId="1CD53732">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eastAsia="zh-CN"/>
        </w:rPr>
        <w:t>、</w:t>
      </w:r>
      <w:r>
        <w:rPr>
          <w:rFonts w:hint="eastAsia" w:ascii="黑体" w:hAnsi="黑体" w:eastAsia="黑体" w:cs="黑体"/>
          <w:sz w:val="32"/>
          <w:szCs w:val="32"/>
        </w:rPr>
        <w:t>绩效目标分解下达情况</w:t>
      </w:r>
    </w:p>
    <w:p w14:paraId="741961F6">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19" w:firstLineChars="200"/>
        <w:textAlignment w:val="auto"/>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（一）上级</w:t>
      </w:r>
      <w:r>
        <w:rPr>
          <w:rFonts w:hint="eastAsia" w:ascii="仿宋_GB2312" w:hAnsi="仿宋_GB2312" w:eastAsia="仿宋_GB2312" w:cs="仿宋_GB2312"/>
          <w:b/>
          <w:bCs w:val="0"/>
          <w:color w:val="000000"/>
          <w:spacing w:val="-6"/>
          <w:sz w:val="32"/>
          <w:szCs w:val="32"/>
          <w:lang w:eastAsia="zh-CN"/>
        </w:rPr>
        <w:t>机构</w:t>
      </w:r>
      <w:r>
        <w:rPr>
          <w:rFonts w:hint="eastAsia" w:ascii="仿宋_GB2312" w:hAnsi="仿宋_GB2312" w:eastAsia="仿宋_GB2312" w:cs="仿宋_GB2312"/>
          <w:b/>
          <w:bCs w:val="0"/>
          <w:color w:val="000000"/>
          <w:spacing w:val="-6"/>
          <w:sz w:val="32"/>
          <w:szCs w:val="32"/>
        </w:rPr>
        <w:t>下达预算和绩效目标情况</w:t>
      </w:r>
    </w:p>
    <w:p w14:paraId="0F0A2210">
      <w:p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w:t>
      </w:r>
      <w:r>
        <w:rPr>
          <w:rFonts w:hint="eastAsia" w:ascii="仿宋_GB2312" w:hAnsi="仿宋_GB2312" w:eastAsia="仿宋_GB2312" w:cs="仿宋_GB2312"/>
          <w:color w:val="000000"/>
          <w:sz w:val="32"/>
          <w:szCs w:val="32"/>
          <w:lang w:val="en-US" w:eastAsia="zh-CN"/>
        </w:rPr>
        <w:t>中央财政林业草原生态保护修复专项资金5498.49</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。其中：</w:t>
      </w:r>
    </w:p>
    <w:p w14:paraId="57686676">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国家级自然保护区</w:t>
      </w:r>
      <w:r>
        <w:rPr>
          <w:rFonts w:hint="eastAsia" w:ascii="仿宋_GB2312" w:hAnsi="仿宋_GB2312" w:eastAsia="仿宋_GB2312" w:cs="仿宋_GB2312"/>
          <w:color w:val="000000"/>
          <w:sz w:val="32"/>
          <w:szCs w:val="32"/>
          <w:lang w:val="en-US" w:eastAsia="zh-CN"/>
        </w:rPr>
        <w:t>1000万元，旨在提升汀江源国家级自然保护区保护管理能力、宣教能力，加强汀江源国家级自然保护区的野生动植物资源保护。</w:t>
      </w:r>
    </w:p>
    <w:p w14:paraId="2A795DFB">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2.国家重点动植物保护70万元，任务为专项拯救物种种数1个以上，疫源疫病监测站点1个以上。</w:t>
      </w:r>
    </w:p>
    <w:p w14:paraId="01B19EE3">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3.古树名木10万元，任务为林草系统管理的古树和名木开展抢救复壮2株以上。</w:t>
      </w:r>
    </w:p>
    <w:p w14:paraId="5A658751">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4.森林生态效益补偿补助959.87万元、天然商品林停伐管护补助3155.49万元，任务为</w:t>
      </w:r>
      <w:r>
        <w:rPr>
          <w:rFonts w:hint="eastAsia" w:ascii="仿宋_GB2312" w:hAnsi="仿宋_GB2312" w:eastAsia="仿宋_GB2312" w:cs="仿宋_GB2312"/>
          <w:color w:val="000000"/>
          <w:sz w:val="32"/>
          <w:szCs w:val="32"/>
          <w:lang w:eastAsia="zh-CN"/>
        </w:rPr>
        <w:t>国有林管护面积7.0169万亩以上，非国有林生态保护补偿面积240.458万亩以上。</w:t>
      </w:r>
    </w:p>
    <w:p w14:paraId="4247FC35">
      <w:pPr>
        <w:spacing w:line="540" w:lineRule="exact"/>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5.森林修复303.13万元，任务为森林修复(含森林可持续经营）1万亩以上。</w:t>
      </w:r>
    </w:p>
    <w:p w14:paraId="001D36E9">
      <w:pPr>
        <w:spacing w:line="540" w:lineRule="exact"/>
        <w:ind w:firstLine="619" w:firstLineChars="200"/>
        <w:rPr>
          <w:rFonts w:hint="eastAsia" w:ascii="仿宋_GB2312" w:hAnsi="仿宋_GB2312" w:eastAsia="仿宋_GB2312" w:cs="仿宋_GB2312"/>
          <w:b/>
          <w:bCs w:val="0"/>
          <w:color w:val="000000"/>
          <w:spacing w:val="-6"/>
          <w:sz w:val="32"/>
          <w:szCs w:val="32"/>
        </w:rPr>
      </w:pPr>
      <w:r>
        <w:rPr>
          <w:rFonts w:hint="eastAsia" w:ascii="仿宋_GB2312" w:hAnsi="仿宋_GB2312" w:eastAsia="仿宋_GB2312" w:cs="仿宋_GB2312"/>
          <w:b/>
          <w:bCs w:val="0"/>
          <w:color w:val="000000"/>
          <w:spacing w:val="-6"/>
          <w:sz w:val="32"/>
          <w:szCs w:val="32"/>
        </w:rPr>
        <w:t>（二）分解下达预算和绩效目标情况</w:t>
      </w:r>
    </w:p>
    <w:p w14:paraId="527AC0F9">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val="0"/>
          <w:bCs/>
          <w:color w:val="000000"/>
          <w:spacing w:val="-6"/>
          <w:sz w:val="32"/>
          <w:szCs w:val="32"/>
          <w:lang w:eastAsia="zh-CN"/>
        </w:rPr>
        <w:t>我县收到</w:t>
      </w:r>
      <w:r>
        <w:rPr>
          <w:rFonts w:hint="eastAsia" w:ascii="仿宋_GB2312" w:hAnsi="仿宋_GB2312" w:eastAsia="仿宋_GB2312" w:cs="仿宋_GB2312"/>
          <w:color w:val="000000"/>
          <w:sz w:val="32"/>
          <w:szCs w:val="32"/>
        </w:rPr>
        <w:t>中央财政林业</w:t>
      </w:r>
      <w:r>
        <w:rPr>
          <w:rFonts w:hint="eastAsia" w:ascii="仿宋_GB2312" w:hAnsi="仿宋_GB2312" w:eastAsia="仿宋_GB2312" w:cs="仿宋_GB2312"/>
          <w:color w:val="000000"/>
          <w:sz w:val="32"/>
          <w:szCs w:val="32"/>
          <w:lang w:eastAsia="zh-CN"/>
        </w:rPr>
        <w:t>专项</w:t>
      </w:r>
      <w:r>
        <w:rPr>
          <w:rFonts w:hint="eastAsia" w:ascii="仿宋_GB2312" w:hAnsi="仿宋_GB2312" w:eastAsia="仿宋_GB2312" w:cs="仿宋_GB2312"/>
          <w:color w:val="000000"/>
          <w:sz w:val="32"/>
          <w:szCs w:val="32"/>
        </w:rPr>
        <w:t>资金</w:t>
      </w:r>
      <w:r>
        <w:rPr>
          <w:rFonts w:hint="eastAsia" w:ascii="仿宋_GB2312" w:hAnsi="仿宋_GB2312" w:eastAsia="仿宋_GB2312" w:cs="仿宋_GB2312"/>
          <w:color w:val="000000"/>
          <w:sz w:val="32"/>
          <w:szCs w:val="32"/>
          <w:lang w:eastAsia="zh-CN"/>
        </w:rPr>
        <w:t>和绩效目标任务后，县财政局将以上项目资金及时下达给县林业局。</w:t>
      </w:r>
    </w:p>
    <w:p w14:paraId="0ECA9ACB">
      <w:pPr>
        <w:ind w:firstLine="640" w:firstLineChars="200"/>
        <w:rPr>
          <w:rFonts w:hint="eastAsia" w:ascii="仿宋_GB2312" w:hAnsi="仿宋_GB2312" w:eastAsia="仿宋_GB2312" w:cs="仿宋_GB2312"/>
          <w:color w:val="000000"/>
          <w:sz w:val="32"/>
          <w:szCs w:val="32"/>
          <w:lang w:eastAsia="zh-CN"/>
        </w:rPr>
      </w:pPr>
      <w:r>
        <w:rPr>
          <w:rFonts w:hint="eastAsia" w:ascii="黑体" w:hAnsi="黑体" w:eastAsia="黑体" w:cs="黑体"/>
          <w:sz w:val="32"/>
          <w:szCs w:val="32"/>
        </w:rPr>
        <w:t>二、绩效</w:t>
      </w:r>
      <w:r>
        <w:rPr>
          <w:rFonts w:hint="eastAsia" w:ascii="黑体" w:hAnsi="黑体" w:eastAsia="黑体" w:cs="黑体"/>
          <w:sz w:val="32"/>
          <w:szCs w:val="32"/>
          <w:lang w:eastAsia="zh-CN"/>
        </w:rPr>
        <w:t>情况</w:t>
      </w:r>
      <w:r>
        <w:rPr>
          <w:rFonts w:hint="eastAsia" w:ascii="黑体" w:hAnsi="黑体" w:eastAsia="黑体" w:cs="黑体"/>
          <w:sz w:val="32"/>
          <w:szCs w:val="32"/>
        </w:rPr>
        <w:t>分析</w:t>
      </w:r>
    </w:p>
    <w:p w14:paraId="2539BB58">
      <w:pPr>
        <w:spacing w:line="540" w:lineRule="exact"/>
        <w:ind w:firstLine="643" w:firstLineChars="200"/>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一)资金投入情况</w:t>
      </w:r>
    </w:p>
    <w:p w14:paraId="3B806F92">
      <w:pPr>
        <w:numPr>
          <w:ilvl w:val="0"/>
          <w:numId w:val="0"/>
        </w:numPr>
        <w:spacing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w:t>
      </w:r>
      <w:r>
        <w:rPr>
          <w:rFonts w:hint="eastAsia" w:ascii="仿宋_GB2312" w:hAnsi="仿宋_GB2312" w:eastAsia="仿宋_GB2312" w:cs="仿宋_GB2312"/>
          <w:color w:val="000000"/>
          <w:sz w:val="32"/>
          <w:szCs w:val="32"/>
        </w:rPr>
        <w:t>下达我县</w:t>
      </w:r>
      <w:r>
        <w:rPr>
          <w:rFonts w:hint="eastAsia" w:ascii="仿宋_GB2312" w:hAnsi="仿宋_GB2312" w:eastAsia="仿宋_GB2312" w:cs="仿宋_GB2312"/>
          <w:color w:val="000000"/>
          <w:sz w:val="32"/>
          <w:szCs w:val="32"/>
          <w:lang w:val="en-US" w:eastAsia="zh-CN"/>
        </w:rPr>
        <w:t>中央财政林业草原生态保护修复专项资金5498.49</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全部</w:t>
      </w:r>
      <w:r>
        <w:rPr>
          <w:rFonts w:hint="eastAsia" w:ascii="仿宋_GB2312" w:hAnsi="仿宋_GB2312" w:eastAsia="仿宋_GB2312" w:cs="仿宋_GB2312"/>
          <w:color w:val="000000"/>
          <w:sz w:val="32"/>
          <w:szCs w:val="32"/>
        </w:rPr>
        <w:t>到位</w:t>
      </w:r>
      <w:r>
        <w:rPr>
          <w:rFonts w:hint="eastAsia" w:ascii="仿宋_GB2312" w:hAnsi="仿宋_GB2312" w:eastAsia="仿宋_GB2312" w:cs="仿宋_GB2312"/>
          <w:color w:val="000000"/>
          <w:sz w:val="32"/>
          <w:szCs w:val="32"/>
          <w:lang w:eastAsia="zh-CN"/>
        </w:rPr>
        <w:t>，目前为止，</w:t>
      </w:r>
      <w:r>
        <w:rPr>
          <w:rFonts w:hint="eastAsia" w:ascii="仿宋_GB2312" w:hAnsi="仿宋_GB2312" w:eastAsia="仿宋_GB2312" w:cs="仿宋_GB2312"/>
          <w:color w:val="000000"/>
          <w:sz w:val="32"/>
          <w:szCs w:val="32"/>
        </w:rPr>
        <w:t>支出</w:t>
      </w:r>
      <w:r>
        <w:rPr>
          <w:rFonts w:hint="eastAsia" w:ascii="仿宋_GB2312" w:hAnsi="仿宋_GB2312" w:eastAsia="仿宋_GB2312" w:cs="仿宋_GB2312"/>
          <w:color w:val="000000"/>
          <w:sz w:val="32"/>
          <w:szCs w:val="32"/>
          <w:lang w:val="en-US" w:eastAsia="zh-CN"/>
        </w:rPr>
        <w:t>4192.08</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执行率</w:t>
      </w:r>
      <w:r>
        <w:rPr>
          <w:rFonts w:hint="eastAsia" w:ascii="仿宋_GB2312" w:hAnsi="仿宋_GB2312" w:eastAsia="仿宋_GB2312" w:cs="仿宋_GB2312"/>
          <w:color w:val="000000"/>
          <w:sz w:val="32"/>
          <w:szCs w:val="32"/>
          <w:lang w:val="en-US" w:eastAsia="zh-CN"/>
        </w:rPr>
        <w:t>76.24%</w:t>
      </w:r>
      <w:r>
        <w:rPr>
          <w:rFonts w:hint="eastAsia" w:ascii="仿宋_GB2312" w:hAnsi="仿宋_GB2312" w:eastAsia="仿宋_GB2312" w:cs="仿宋_GB2312"/>
          <w:color w:val="000000"/>
          <w:sz w:val="32"/>
          <w:szCs w:val="32"/>
        </w:rPr>
        <w:t>。</w:t>
      </w:r>
    </w:p>
    <w:p w14:paraId="0B2C01C5">
      <w:pPr>
        <w:numPr>
          <w:ilvl w:val="0"/>
          <w:numId w:val="0"/>
        </w:numPr>
        <w:spacing w:line="540" w:lineRule="exact"/>
        <w:ind w:firstLine="643" w:firstLineChars="200"/>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（二）资金管理情况</w:t>
      </w:r>
    </w:p>
    <w:p w14:paraId="19EAABAA">
      <w:pPr>
        <w:numPr>
          <w:ilvl w:val="0"/>
          <w:numId w:val="0"/>
        </w:num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highlight w:val="none"/>
        </w:rPr>
        <w:t>认真贯彻落实</w:t>
      </w:r>
      <w:r>
        <w:rPr>
          <w:rFonts w:hint="eastAsia" w:ascii="仿宋_GB2312" w:hAnsi="仿宋_GB2312" w:eastAsia="仿宋_GB2312" w:cs="仿宋_GB2312"/>
          <w:color w:val="000000"/>
          <w:sz w:val="32"/>
          <w:szCs w:val="32"/>
          <w:highlight w:val="none"/>
          <w:lang w:eastAsia="zh-CN"/>
        </w:rPr>
        <w:t>《林业草原生态保护恢复资金管理办法》（财资环〔202</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22</w:t>
      </w:r>
      <w:r>
        <w:rPr>
          <w:rFonts w:hint="eastAsia" w:ascii="仿宋_GB2312" w:hAnsi="仿宋_GB2312" w:eastAsia="仿宋_GB2312" w:cs="仿宋_GB2312"/>
          <w:color w:val="000000"/>
          <w:sz w:val="32"/>
          <w:szCs w:val="32"/>
          <w:highlight w:val="none"/>
          <w:lang w:eastAsia="zh-CN"/>
        </w:rPr>
        <w:t>号）</w:t>
      </w:r>
      <w:r>
        <w:rPr>
          <w:rFonts w:hint="eastAsia" w:ascii="仿宋_GB2312" w:hAnsi="仿宋_GB2312" w:eastAsia="仿宋_GB2312" w:cs="仿宋_GB2312"/>
          <w:color w:val="000000"/>
          <w:sz w:val="32"/>
          <w:szCs w:val="32"/>
          <w:highlight w:val="none"/>
        </w:rPr>
        <w:t>文件精神，规范林业</w:t>
      </w:r>
      <w:r>
        <w:rPr>
          <w:rFonts w:hint="eastAsia" w:ascii="仿宋_GB2312" w:hAnsi="仿宋_GB2312" w:eastAsia="仿宋_GB2312" w:cs="仿宋_GB2312"/>
          <w:color w:val="000000"/>
          <w:sz w:val="32"/>
          <w:szCs w:val="32"/>
          <w:highlight w:val="none"/>
          <w:lang w:eastAsia="zh-CN"/>
        </w:rPr>
        <w:t>专项</w:t>
      </w:r>
      <w:r>
        <w:rPr>
          <w:rFonts w:hint="eastAsia" w:ascii="仿宋_GB2312" w:hAnsi="仿宋_GB2312" w:eastAsia="仿宋_GB2312" w:cs="仿宋_GB2312"/>
          <w:color w:val="000000"/>
          <w:sz w:val="32"/>
          <w:szCs w:val="32"/>
          <w:highlight w:val="none"/>
        </w:rPr>
        <w:t>资金管理，资金使用符合上级文件及政府采购</w:t>
      </w:r>
      <w:r>
        <w:rPr>
          <w:rFonts w:hint="eastAsia" w:ascii="仿宋_GB2312" w:hAnsi="仿宋_GB2312" w:eastAsia="仿宋_GB2312" w:cs="仿宋_GB2312"/>
          <w:color w:val="000000"/>
          <w:sz w:val="32"/>
          <w:szCs w:val="32"/>
        </w:rPr>
        <w:t>、招标等有关规定，专款专用，确保资金使用</w:t>
      </w:r>
      <w:r>
        <w:rPr>
          <w:rFonts w:hint="eastAsia" w:ascii="仿宋_GB2312" w:hAnsi="仿宋_GB2312" w:eastAsia="仿宋_GB2312" w:cs="仿宋_GB2312"/>
          <w:color w:val="000000"/>
          <w:sz w:val="32"/>
          <w:szCs w:val="32"/>
          <w:lang w:eastAsia="zh-CN"/>
        </w:rPr>
        <w:t>取得</w:t>
      </w:r>
      <w:r>
        <w:rPr>
          <w:rFonts w:hint="eastAsia" w:ascii="仿宋_GB2312" w:hAnsi="仿宋_GB2312" w:eastAsia="仿宋_GB2312" w:cs="仿宋_GB2312"/>
          <w:color w:val="000000"/>
          <w:sz w:val="32"/>
          <w:szCs w:val="32"/>
        </w:rPr>
        <w:t>最大效益。各项目资金到位、使用、结余情况账目清楚，不存在截留、挤占和挪用等违规现象</w:t>
      </w:r>
      <w:r>
        <w:rPr>
          <w:rFonts w:hint="eastAsia" w:ascii="仿宋_GB2312" w:hAnsi="仿宋_GB2312" w:eastAsia="仿宋_GB2312" w:cs="仿宋_GB2312"/>
          <w:color w:val="000000"/>
          <w:sz w:val="32"/>
          <w:szCs w:val="32"/>
          <w:lang w:eastAsia="zh-CN"/>
        </w:rPr>
        <w:t>。</w:t>
      </w:r>
    </w:p>
    <w:p w14:paraId="479129B4">
      <w:pPr>
        <w:numPr>
          <w:ilvl w:val="0"/>
          <w:numId w:val="0"/>
        </w:numPr>
        <w:spacing w:line="54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（三）</w:t>
      </w:r>
      <w:r>
        <w:rPr>
          <w:rFonts w:hint="eastAsia" w:ascii="楷体_GB2312" w:hAnsi="楷体_GB2312" w:eastAsia="楷体_GB2312" w:cs="楷体_GB2312"/>
          <w:b/>
          <w:bCs/>
          <w:sz w:val="32"/>
          <w:szCs w:val="32"/>
        </w:rPr>
        <w:t>总体绩效目标完成情况</w:t>
      </w:r>
    </w:p>
    <w:p w14:paraId="33A89186">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国家级自然保护区能力提升项目1个，专项拯救物种种数1个，疫源疫病监测站点1个，林草系统管理的古树和名木开展抢救复壮2株，国有林管护面积7.0169万亩，非国有林生态保护补偿面积240.458万亩，森林修复(含森林可持续经营）1.004万亩。2.林草系统管理的古树和名木抢救复壮合格率95%，天然林蓄积量持续增长，森林资源管护责任落实率100%，森林保护修复补助兑现率100%，国家级自然保护区能力提升当期任务完成率90%，非国有林生态保护补偿当期任务完成率100%。3.非国有林生态保护补偿标准16元/亩。4.生态系统和生物多样性得到有效保护，国家级自然保护区保护和管理能力明显提升。</w:t>
      </w:r>
    </w:p>
    <w:p w14:paraId="28094F94">
      <w:pPr>
        <w:numPr>
          <w:ilvl w:val="0"/>
          <w:numId w:val="0"/>
        </w:numPr>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（四）</w:t>
      </w:r>
      <w:r>
        <w:rPr>
          <w:rFonts w:hint="eastAsia" w:ascii="楷体_GB2312" w:hAnsi="楷体_GB2312" w:eastAsia="楷体_GB2312" w:cs="楷体_GB2312"/>
          <w:b/>
          <w:bCs/>
          <w:sz w:val="32"/>
          <w:szCs w:val="32"/>
        </w:rPr>
        <w:t>绩效指标完成情况</w:t>
      </w:r>
    </w:p>
    <w:p w14:paraId="4ACBC477">
      <w:pPr>
        <w:numPr>
          <w:ilvl w:val="0"/>
          <w:numId w:val="0"/>
        </w:numPr>
        <w:spacing w:line="540" w:lineRule="exact"/>
        <w:ind w:leftChars="200" w:firstLine="320" w:firstLineChars="100"/>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1.产出指标完成情况</w:t>
      </w:r>
    </w:p>
    <w:p w14:paraId="62431B30">
      <w:pPr>
        <w:spacing w:line="54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数量</w:t>
      </w:r>
    </w:p>
    <w:p w14:paraId="0D1E5B05">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国家级自然保护区能力提升项目1个，专项拯救物种种数1个，疫源疫病监测站点1个，林草系统管理的古树和名木开展抢救复壮2株，国有林管护面积7.0169万亩，非国有林生态保护补偿面积240.458万亩，森林修复(含森林可持续经营）1.004万亩</w:t>
      </w:r>
    </w:p>
    <w:p w14:paraId="65064C0D">
      <w:pPr>
        <w:spacing w:line="540" w:lineRule="exact"/>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项目完成</w:t>
      </w:r>
      <w:r>
        <w:rPr>
          <w:rFonts w:hint="eastAsia" w:ascii="仿宋_GB2312" w:hAnsi="仿宋_GB2312" w:eastAsia="仿宋_GB2312" w:cs="仿宋_GB2312"/>
          <w:color w:val="000000"/>
          <w:sz w:val="32"/>
          <w:szCs w:val="32"/>
        </w:rPr>
        <w:t>质量</w:t>
      </w:r>
    </w:p>
    <w:p w14:paraId="4994C44B">
      <w:p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天林草系统管理的古树和名木抢救复壮合格率95%，天然林蓄积量持续增长，森林资源管护责任落实率100%，森林保护修复补助兑现率100%</w:t>
      </w:r>
    </w:p>
    <w:p w14:paraId="5B2DB753">
      <w:pPr>
        <w:numPr>
          <w:ilvl w:val="0"/>
          <w:numId w:val="1"/>
        </w:num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项目实施进度</w:t>
      </w:r>
    </w:p>
    <w:p w14:paraId="1A462D70">
      <w:pPr>
        <w:spacing w:line="540" w:lineRule="exact"/>
        <w:ind w:firstLine="640" w:firstLineChars="200"/>
        <w:jc w:val="left"/>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国家级自然保护区能力提升当期任务完成率90%，非国有林生态保护补偿当期任务完成率100%</w:t>
      </w:r>
    </w:p>
    <w:p w14:paraId="5134D7BC">
      <w:pPr>
        <w:spacing w:line="540" w:lineRule="exact"/>
        <w:ind w:firstLine="640" w:firstLineChars="200"/>
        <w:jc w:val="left"/>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项目</w:t>
      </w:r>
      <w:r>
        <w:rPr>
          <w:rFonts w:hint="eastAsia" w:ascii="仿宋_GB2312" w:hAnsi="仿宋_GB2312" w:eastAsia="仿宋_GB2312" w:cs="仿宋_GB2312"/>
          <w:color w:val="000000"/>
          <w:sz w:val="32"/>
          <w:szCs w:val="32"/>
        </w:rPr>
        <w:t>成本</w:t>
      </w:r>
      <w:r>
        <w:rPr>
          <w:rFonts w:hint="eastAsia" w:ascii="仿宋_GB2312" w:hAnsi="仿宋_GB2312" w:eastAsia="仿宋_GB2312" w:cs="仿宋_GB2312"/>
          <w:color w:val="000000"/>
          <w:sz w:val="32"/>
          <w:szCs w:val="32"/>
          <w:lang w:eastAsia="zh-CN"/>
        </w:rPr>
        <w:t>指标情况</w:t>
      </w:r>
    </w:p>
    <w:p w14:paraId="0189DAE1">
      <w:pPr>
        <w:spacing w:line="540" w:lineRule="exact"/>
        <w:ind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非国有林生态保护补偿标准</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元/亩</w:t>
      </w:r>
    </w:p>
    <w:p w14:paraId="1BF495A9">
      <w:pPr>
        <w:spacing w:line="540" w:lineRule="exact"/>
        <w:ind w:firstLine="640" w:firstLineChars="200"/>
        <w:jc w:val="left"/>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color w:val="000000"/>
          <w:sz w:val="32"/>
          <w:szCs w:val="32"/>
        </w:rPr>
        <w:t>2.效益指标完成情况</w:t>
      </w:r>
    </w:p>
    <w:p w14:paraId="59D470C1">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项目实施的</w:t>
      </w:r>
      <w:r>
        <w:rPr>
          <w:rFonts w:hint="eastAsia" w:ascii="仿宋_GB2312" w:hAnsi="仿宋_GB2312" w:eastAsia="仿宋_GB2312" w:cs="仿宋_GB2312"/>
          <w:color w:val="000000"/>
          <w:sz w:val="32"/>
          <w:szCs w:val="32"/>
          <w:lang w:val="en-US" w:eastAsia="zh-CN"/>
        </w:rPr>
        <w:t>社会效益</w:t>
      </w:r>
    </w:p>
    <w:p w14:paraId="4688F1A1">
      <w:pPr>
        <w:spacing w:line="540" w:lineRule="exact"/>
        <w:ind w:firstLine="960" w:firstLineChars="3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国家级自然保护区保护和管理能力明显提升，林区民生状况逐步改善。</w:t>
      </w:r>
    </w:p>
    <w:p w14:paraId="154DC979">
      <w:pPr>
        <w:numPr>
          <w:ilvl w:val="0"/>
          <w:numId w:val="2"/>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项目实施的生态效益</w:t>
      </w:r>
    </w:p>
    <w:p w14:paraId="360197EA">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项目实施后，我县森林、湿地、荒漠生态系统生态效益发挥明显改善，生态系统和生物多样性得到有效保护，国有林区社会稳定，持续发挥生态作用逐步提升，为全县经济社会可持续发展提供了的强有力的生态保障。</w:t>
      </w:r>
    </w:p>
    <w:p w14:paraId="6BEDC5A0">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3.满意度指标完成情况</w:t>
      </w:r>
    </w:p>
    <w:p w14:paraId="1B34DA1B">
      <w:p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实施中央财政林业草原生态保护修复项目，林业生态得到改善，林农得到实惠，受到广大林农和社会有关各界认可，林区职工及周边群众满意度95％，超出预期指标。</w:t>
      </w:r>
    </w:p>
    <w:p w14:paraId="030694D2">
      <w:pPr>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三、偏离绩效目标的原因和下一步改进措施</w:t>
      </w:r>
    </w:p>
    <w:p w14:paraId="24C2F6DD">
      <w:p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en-US" w:eastAsia="zh-CN"/>
        </w:rPr>
        <w:t>2025年中央财政林业草原生态保护修复专项资金已完成支付4192.08万元，支出率为76.24%。其中国家级自然保护区管理局575.3万元尚未拨付，原因为项目已完成，待验收结算。森林修复303.13未支付，原因为项目正在进行尚未验收，后续将抓紧验收，加快资金拨付进度。资金支付率为76.24%，本次</w:t>
      </w:r>
      <w:r>
        <w:rPr>
          <w:rFonts w:hint="eastAsia" w:ascii="仿宋_GB2312" w:hAnsi="宋体" w:eastAsia="仿宋_GB2312" w:cs="宋体"/>
          <w:kern w:val="0"/>
          <w:sz w:val="32"/>
          <w:szCs w:val="32"/>
        </w:rPr>
        <w:t>自评分为</w:t>
      </w:r>
      <w:r>
        <w:rPr>
          <w:rFonts w:hint="eastAsia" w:ascii="仿宋_GB2312" w:hAnsi="宋体" w:eastAsia="仿宋_GB2312" w:cs="宋体"/>
          <w:kern w:val="0"/>
          <w:sz w:val="32"/>
          <w:szCs w:val="32"/>
          <w:lang w:val="en-US" w:eastAsia="zh-CN"/>
        </w:rPr>
        <w:t>94</w:t>
      </w:r>
      <w:r>
        <w:rPr>
          <w:rFonts w:hint="eastAsia" w:ascii="仿宋_GB2312" w:hAnsi="宋体" w:eastAsia="仿宋_GB2312" w:cs="宋体"/>
          <w:kern w:val="0"/>
          <w:sz w:val="32"/>
          <w:szCs w:val="32"/>
        </w:rPr>
        <w:t>分，项目</w:t>
      </w:r>
      <w:r>
        <w:rPr>
          <w:rFonts w:hint="eastAsia" w:ascii="仿宋_GB2312" w:hAnsi="宋体" w:eastAsia="仿宋_GB2312" w:cs="宋体"/>
          <w:kern w:val="0"/>
          <w:sz w:val="32"/>
          <w:szCs w:val="32"/>
          <w:lang w:eastAsia="zh-CN"/>
        </w:rPr>
        <w:t>综合</w:t>
      </w:r>
      <w:r>
        <w:rPr>
          <w:rFonts w:hint="eastAsia" w:ascii="仿宋_GB2312" w:hAnsi="宋体" w:eastAsia="仿宋_GB2312" w:cs="宋体"/>
          <w:kern w:val="0"/>
          <w:sz w:val="32"/>
          <w:szCs w:val="32"/>
        </w:rPr>
        <w:t>评价等级</w:t>
      </w:r>
      <w:r>
        <w:rPr>
          <w:rFonts w:hint="eastAsia" w:ascii="仿宋_GB2312" w:hAnsi="宋体" w:eastAsia="仿宋_GB2312" w:cs="宋体"/>
          <w:kern w:val="0"/>
          <w:sz w:val="32"/>
          <w:szCs w:val="32"/>
          <w:lang w:eastAsia="zh-CN"/>
        </w:rPr>
        <w:t>为良好</w:t>
      </w:r>
      <w:r>
        <w:rPr>
          <w:rFonts w:hint="eastAsia" w:ascii="仿宋_GB2312" w:hAnsi="宋体" w:eastAsia="仿宋_GB2312" w:cs="宋体"/>
          <w:kern w:val="0"/>
          <w:sz w:val="32"/>
          <w:szCs w:val="32"/>
          <w:lang w:val="en-US" w:eastAsia="zh-CN"/>
        </w:rPr>
        <w:t>。</w:t>
      </w:r>
    </w:p>
    <w:p w14:paraId="7908871D">
      <w:pPr>
        <w:numPr>
          <w:ilvl w:val="0"/>
          <w:numId w:val="3"/>
        </w:numPr>
        <w:spacing w:line="540" w:lineRule="exact"/>
        <w:ind w:firstLine="640" w:firstLineChars="200"/>
        <w:jc w:val="left"/>
        <w:rPr>
          <w:rFonts w:hint="eastAsia" w:ascii="黑体" w:hAnsi="黑体" w:eastAsia="黑体" w:cs="黑体"/>
          <w:sz w:val="32"/>
          <w:szCs w:val="32"/>
        </w:rPr>
      </w:pPr>
      <w:r>
        <w:rPr>
          <w:rFonts w:hint="eastAsia" w:ascii="黑体" w:hAnsi="黑体" w:eastAsia="黑体" w:cs="黑体"/>
          <w:sz w:val="32"/>
          <w:szCs w:val="32"/>
        </w:rPr>
        <w:t>绩效自评结果拟应用和公开情况</w:t>
      </w:r>
    </w:p>
    <w:p w14:paraId="78BEBD66">
      <w:pPr>
        <w:numPr>
          <w:ilvl w:val="0"/>
          <w:numId w:val="0"/>
        </w:numPr>
        <w:spacing w:line="540" w:lineRule="exact"/>
        <w:ind w:firstLine="640" w:firstLineChars="200"/>
        <w:jc w:val="left"/>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2025年中央财政林业草原生态保护修复专项资金绩效自评结果作为林业系统内部有关业务股室及基层单位年度考核主要依据之一。拟将本次绩效评价报告在长汀县人民政府网站公开。</w:t>
      </w:r>
    </w:p>
    <w:p w14:paraId="563396F6">
      <w:pPr>
        <w:numPr>
          <w:ilvl w:val="0"/>
          <w:numId w:val="3"/>
        </w:numPr>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rPr>
        <w:t>其他需要说明的问题</w:t>
      </w:r>
      <w:r>
        <w:rPr>
          <w:rFonts w:hint="eastAsia" w:ascii="黑体" w:hAnsi="黑体" w:eastAsia="黑体" w:cs="黑体"/>
          <w:sz w:val="32"/>
          <w:szCs w:val="32"/>
          <w:lang w:val="en-US" w:eastAsia="zh-CN"/>
        </w:rPr>
        <w:t xml:space="preserve">     </w:t>
      </w:r>
    </w:p>
    <w:p w14:paraId="325AE420">
      <w:pPr>
        <w:numPr>
          <w:ilvl w:val="0"/>
          <w:numId w:val="0"/>
        </w:numPr>
        <w:ind w:leftChars="200"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无</w:t>
      </w:r>
      <w:r>
        <w:rPr>
          <w:rFonts w:hint="eastAsia" w:ascii="仿宋_GB2312" w:hAnsi="仿宋_GB2312" w:eastAsia="仿宋_GB2312" w:cs="仿宋_GB2312"/>
          <w:sz w:val="32"/>
          <w:szCs w:val="32"/>
        </w:rPr>
        <w:t>。</w:t>
      </w:r>
    </w:p>
    <w:p w14:paraId="37AFED6E">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长汀县</w:t>
      </w:r>
      <w:r>
        <w:rPr>
          <w:rFonts w:hint="eastAsia" w:ascii="仿宋_GB2312" w:hAnsi="仿宋_GB2312" w:eastAsia="仿宋_GB2312" w:cs="仿宋_GB2312"/>
          <w:color w:val="000000"/>
          <w:sz w:val="32"/>
          <w:szCs w:val="32"/>
          <w:lang w:val="en-US" w:eastAsia="zh-CN"/>
        </w:rPr>
        <w:t>中央财政林业草原生态保护恢复专项资金</w:t>
      </w:r>
      <w:r>
        <w:rPr>
          <w:rFonts w:hint="eastAsia" w:ascii="仿宋_GB2312" w:hAnsi="仿宋_GB2312" w:eastAsia="仿宋_GB2312" w:cs="仿宋_GB2312"/>
          <w:sz w:val="32"/>
          <w:szCs w:val="32"/>
        </w:rPr>
        <w:t>绩效自评表</w:t>
      </w:r>
    </w:p>
    <w:p w14:paraId="52B45139">
      <w:pPr>
        <w:rPr>
          <w:rFonts w:hint="eastAsia" w:ascii="仿宋_GB2312" w:hAnsi="仿宋_GB2312" w:eastAsia="仿宋_GB2312" w:cs="仿宋_GB2312"/>
          <w:sz w:val="32"/>
          <w:szCs w:val="32"/>
        </w:rPr>
      </w:pPr>
    </w:p>
    <w:p w14:paraId="31D66739">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2026年3月10日</w:t>
      </w:r>
    </w:p>
    <w:p w14:paraId="4C2AFD6A">
      <w:pPr>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长汀县林业局</w:t>
      </w: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A6EA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60AF5">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560AF5">
                    <w:pPr>
                      <w:pStyle w:val="3"/>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DCD88F"/>
    <w:multiLevelType w:val="singleLevel"/>
    <w:tmpl w:val="8BDCD88F"/>
    <w:lvl w:ilvl="0" w:tentative="0">
      <w:start w:val="2"/>
      <w:numFmt w:val="decimal"/>
      <w:suff w:val="nothing"/>
      <w:lvlText w:val="（%1）"/>
      <w:lvlJc w:val="left"/>
    </w:lvl>
  </w:abstractNum>
  <w:abstractNum w:abstractNumId="1">
    <w:nsid w:val="9AA9ED3F"/>
    <w:multiLevelType w:val="singleLevel"/>
    <w:tmpl w:val="9AA9ED3F"/>
    <w:lvl w:ilvl="0" w:tentative="0">
      <w:start w:val="3"/>
      <w:numFmt w:val="decimal"/>
      <w:suff w:val="nothing"/>
      <w:lvlText w:val="（%1）"/>
      <w:lvlJc w:val="left"/>
    </w:lvl>
  </w:abstractNum>
  <w:abstractNum w:abstractNumId="2">
    <w:nsid w:val="B4560BAE"/>
    <w:multiLevelType w:val="singleLevel"/>
    <w:tmpl w:val="B4560BAE"/>
    <w:lvl w:ilvl="0" w:tentative="0">
      <w:start w:val="4"/>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A002F"/>
    <w:rsid w:val="00217C10"/>
    <w:rsid w:val="004506DB"/>
    <w:rsid w:val="007F0A1D"/>
    <w:rsid w:val="007F545E"/>
    <w:rsid w:val="008C0D9B"/>
    <w:rsid w:val="00904C1F"/>
    <w:rsid w:val="00953D9C"/>
    <w:rsid w:val="00D40D69"/>
    <w:rsid w:val="02854D06"/>
    <w:rsid w:val="028E3199"/>
    <w:rsid w:val="036D2DAF"/>
    <w:rsid w:val="03A7640C"/>
    <w:rsid w:val="04AC7907"/>
    <w:rsid w:val="04CE5ACF"/>
    <w:rsid w:val="04E734BD"/>
    <w:rsid w:val="05EE25EC"/>
    <w:rsid w:val="070C28DE"/>
    <w:rsid w:val="07B436A2"/>
    <w:rsid w:val="080F1B2C"/>
    <w:rsid w:val="081051B2"/>
    <w:rsid w:val="082371A9"/>
    <w:rsid w:val="088766C0"/>
    <w:rsid w:val="09050A09"/>
    <w:rsid w:val="09102B5A"/>
    <w:rsid w:val="09C73632"/>
    <w:rsid w:val="0A71587A"/>
    <w:rsid w:val="0AC736EC"/>
    <w:rsid w:val="0B04049C"/>
    <w:rsid w:val="0B304DED"/>
    <w:rsid w:val="0B653FC0"/>
    <w:rsid w:val="0BA92DF2"/>
    <w:rsid w:val="0C4843B9"/>
    <w:rsid w:val="0C5364B4"/>
    <w:rsid w:val="0C5E3BDC"/>
    <w:rsid w:val="0D470B14"/>
    <w:rsid w:val="0E2844A2"/>
    <w:rsid w:val="0EFD148A"/>
    <w:rsid w:val="0F3E18E5"/>
    <w:rsid w:val="0F5337A0"/>
    <w:rsid w:val="0F803E6A"/>
    <w:rsid w:val="0FB85D43"/>
    <w:rsid w:val="0FDB5203"/>
    <w:rsid w:val="102173FB"/>
    <w:rsid w:val="107E33DE"/>
    <w:rsid w:val="1090632E"/>
    <w:rsid w:val="10C1461D"/>
    <w:rsid w:val="11C06485"/>
    <w:rsid w:val="11E253C3"/>
    <w:rsid w:val="12AD31C8"/>
    <w:rsid w:val="131E7C21"/>
    <w:rsid w:val="139879D4"/>
    <w:rsid w:val="13CF0E49"/>
    <w:rsid w:val="13F015BE"/>
    <w:rsid w:val="14107EB2"/>
    <w:rsid w:val="148B67E4"/>
    <w:rsid w:val="1553486E"/>
    <w:rsid w:val="166C03D9"/>
    <w:rsid w:val="16A029FF"/>
    <w:rsid w:val="17485BB5"/>
    <w:rsid w:val="174F2A9F"/>
    <w:rsid w:val="176F13A1"/>
    <w:rsid w:val="17E1714A"/>
    <w:rsid w:val="17F47FC2"/>
    <w:rsid w:val="18290D40"/>
    <w:rsid w:val="183A180C"/>
    <w:rsid w:val="185479C9"/>
    <w:rsid w:val="187D188E"/>
    <w:rsid w:val="18CB4777"/>
    <w:rsid w:val="18DA5EE7"/>
    <w:rsid w:val="18FC27B3"/>
    <w:rsid w:val="19221548"/>
    <w:rsid w:val="19461E0C"/>
    <w:rsid w:val="19766A09"/>
    <w:rsid w:val="1A2B6B68"/>
    <w:rsid w:val="1A89276C"/>
    <w:rsid w:val="1ABC48F0"/>
    <w:rsid w:val="1C054074"/>
    <w:rsid w:val="1C4B6E37"/>
    <w:rsid w:val="1C5268FF"/>
    <w:rsid w:val="1C5A43C0"/>
    <w:rsid w:val="1CCB706C"/>
    <w:rsid w:val="1D1818EE"/>
    <w:rsid w:val="1D832028"/>
    <w:rsid w:val="1E1D6324"/>
    <w:rsid w:val="1EAA2CB1"/>
    <w:rsid w:val="1ED16490"/>
    <w:rsid w:val="1F185E6D"/>
    <w:rsid w:val="1F6A4CCE"/>
    <w:rsid w:val="1F8D0609"/>
    <w:rsid w:val="2000497E"/>
    <w:rsid w:val="20217914"/>
    <w:rsid w:val="205C7FDB"/>
    <w:rsid w:val="20A51982"/>
    <w:rsid w:val="20B6593D"/>
    <w:rsid w:val="20E56222"/>
    <w:rsid w:val="21117017"/>
    <w:rsid w:val="21871088"/>
    <w:rsid w:val="2217240B"/>
    <w:rsid w:val="23633786"/>
    <w:rsid w:val="23C75CC4"/>
    <w:rsid w:val="259A75DB"/>
    <w:rsid w:val="26B11081"/>
    <w:rsid w:val="29883BEF"/>
    <w:rsid w:val="29EC6874"/>
    <w:rsid w:val="29F85218"/>
    <w:rsid w:val="2A4B4090"/>
    <w:rsid w:val="2A4D0D52"/>
    <w:rsid w:val="2AE9690F"/>
    <w:rsid w:val="2B285689"/>
    <w:rsid w:val="2B2D0EF2"/>
    <w:rsid w:val="2C372028"/>
    <w:rsid w:val="2C4E2ECE"/>
    <w:rsid w:val="2CCD473A"/>
    <w:rsid w:val="2DA17AAD"/>
    <w:rsid w:val="2F1F0B51"/>
    <w:rsid w:val="2F285C58"/>
    <w:rsid w:val="2F2B1BEC"/>
    <w:rsid w:val="2F923A19"/>
    <w:rsid w:val="303048FE"/>
    <w:rsid w:val="30601421"/>
    <w:rsid w:val="309622B2"/>
    <w:rsid w:val="31997D88"/>
    <w:rsid w:val="320A5AE9"/>
    <w:rsid w:val="32DB1E03"/>
    <w:rsid w:val="33062754"/>
    <w:rsid w:val="334358FC"/>
    <w:rsid w:val="33D77C4D"/>
    <w:rsid w:val="3416492E"/>
    <w:rsid w:val="343A3FBE"/>
    <w:rsid w:val="345D63A4"/>
    <w:rsid w:val="34784F8C"/>
    <w:rsid w:val="35CB558F"/>
    <w:rsid w:val="35E52AF5"/>
    <w:rsid w:val="35F200F7"/>
    <w:rsid w:val="362A3D1D"/>
    <w:rsid w:val="363C023B"/>
    <w:rsid w:val="36EF34FF"/>
    <w:rsid w:val="36F61E09"/>
    <w:rsid w:val="37955E55"/>
    <w:rsid w:val="3801173C"/>
    <w:rsid w:val="380D5810"/>
    <w:rsid w:val="381712F0"/>
    <w:rsid w:val="384358B1"/>
    <w:rsid w:val="389D76B7"/>
    <w:rsid w:val="389E342F"/>
    <w:rsid w:val="3A424A5A"/>
    <w:rsid w:val="3B6C62FF"/>
    <w:rsid w:val="3BE22DDC"/>
    <w:rsid w:val="3D0F3A71"/>
    <w:rsid w:val="3D17417C"/>
    <w:rsid w:val="3DD91E02"/>
    <w:rsid w:val="3DF6239A"/>
    <w:rsid w:val="3E5E5B63"/>
    <w:rsid w:val="3E7565CE"/>
    <w:rsid w:val="3E8B5A9B"/>
    <w:rsid w:val="3ED543E2"/>
    <w:rsid w:val="3F784881"/>
    <w:rsid w:val="3F7D78FA"/>
    <w:rsid w:val="40063339"/>
    <w:rsid w:val="40550877"/>
    <w:rsid w:val="40985685"/>
    <w:rsid w:val="411F6AF6"/>
    <w:rsid w:val="423A7D24"/>
    <w:rsid w:val="43202FB8"/>
    <w:rsid w:val="43E91A02"/>
    <w:rsid w:val="44250560"/>
    <w:rsid w:val="444430DC"/>
    <w:rsid w:val="445B2997"/>
    <w:rsid w:val="449F0313"/>
    <w:rsid w:val="44C24001"/>
    <w:rsid w:val="45E22BAD"/>
    <w:rsid w:val="46123A88"/>
    <w:rsid w:val="464167DF"/>
    <w:rsid w:val="465914A9"/>
    <w:rsid w:val="46971BE9"/>
    <w:rsid w:val="46C2478C"/>
    <w:rsid w:val="46FE2B7C"/>
    <w:rsid w:val="47576C52"/>
    <w:rsid w:val="47857C94"/>
    <w:rsid w:val="47862CFA"/>
    <w:rsid w:val="47EA2E9A"/>
    <w:rsid w:val="49180694"/>
    <w:rsid w:val="49440EE4"/>
    <w:rsid w:val="49EA24B0"/>
    <w:rsid w:val="4A0A26D2"/>
    <w:rsid w:val="4A266DE0"/>
    <w:rsid w:val="4A453F5F"/>
    <w:rsid w:val="4A527BD5"/>
    <w:rsid w:val="4B0A0B96"/>
    <w:rsid w:val="4B2257F9"/>
    <w:rsid w:val="4B6A7B28"/>
    <w:rsid w:val="4C5502D6"/>
    <w:rsid w:val="4D120CEB"/>
    <w:rsid w:val="4D2C26A6"/>
    <w:rsid w:val="4D4C41AA"/>
    <w:rsid w:val="4DB7228F"/>
    <w:rsid w:val="4DE66FB2"/>
    <w:rsid w:val="4E3D1F83"/>
    <w:rsid w:val="4E964534"/>
    <w:rsid w:val="4EB90223"/>
    <w:rsid w:val="4EF85ADD"/>
    <w:rsid w:val="4F2333BD"/>
    <w:rsid w:val="4F251D5C"/>
    <w:rsid w:val="50373506"/>
    <w:rsid w:val="50B11AF9"/>
    <w:rsid w:val="514C537E"/>
    <w:rsid w:val="519653E5"/>
    <w:rsid w:val="51B93124"/>
    <w:rsid w:val="52097713"/>
    <w:rsid w:val="520B6FE7"/>
    <w:rsid w:val="52640938"/>
    <w:rsid w:val="52C35B14"/>
    <w:rsid w:val="52E37F64"/>
    <w:rsid w:val="53071EA5"/>
    <w:rsid w:val="531620E8"/>
    <w:rsid w:val="54E87AB4"/>
    <w:rsid w:val="55A03EA5"/>
    <w:rsid w:val="56CD51B3"/>
    <w:rsid w:val="578C2978"/>
    <w:rsid w:val="58CD4FF7"/>
    <w:rsid w:val="58CD5A14"/>
    <w:rsid w:val="59835FFD"/>
    <w:rsid w:val="599E1A20"/>
    <w:rsid w:val="5A1D0200"/>
    <w:rsid w:val="5A45592F"/>
    <w:rsid w:val="5A470DD9"/>
    <w:rsid w:val="5A525586"/>
    <w:rsid w:val="5BB606F2"/>
    <w:rsid w:val="5BE8356A"/>
    <w:rsid w:val="5C2325E9"/>
    <w:rsid w:val="5C237623"/>
    <w:rsid w:val="5C3B6383"/>
    <w:rsid w:val="5D663C6C"/>
    <w:rsid w:val="5DD010E5"/>
    <w:rsid w:val="5E6C501C"/>
    <w:rsid w:val="5E9B7945"/>
    <w:rsid w:val="5EB822A5"/>
    <w:rsid w:val="5EDD1D0C"/>
    <w:rsid w:val="5F16521D"/>
    <w:rsid w:val="60714E01"/>
    <w:rsid w:val="608E7761"/>
    <w:rsid w:val="60901FE2"/>
    <w:rsid w:val="60BD3E94"/>
    <w:rsid w:val="60F4333C"/>
    <w:rsid w:val="60FA4DF7"/>
    <w:rsid w:val="6124200F"/>
    <w:rsid w:val="61AE571B"/>
    <w:rsid w:val="622C5484"/>
    <w:rsid w:val="623A1223"/>
    <w:rsid w:val="624C78D4"/>
    <w:rsid w:val="62B72874"/>
    <w:rsid w:val="62BE3C02"/>
    <w:rsid w:val="62C31218"/>
    <w:rsid w:val="62D20B32"/>
    <w:rsid w:val="637E5597"/>
    <w:rsid w:val="652C12F7"/>
    <w:rsid w:val="653458C8"/>
    <w:rsid w:val="6587477F"/>
    <w:rsid w:val="65BF03BD"/>
    <w:rsid w:val="664D3C1B"/>
    <w:rsid w:val="668735C1"/>
    <w:rsid w:val="66D6776C"/>
    <w:rsid w:val="674C6DED"/>
    <w:rsid w:val="67C3127F"/>
    <w:rsid w:val="685B53D9"/>
    <w:rsid w:val="689522C9"/>
    <w:rsid w:val="6954706E"/>
    <w:rsid w:val="6A0B3BD1"/>
    <w:rsid w:val="6BDF70C3"/>
    <w:rsid w:val="6BF1329A"/>
    <w:rsid w:val="6C4B203A"/>
    <w:rsid w:val="6C5A0E3F"/>
    <w:rsid w:val="6CB30C91"/>
    <w:rsid w:val="6CB7427B"/>
    <w:rsid w:val="6CF21078"/>
    <w:rsid w:val="6DBE53FE"/>
    <w:rsid w:val="6E423939"/>
    <w:rsid w:val="6EC5724B"/>
    <w:rsid w:val="6F437969"/>
    <w:rsid w:val="6FA80114"/>
    <w:rsid w:val="6FD11419"/>
    <w:rsid w:val="703F3234"/>
    <w:rsid w:val="70497201"/>
    <w:rsid w:val="70531E2E"/>
    <w:rsid w:val="7060454A"/>
    <w:rsid w:val="706A2E57"/>
    <w:rsid w:val="717C57C1"/>
    <w:rsid w:val="721970A7"/>
    <w:rsid w:val="72282783"/>
    <w:rsid w:val="73226BE4"/>
    <w:rsid w:val="73C03C7E"/>
    <w:rsid w:val="74A25132"/>
    <w:rsid w:val="74A7099A"/>
    <w:rsid w:val="74AC718C"/>
    <w:rsid w:val="74B16DC9"/>
    <w:rsid w:val="753D798F"/>
    <w:rsid w:val="757A4300"/>
    <w:rsid w:val="75806294"/>
    <w:rsid w:val="76A258BD"/>
    <w:rsid w:val="774D65F3"/>
    <w:rsid w:val="77840419"/>
    <w:rsid w:val="77BC475C"/>
    <w:rsid w:val="78454752"/>
    <w:rsid w:val="79ED4D77"/>
    <w:rsid w:val="7AD61FD9"/>
    <w:rsid w:val="7ADA171F"/>
    <w:rsid w:val="7B267072"/>
    <w:rsid w:val="7B7419BF"/>
    <w:rsid w:val="7CAA1027"/>
    <w:rsid w:val="7D7D673C"/>
    <w:rsid w:val="7D9121E7"/>
    <w:rsid w:val="7E5C3F56"/>
    <w:rsid w:val="7F340F6B"/>
    <w:rsid w:val="7F345520"/>
    <w:rsid w:val="7F5E1C6E"/>
    <w:rsid w:val="7FF151BF"/>
    <w:rsid w:val="7FF225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6"/>
    <w:basedOn w:val="1"/>
    <w:next w:val="1"/>
    <w:unhideWhenUsed/>
    <w:qFormat/>
    <w:uiPriority w:val="9"/>
    <w:pPr>
      <w:keepNext/>
      <w:keepLines/>
      <w:spacing w:line="360" w:lineRule="auto"/>
      <w:outlineLvl w:val="5"/>
    </w:pPr>
    <w:rPr>
      <w:rFonts w:ascii="仿宋_GB2312" w:hAnsi="仿宋_GB2312" w:eastAsia="仿宋_GB2312" w:cs="Times New Roman"/>
      <w:b/>
      <w:bCs/>
      <w:szCs w:val="2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1679</Words>
  <Characters>1854</Characters>
  <Lines>0</Lines>
  <Paragraphs>0</Paragraphs>
  <TotalTime>7</TotalTime>
  <ScaleCrop>false</ScaleCrop>
  <LinksUpToDate>false</LinksUpToDate>
  <CharactersWithSpaces>1920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渡过</cp:lastModifiedBy>
  <cp:lastPrinted>2024-03-20T01:22:00Z</cp:lastPrinted>
  <dcterms:modified xsi:type="dcterms:W3CDTF">2026-04-17T01:51:06Z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C4AF36CB86B84E709C2F7AE85D5AAC65_13</vt:lpwstr>
  </property>
  <property fmtid="{D5CDD505-2E9C-101B-9397-08002B2CF9AE}" pid="4" name="KSOTemplateDocerSaveRecord">
    <vt:lpwstr>eyJoZGlkIjoiOTBiZGY2ZTlkMGI1NGFlMGQxZGY0NjkwYTgzY2NmZTkiLCJ1c2VySWQiOiI0MTkxMjY4MjgifQ==</vt:lpwstr>
  </property>
</Properties>
</file>