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E2235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长汀县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年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度国土绿化</w:t>
      </w:r>
    </w:p>
    <w:p w14:paraId="5FC682A8"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专项资金绩效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自评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报告</w:t>
      </w:r>
    </w:p>
    <w:p w14:paraId="36D6ECD8">
      <w:pPr>
        <w:ind w:left="0" w:leftChars="0" w:firstLine="640" w:firstLineChars="20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一、基本情况</w:t>
      </w:r>
    </w:p>
    <w:p w14:paraId="51A233EE">
      <w:pPr>
        <w:ind w:left="0" w:leftChars="0"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(一)项目概况</w:t>
      </w:r>
    </w:p>
    <w:p w14:paraId="010EACC6">
      <w:pPr>
        <w:ind w:left="0" w:leftChars="0"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项目背景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为保护森林资源，改善林分结构，提高苗木质量，增加林区林农收入，实施国土绿化项目。</w:t>
      </w:r>
    </w:p>
    <w:p w14:paraId="696C3452">
      <w:pPr>
        <w:ind w:left="0" w:leftChars="0" w:firstLine="643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主要内容及实施情况。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国土绿化实施内容有：植树造林、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培育良种和乡土、珍贵阔叶树种苗木。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根据各项目绩效目标，制定项目实施方案，按照建设要求，组织项目招投标，并做好项目跟踪检查，积极完成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2025年度的省级财政国土绿化项目。</w:t>
      </w:r>
    </w:p>
    <w:p w14:paraId="31191EAC">
      <w:p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资金投入和使用情况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下达我县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国土绿化专项</w:t>
      </w:r>
      <w:r>
        <w:rPr>
          <w:rFonts w:hint="eastAsia" w:ascii="仿宋_GB2312" w:hAnsi="仿宋_GB2312" w:eastAsia="仿宋_GB2312" w:cs="仿宋_GB2312"/>
          <w:sz w:val="32"/>
          <w:szCs w:val="32"/>
        </w:rPr>
        <w:t>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1312.84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万元，其中：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造林绿化补助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815.84万元、森林“四库”联动林相改善示范奖补资金400万元、林木良种培育97万元。</w:t>
      </w:r>
    </w:p>
    <w:p w14:paraId="29F387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left="0" w:leftChars="0"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上述省级国土绿化专项资金尚已拨付171.23万元，支出率13.04%，未拨付的资金项目正在实施中，将会抓紧验收提高资金支付率。                                                             </w:t>
      </w:r>
    </w:p>
    <w:p w14:paraId="2C3525C8">
      <w:pPr>
        <w:numPr>
          <w:ilvl w:val="0"/>
          <w:numId w:val="1"/>
        </w:numPr>
        <w:ind w:left="0" w:leftChars="0"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项目绩效目标</w:t>
      </w:r>
    </w:p>
    <w:p w14:paraId="6A086066">
      <w:pPr>
        <w:numPr>
          <w:ilvl w:val="0"/>
          <w:numId w:val="2"/>
        </w:numPr>
        <w:ind w:firstLine="643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造林绿化绩效目标：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重点区位林相改善0.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307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万亩以上，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完成珍贵用材树种造林面积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0.05万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亩以上，造林成活率，油茶发展面积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0.925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亩以上，森林抚育补助面积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0.55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亩以上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重点区域林相改善新造平均补助2200元/亩以下，珍贵用材树种造林平均补助550元/亩以下。造林成活率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85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%以上，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森林抚育质量合格率85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%以上，当年度任务完成率90%以上，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社会公众满意度90%以上。</w:t>
      </w:r>
    </w:p>
    <w:p w14:paraId="15332164">
      <w:pPr>
        <w:numPr>
          <w:ilvl w:val="0"/>
          <w:numId w:val="2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林木良种培育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绩效目标：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优良苗木培育50万株以上，续建保障性苗圃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1处以上，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年度培育的苗木质量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0%以上，苗木产值13000元/亩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以上，经营主体满意度90%以上。</w:t>
      </w:r>
    </w:p>
    <w:p w14:paraId="688923F1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二、绩效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自评</w:t>
      </w:r>
      <w:r>
        <w:rPr>
          <w:rFonts w:hint="eastAsia" w:ascii="黑体" w:hAnsi="黑体" w:eastAsia="黑体" w:cs="黑体"/>
          <w:sz w:val="32"/>
          <w:szCs w:val="32"/>
        </w:rPr>
        <w:t>工作开展情况</w:t>
      </w:r>
    </w:p>
    <w:p w14:paraId="1C5DBC88">
      <w:pPr>
        <w:numPr>
          <w:ilvl w:val="0"/>
          <w:numId w:val="3"/>
        </w:numPr>
        <w:spacing w:line="600" w:lineRule="exact"/>
        <w:ind w:firstLine="645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绩效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评价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目的、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对象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和范围</w:t>
      </w:r>
    </w:p>
    <w:p w14:paraId="1BFF4612">
      <w:pPr>
        <w:spacing w:line="560" w:lineRule="exact"/>
        <w:ind w:firstLine="645"/>
        <w:rPr>
          <w:rFonts w:hint="eastAsia"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华文宋体" w:eastAsia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华文宋体" w:eastAsia="仿宋_GB2312"/>
          <w:sz w:val="32"/>
          <w:szCs w:val="32"/>
          <w:lang w:eastAsia="zh-CN"/>
        </w:rPr>
        <w:t>目的是</w:t>
      </w:r>
      <w:r>
        <w:rPr>
          <w:rFonts w:hint="eastAsia" w:ascii="仿宋_GB2312" w:hAnsi="华文宋体" w:eastAsia="仿宋_GB2312"/>
          <w:sz w:val="32"/>
          <w:szCs w:val="32"/>
        </w:rPr>
        <w:t>为全县林业事业发展提供了强有力的资金保障，促进了林业事业的健康发展。</w:t>
      </w:r>
      <w:r>
        <w:rPr>
          <w:rFonts w:hint="eastAsia" w:ascii="仿宋_GB2312" w:hAnsi="仿宋" w:eastAsia="仿宋_GB2312"/>
          <w:bCs/>
          <w:sz w:val="32"/>
          <w:szCs w:val="32"/>
        </w:rPr>
        <w:t>一是从财政角度对资金支持对象的实际产出和效益进行评价，改进预算决策和管理水平，提高资金使用效益；二是促进林业部门科学编制预算，强化资金使用效益意识，提升资金管理水平和工作质量；三是积极运用绩效评价结果，作为资金分配等重要依据。</w:t>
      </w:r>
    </w:p>
    <w:p w14:paraId="7F52C17C">
      <w:pPr>
        <w:spacing w:line="60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对象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和范围包括省级财政安排我县的国土绿化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项目支出。</w:t>
      </w:r>
    </w:p>
    <w:p w14:paraId="2D8F90E0">
      <w:pPr>
        <w:spacing w:line="560" w:lineRule="exact"/>
        <w:ind w:firstLine="645"/>
        <w:rPr>
          <w:rFonts w:hint="eastAsia" w:ascii="楷体_GB2312" w:hAnsi="楷体_GB2312" w:eastAsia="楷体_GB2312" w:cs="楷体_GB2312"/>
          <w:b/>
          <w:bCs/>
          <w:i w:val="0"/>
          <w:i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(二)</w:t>
      </w:r>
      <w:r>
        <w:rPr>
          <w:rFonts w:hint="eastAsia" w:ascii="楷体_GB2312" w:hAnsi="楷体_GB2312" w:eastAsia="楷体_GB2312" w:cs="楷体_GB2312"/>
          <w:b/>
          <w:bCs/>
          <w:i w:val="0"/>
          <w:iCs w:val="0"/>
          <w:sz w:val="32"/>
          <w:szCs w:val="32"/>
        </w:rPr>
        <w:t>绩效评价原则、评价指标体系、评价方法、评价标准</w:t>
      </w:r>
    </w:p>
    <w:p w14:paraId="15566309">
      <w:pPr>
        <w:snapToGrid w:val="0"/>
        <w:spacing w:line="360" w:lineRule="auto"/>
        <w:ind w:firstLine="640" w:firstLineChars="200"/>
        <w:rPr>
          <w:rFonts w:hint="eastAsia" w:ascii="仿宋_GB2312" w:hAnsi="仿宋" w:eastAsia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b/>
          <w:bCs w:val="0"/>
          <w:sz w:val="32"/>
          <w:szCs w:val="32"/>
        </w:rPr>
        <w:t>绩效评价原则：</w:t>
      </w:r>
      <w:r>
        <w:rPr>
          <w:rFonts w:hint="eastAsia" w:ascii="仿宋_GB2312" w:hAnsi="仿宋" w:eastAsia="仿宋_GB2312"/>
          <w:bCs/>
          <w:sz w:val="32"/>
          <w:szCs w:val="32"/>
        </w:rPr>
        <w:t>①坚持社会效益原则，即对履行职能所产生的效果进行评价；②坚持合法性原则，即</w:t>
      </w:r>
      <w:r>
        <w:rPr>
          <w:rFonts w:hint="eastAsia" w:ascii="仿宋_GB2312" w:hAnsi="Helvetica" w:eastAsia="仿宋_GB2312"/>
          <w:sz w:val="32"/>
          <w:szCs w:val="32"/>
          <w:shd w:val="clear" w:color="auto" w:fill="FFFFFF"/>
        </w:rPr>
        <w:t>评价财政收支的合法性和规范性。</w:t>
      </w:r>
    </w:p>
    <w:p w14:paraId="4511CB3E">
      <w:pPr>
        <w:spacing w:line="600" w:lineRule="exact"/>
        <w:ind w:firstLine="64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评价指标体系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根据项目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确定的绩效指标，包括项目的产出数量、质量、时效、成本，以及经济效益、社会效益、生态效益、可持续影响、服务对象满意度等。</w:t>
      </w:r>
    </w:p>
    <w:p w14:paraId="0F94A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12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3.</w:t>
      </w:r>
      <w:r>
        <w:rPr>
          <w:rFonts w:hint="eastAsia" w:ascii="仿宋_GB2312" w:hAnsi="仿宋" w:eastAsia="仿宋_GB2312"/>
          <w:b/>
          <w:bCs w:val="0"/>
          <w:sz w:val="32"/>
          <w:szCs w:val="32"/>
        </w:rPr>
        <w:t>评价方法</w:t>
      </w:r>
      <w:r>
        <w:rPr>
          <w:rFonts w:hint="eastAsia" w:ascii="仿宋_GB2312" w:hAnsi="仿宋" w:eastAsia="仿宋_GB2312"/>
          <w:b/>
          <w:bCs w:val="0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根据项目实际情况确定。原则上预算执行率和一级指标权重统一设置为: 预算执行率10%、产出指标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%、成本指标10%、效益指标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%、服务对象满意度指标1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%。如有特殊情况，一级指标权重可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作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适当调整。二、三级指标应当根据指标重要程度、项目实施阶段等因素综合确定，准确反映项目的产出和效益。</w:t>
      </w:r>
    </w:p>
    <w:p w14:paraId="1DA9B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" w:eastAsia="仿宋_GB2312"/>
          <w:b/>
          <w:bCs w:val="0"/>
          <w:sz w:val="32"/>
          <w:szCs w:val="32"/>
          <w:lang w:val="en-US" w:eastAsia="zh-CN"/>
        </w:rPr>
        <w:t>4.评价</w:t>
      </w:r>
      <w:r>
        <w:rPr>
          <w:rFonts w:hint="eastAsia" w:ascii="仿宋_GB2312" w:hAnsi="仿宋_GB2312" w:eastAsia="仿宋_GB2312" w:cs="仿宋_GB2312"/>
          <w:b/>
          <w:bCs w:val="0"/>
          <w:sz w:val="32"/>
          <w:szCs w:val="32"/>
          <w:lang w:eastAsia="zh-CN"/>
        </w:rPr>
        <w:t>标准：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各项评价内容的标准分之和为100分。根据绩效评价内容，采取单位自评的方式，评价结果上报市林业局。</w:t>
      </w:r>
    </w:p>
    <w:p w14:paraId="7B1C878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left="0" w:leftChars="0" w:firstLine="645" w:firstLineChars="0"/>
        <w:textAlignment w:val="auto"/>
        <w:rPr>
          <w:rFonts w:hint="eastAsia" w:ascii="仿宋_GB2312" w:hAnsi="仿宋_GB2312" w:eastAsia="仿宋_GB2312" w:cs="仿宋_GB2312"/>
          <w:b/>
          <w:bCs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 w:val="0"/>
          <w:sz w:val="32"/>
          <w:szCs w:val="32"/>
        </w:rPr>
        <w:t>绩效评价工作过程</w:t>
      </w:r>
    </w:p>
    <w:p w14:paraId="7555DA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我局高度重视此次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自评工作，成立了由局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分管副局长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为组长，计财股负责人为副组长，其他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有关股室负责人为成员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的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评价工作小组，召开了工作部署会议，确定了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绩效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自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评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工作的评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价对象、主要内容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和时间要求，明确了责任单位和责任人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同时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安排了对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项目实施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有关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资料、资金拨付文件、财务会计资料等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资料收集工作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此次涉及省级财政林业专项资金绩效评价工作的各部门密切配合，各负其责，按要求收集项目材料、核实了包括提交立项决策、建设实施、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阶段性验收、生产经营等基础数据资料，参照评价指标体系和评价标准，得出评价结论。</w:t>
      </w:r>
    </w:p>
    <w:p w14:paraId="08663526">
      <w:pPr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432CC987">
      <w:pPr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、绩效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监控指标完成情况</w:t>
      </w:r>
      <w:r>
        <w:rPr>
          <w:rFonts w:hint="eastAsia" w:ascii="黑体" w:hAnsi="黑体" w:eastAsia="黑体" w:cs="黑体"/>
          <w:sz w:val="32"/>
          <w:szCs w:val="32"/>
        </w:rPr>
        <w:t>分析</w:t>
      </w:r>
    </w:p>
    <w:p w14:paraId="063A3E0D">
      <w:pPr>
        <w:ind w:firstLine="42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(一)项目决策情况</w:t>
      </w:r>
    </w:p>
    <w:p w14:paraId="13B3313B">
      <w:pPr>
        <w:ind w:firstLine="640" w:firstLineChars="200"/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项目下达后，根据项目绩效目标,由实施的业务股室</w:t>
      </w:r>
      <w:r>
        <w:rPr>
          <w:rFonts w:hint="eastAsia" w:ascii="仿宋_GB2312" w:hAnsi="仿宋_GB2312" w:eastAsia="仿宋_GB2312" w:cs="仿宋_GB2312"/>
          <w:sz w:val="32"/>
          <w:szCs w:val="32"/>
        </w:rPr>
        <w:t>制定实施方案，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经集体研究后，</w:t>
      </w:r>
      <w:r>
        <w:rPr>
          <w:rFonts w:hint="eastAsia" w:ascii="仿宋_GB2312" w:hAnsi="仿宋_GB2312" w:eastAsia="仿宋_GB2312"/>
          <w:spacing w:val="2"/>
          <w:sz w:val="32"/>
          <w:szCs w:val="32"/>
        </w:rPr>
        <w:t>组织开展作业设计。</w:t>
      </w:r>
      <w:r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  <w:t>按照我局“三重一大”相关规定，</w:t>
      </w:r>
      <w:r>
        <w:rPr>
          <w:rFonts w:hint="eastAsia" w:ascii="仿宋_GB2312" w:hAnsi="仿宋_GB2312" w:eastAsia="仿宋_GB2312"/>
          <w:spacing w:val="2"/>
          <w:sz w:val="32"/>
          <w:szCs w:val="32"/>
          <w:lang w:val="en-US" w:eastAsia="zh-CN"/>
        </w:rPr>
        <w:t>10万元以上</w:t>
      </w:r>
      <w:r>
        <w:rPr>
          <w:rFonts w:hint="eastAsia" w:ascii="仿宋_GB2312" w:hAnsi="仿宋_GB2312" w:eastAsia="仿宋_GB2312"/>
          <w:spacing w:val="2"/>
          <w:sz w:val="32"/>
          <w:szCs w:val="32"/>
          <w:lang w:eastAsia="zh-CN"/>
        </w:rPr>
        <w:t>项目由局党组研究确定实施方案。</w:t>
      </w:r>
    </w:p>
    <w:p w14:paraId="193B16C1">
      <w:pPr>
        <w:numPr>
          <w:ilvl w:val="0"/>
          <w:numId w:val="0"/>
        </w:numPr>
        <w:spacing w:line="600" w:lineRule="exact"/>
        <w:ind w:firstLine="321" w:firstLineChars="10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项目过程情况</w:t>
      </w:r>
    </w:p>
    <w:p w14:paraId="1FA9AE44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严格按</w:t>
      </w:r>
      <w:r>
        <w:rPr>
          <w:rFonts w:hint="eastAsia" w:ascii="仿宋_GB2312" w:hAnsi="仿宋" w:eastAsia="仿宋_GB2312"/>
          <w:sz w:val="32"/>
          <w:szCs w:val="32"/>
          <w:highlight w:val="none"/>
        </w:rPr>
        <w:t>照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《福建省财政厅 福建省林业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局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关于印发福建省省级财政</w:t>
      </w:r>
      <w:r>
        <w:rPr>
          <w:rFonts w:hint="eastAsia" w:ascii="仿宋_GB2312" w:hAnsi="宋体" w:eastAsia="仿宋_GB2312"/>
          <w:sz w:val="32"/>
          <w:szCs w:val="32"/>
          <w:highlight w:val="none"/>
          <w:lang w:eastAsia="zh-CN"/>
        </w:rPr>
        <w:t>林业相关</w:t>
      </w:r>
      <w:r>
        <w:rPr>
          <w:rFonts w:hint="eastAsia" w:ascii="仿宋_GB2312" w:hAnsi="宋体" w:eastAsia="仿宋_GB2312"/>
          <w:sz w:val="32"/>
          <w:szCs w:val="32"/>
        </w:rPr>
        <w:t>专项资金管理办法的通知》（闽财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规</w:t>
      </w:r>
      <w:r>
        <w:rPr>
          <w:rFonts w:hint="eastAsia" w:ascii="仿宋_GB2312" w:hAnsi="宋体" w:eastAsia="仿宋_GB2312"/>
          <w:sz w:val="32"/>
          <w:szCs w:val="32"/>
        </w:rPr>
        <w:t>〔20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宋体" w:eastAsia="仿宋_GB2312"/>
          <w:sz w:val="32"/>
          <w:szCs w:val="32"/>
        </w:rPr>
        <w:t>〕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23</w:t>
      </w:r>
      <w:r>
        <w:rPr>
          <w:rFonts w:hint="eastAsia" w:ascii="仿宋_GB2312" w:hAnsi="宋体" w:eastAsia="仿宋_GB2312"/>
          <w:sz w:val="32"/>
          <w:szCs w:val="32"/>
        </w:rPr>
        <w:t>号）</w:t>
      </w:r>
      <w:r>
        <w:rPr>
          <w:rFonts w:hint="eastAsia" w:ascii="仿宋_GB2312" w:hAnsi="仿宋" w:eastAsia="仿宋_GB2312"/>
          <w:sz w:val="32"/>
          <w:szCs w:val="32"/>
        </w:rPr>
        <w:t>文件精神，专款专用、确保专项经费的使用效益和安全。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制定了造林绿化项目补助办法等，规范补助资金的实施。</w:t>
      </w:r>
      <w:r>
        <w:rPr>
          <w:rFonts w:hint="eastAsia" w:ascii="仿宋_GB2312" w:hAnsi="宋体" w:eastAsia="仿宋_GB2312"/>
          <w:sz w:val="32"/>
          <w:szCs w:val="32"/>
        </w:rPr>
        <w:t>在项目实施过程中不断完善管理制度、检查验收和绩效评价制度等各项规章制度建设，各部门密切配合、指导、监督，有效推动了项目的有效开展。</w:t>
      </w:r>
    </w:p>
    <w:p w14:paraId="1FCB1FC8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下达我县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省级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财政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国土绿化专项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资金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都能按时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到位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项目资金的拨付有完整的审批程序和手续，资金使用符合管理办法。</w:t>
      </w:r>
    </w:p>
    <w:p w14:paraId="473E90E7">
      <w:pPr>
        <w:numPr>
          <w:ilvl w:val="0"/>
          <w:numId w:val="3"/>
        </w:numPr>
        <w:spacing w:line="600" w:lineRule="exact"/>
        <w:ind w:left="0" w:leftChars="0" w:firstLine="645" w:firstLineChars="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项目产出情况</w:t>
      </w:r>
    </w:p>
    <w:p w14:paraId="023CC164">
      <w:pPr>
        <w:numPr>
          <w:ilvl w:val="0"/>
          <w:numId w:val="4"/>
        </w:numPr>
        <w:spacing w:line="600" w:lineRule="exact"/>
        <w:ind w:left="645" w:leftChars="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数量指标</w:t>
      </w:r>
    </w:p>
    <w:p w14:paraId="46FBB8E0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重点区位林相改善0.3187万亩，完成珍贵用材树种造林面积0.0626万亩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，油茶发展面积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0.9881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万亩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，森林抚育补助面积0.5813万亩，优良苗木培育61万株，续建保障性苗圃1处。</w:t>
      </w:r>
    </w:p>
    <w:p w14:paraId="12B7EAAD">
      <w:pPr>
        <w:numPr>
          <w:ilvl w:val="0"/>
          <w:numId w:val="5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质量指标</w:t>
      </w:r>
    </w:p>
    <w:p w14:paraId="4578AB61">
      <w:pPr>
        <w:numPr>
          <w:ilvl w:val="0"/>
          <w:numId w:val="0"/>
        </w:num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造林成活率90%，森林抚育质量合格率90%，年度培育的苗木质量90%。</w:t>
      </w:r>
    </w:p>
    <w:p w14:paraId="6990B184">
      <w:pPr>
        <w:numPr>
          <w:ilvl w:val="0"/>
          <w:numId w:val="3"/>
        </w:numPr>
        <w:spacing w:line="540" w:lineRule="exact"/>
        <w:ind w:left="0" w:leftChars="0" w:firstLine="645" w:firstLineChars="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项目效益情况</w:t>
      </w:r>
    </w:p>
    <w:p w14:paraId="7098BC9B">
      <w:pPr>
        <w:pStyle w:val="10"/>
        <w:ind w:firstLine="640" w:firstLineChars="2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经济效益指标</w:t>
      </w:r>
    </w:p>
    <w:p w14:paraId="3108969F">
      <w:pPr>
        <w:pStyle w:val="2"/>
        <w:ind w:firstLine="640" w:firstLineChars="2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苗木产值每亩达13000元，达到绩效目标。</w:t>
      </w:r>
    </w:p>
    <w:p w14:paraId="3762117C">
      <w:pPr>
        <w:pStyle w:val="2"/>
        <w:numPr>
          <w:ilvl w:val="0"/>
          <w:numId w:val="0"/>
        </w:numPr>
        <w:ind w:leftChars="200" w:firstLine="320" w:firstLineChars="1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2.经济成本指标</w:t>
      </w:r>
    </w:p>
    <w:p w14:paraId="057C4F33">
      <w:pPr>
        <w:pStyle w:val="2"/>
        <w:numPr>
          <w:ilvl w:val="0"/>
          <w:numId w:val="0"/>
        </w:numPr>
        <w:ind w:firstLine="640" w:firstLineChars="200"/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" w:eastAsia="仿宋_GB2312"/>
          <w:color w:val="000000"/>
          <w:kern w:val="2"/>
          <w:sz w:val="32"/>
          <w:szCs w:val="32"/>
          <w:lang w:val="en-US" w:eastAsia="zh-CN" w:bidi="ar-SA"/>
        </w:rPr>
        <w:t>重点区域林相改善新造平均补助2200元/亩，珍贵用材树种造林平均补助550元/亩。</w:t>
      </w:r>
    </w:p>
    <w:p w14:paraId="6352D6B1">
      <w:pPr>
        <w:numPr>
          <w:ilvl w:val="0"/>
          <w:numId w:val="6"/>
        </w:numPr>
        <w:ind w:left="0" w:leftChars="0"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满意度指标。</w:t>
      </w:r>
    </w:p>
    <w:p w14:paraId="3A7DA5D6">
      <w:pPr>
        <w:numPr>
          <w:ilvl w:val="0"/>
          <w:numId w:val="0"/>
        </w:numPr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社会公众满意度9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%，经营主体满意度95%。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达到绩效目标。</w:t>
      </w:r>
    </w:p>
    <w:p w14:paraId="2BFC425F">
      <w:pPr>
        <w:ind w:left="0" w:leftChars="0" w:firstLine="640" w:firstLine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、综合评价情况及评价结论(附相关评分表)</w:t>
      </w:r>
    </w:p>
    <w:p w14:paraId="08B7AD9E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我县根据项目的实施情况，开展项目绩效自评工作。通过对项目资金的到位、使用、支出情况；项目建设任务完成情况和效益情况；项目组织管理、财务管理情况等各项评价指标进行自评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eastAsia="zh-CN"/>
        </w:rPr>
        <w:t>，国土绿化项目自评分为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95分，项目综合评价等级为优（详见专项绩效自评表）。</w:t>
      </w:r>
    </w:p>
    <w:p w14:paraId="0B326D0E">
      <w:pPr>
        <w:numPr>
          <w:ilvl w:val="0"/>
          <w:numId w:val="7"/>
        </w:numPr>
        <w:spacing w:line="56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主要经验及做法、存在的问题及原因分析</w:t>
      </w:r>
    </w:p>
    <w:p w14:paraId="1226CD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主要经验及做法</w:t>
      </w:r>
    </w:p>
    <w:p w14:paraId="3793D1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强化组织领导。</w:t>
      </w:r>
      <w:r>
        <w:rPr>
          <w:rFonts w:hint="eastAsia" w:ascii="仿宋_GB2312" w:hAnsi="仿宋_GB2312" w:eastAsia="仿宋_GB2312" w:cs="仿宋_GB2312"/>
          <w:sz w:val="32"/>
          <w:szCs w:val="32"/>
        </w:rPr>
        <w:t>成立工作领导小组，负责统筹推进项目实施。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kern w:val="2"/>
          <w:sz w:val="32"/>
          <w:szCs w:val="32"/>
          <w:lang w:val="en-US" w:eastAsia="zh-CN"/>
        </w:rPr>
        <w:t>发布长汀县森林资源保护林长令，明确各级林长抓林分质量提升责任。</w:t>
      </w:r>
      <w:r>
        <w:rPr>
          <w:rFonts w:hint="eastAsia" w:ascii="仿宋_GB2312" w:hAnsi="仿宋_GB2312" w:eastAsia="仿宋_GB2312" w:cs="仿宋_GB2312"/>
          <w:b w:val="0"/>
          <w:bCs/>
          <w:kern w:val="2"/>
          <w:sz w:val="32"/>
          <w:szCs w:val="32"/>
          <w:lang w:val="en-US" w:eastAsia="zh-CN"/>
        </w:rPr>
        <w:t>建立健全森林质量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提升行动工作机构，落实“专班、专人、专责”，推进林分提升各项工作。</w:t>
      </w:r>
    </w:p>
    <w:p w14:paraId="1B0D368F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2.科学规划设计。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因地制宜，分类施策</w:t>
      </w: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/>
        </w:rPr>
        <w:t>对成熟马尾松林采取皆伐改造，营造以杉木、珍贵用材树种为主的商品林基地；省际、县际的马尾松林采取皆伐改造，主要种植木荷、闽粤栲、枫香等乡土树种，营造以防火、防病虫为主要功能的森林；水土流失初步治理区刚刚恢复的马尾松林采取隔带采伐，带状造林，树种以木荷、枫香、壳斗科等适应性较强的乡土阔叶树为主，营造针阔混交林；马尾松占6-7成的林分采取“去马留阔”，择伐马尾松，形成阔叶林；对于生态环境较为恶劣的马尾松林地，采取伐小留大、伐劣留优、伐密留疏措施进行森林抚育。</w:t>
      </w:r>
    </w:p>
    <w:p w14:paraId="628BC02A">
      <w:pPr>
        <w:pStyle w:val="4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强化</w:t>
      </w:r>
      <w:r>
        <w:rPr>
          <w:rFonts w:hint="eastAsia" w:ascii="仿宋_GB2312" w:hAnsi="仿宋_GB2312" w:eastAsia="仿宋_GB2312" w:cs="仿宋_GB2312"/>
          <w:b/>
          <w:spacing w:val="6"/>
          <w:kern w:val="0"/>
          <w:sz w:val="32"/>
          <w:szCs w:val="32"/>
        </w:rPr>
        <w:t>项目管理。</w:t>
      </w:r>
      <w:r>
        <w:rPr>
          <w:rFonts w:hint="eastAsia" w:ascii="仿宋_GB2312" w:eastAsia="仿宋_GB2312"/>
          <w:b/>
          <w:spacing w:val="6"/>
          <w:kern w:val="36"/>
          <w:sz w:val="32"/>
          <w:szCs w:val="32"/>
        </w:rPr>
        <w:t>一是</w:t>
      </w:r>
      <w:r>
        <w:rPr>
          <w:rFonts w:hint="eastAsia" w:ascii="仿宋_GB2312" w:hAnsi="黑体" w:eastAsia="仿宋_GB2312"/>
          <w:spacing w:val="6"/>
          <w:sz w:val="32"/>
          <w:szCs w:val="32"/>
        </w:rPr>
        <w:t>统一规划设计。</w:t>
      </w:r>
      <w:r>
        <w:rPr>
          <w:rFonts w:hint="eastAsia" w:ascii="仿宋_GB2312" w:eastAsia="仿宋_GB2312"/>
          <w:spacing w:val="10"/>
          <w:sz w:val="32"/>
          <w:szCs w:val="32"/>
        </w:rPr>
        <w:t>做到技术标准统一、设计预算统一、</w:t>
      </w:r>
      <w:r>
        <w:rPr>
          <w:rFonts w:hint="eastAsia" w:ascii="仿宋_GB2312" w:eastAsia="仿宋_GB2312"/>
          <w:spacing w:val="10"/>
          <w:sz w:val="32"/>
          <w:szCs w:val="32"/>
          <w:lang w:eastAsia="zh-CN"/>
        </w:rPr>
        <w:t>技术</w:t>
      </w:r>
      <w:r>
        <w:rPr>
          <w:rFonts w:hint="eastAsia" w:ascii="仿宋_GB2312" w:eastAsia="仿宋_GB2312"/>
          <w:spacing w:val="10"/>
          <w:sz w:val="32"/>
          <w:szCs w:val="32"/>
        </w:rPr>
        <w:t>措施统一。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实行项目设计评审制度。</w:t>
      </w:r>
      <w:r>
        <w:rPr>
          <w:rFonts w:hint="eastAsia" w:ascii="仿宋_GB2312" w:eastAsia="仿宋_GB2312"/>
          <w:spacing w:val="10"/>
          <w:kern w:val="36"/>
          <w:sz w:val="32"/>
          <w:szCs w:val="32"/>
        </w:rPr>
        <w:t>项目作业设计</w:t>
      </w:r>
      <w:r>
        <w:rPr>
          <w:rFonts w:hint="eastAsia" w:ascii="仿宋_GB2312" w:eastAsia="仿宋_GB2312"/>
          <w:sz w:val="32"/>
          <w:szCs w:val="32"/>
        </w:rPr>
        <w:t>组织林业局营造林技术人员评审</w:t>
      </w:r>
      <w:r>
        <w:rPr>
          <w:rFonts w:hint="eastAsia" w:ascii="仿宋_GB2312" w:eastAsia="仿宋_GB2312"/>
          <w:spacing w:val="10"/>
          <w:kern w:val="36"/>
          <w:sz w:val="32"/>
          <w:szCs w:val="32"/>
        </w:rPr>
        <w:t>，确保作业设计科学合理、措施精准到位</w:t>
      </w:r>
      <w:r>
        <w:rPr>
          <w:rFonts w:hint="eastAsia" w:ascii="仿宋_GB2312" w:hAnsi="黑体" w:eastAsia="仿宋_GB2312"/>
          <w:b w:val="0"/>
          <w:bCs/>
          <w:spacing w:val="6"/>
          <w:sz w:val="32"/>
          <w:szCs w:val="32"/>
          <w:lang w:val="en-US" w:eastAsia="zh-CN"/>
        </w:rPr>
        <w:t>。</w:t>
      </w:r>
      <w:r>
        <w:rPr>
          <w:rFonts w:hint="eastAsia" w:ascii="仿宋_GB2312" w:hAnsi="黑体" w:eastAsia="仿宋_GB2312"/>
          <w:b/>
          <w:bCs w:val="0"/>
          <w:spacing w:val="6"/>
          <w:sz w:val="32"/>
          <w:szCs w:val="32"/>
          <w:lang w:val="en-US" w:eastAsia="zh-CN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建立包挂责任制度。做到每个项目都有专人负责、专人服务、专人监督，确保项目有序推进。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是</w:t>
      </w:r>
      <w:r>
        <w:rPr>
          <w:rFonts w:hint="eastAsia" w:ascii="仿宋_GB2312" w:hAnsi="仿宋_GB2312" w:eastAsia="仿宋_GB2312" w:cs="仿宋_GB2312"/>
          <w:sz w:val="32"/>
          <w:szCs w:val="32"/>
        </w:rPr>
        <w:t>落实质量管护制度。实行包种、包活、包管、包生长量，确保项目建设成效。</w:t>
      </w:r>
    </w:p>
    <w:p w14:paraId="665BD7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/>
        <w:textAlignment w:val="auto"/>
        <w:rPr>
          <w:rFonts w:hint="eastAsia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  <w:lang w:val="en-US" w:eastAsia="zh-CN"/>
        </w:rPr>
        <w:t>4.资金筹措。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科学整合水土流失治理、生态修复和营造林项目资金，宣传鼓励林农业主投工投劳，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通过多渠道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val="en-US" w:eastAsia="zh-CN" w:bidi="ar-SA"/>
        </w:rPr>
        <w:t>筹集林分质量精准提升项目资金，增加造林抚育投入，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保障提升行动顺利开展。</w:t>
      </w:r>
    </w:p>
    <w:p w14:paraId="73BEDBC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1" w:firstLineChars="1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（二）存在问题及原因分析和有关建议：</w:t>
      </w:r>
    </w:p>
    <w:p w14:paraId="3AD957A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</w:rPr>
        <w:t>林业项目点多面广，监管难度大，基层专业技术人员老龄化且缺编严重，建议提高间接费用，用于增加监理费支出。</w:t>
      </w:r>
    </w:p>
    <w:p w14:paraId="149092E3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</w:rPr>
        <w:t>2.由于农村劳动力逐年减少，造林劳务工资逐年增加，因此造成部分业主（林农）造林积级性不高，建议提高造林绿化补助标准。</w:t>
      </w:r>
    </w:p>
    <w:p w14:paraId="12CECE93">
      <w:pPr>
        <w:pStyle w:val="4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</w:rPr>
        <w:t>3.由于大部分生态公益林、油茶种植成本高，导致可种植油茶林地少，油茶种植低产低效。建议大良种推广、降低种植成本、提高技术、加大扶持力度、扩大扶持面，保护和调动油茶生产的积极性。</w:t>
      </w:r>
    </w:p>
    <w:p w14:paraId="485980DF">
      <w:pPr>
        <w:numPr>
          <w:ilvl w:val="0"/>
          <w:numId w:val="0"/>
        </w:numPr>
        <w:ind w:leftChars="200"/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六、</w:t>
      </w:r>
      <w:r>
        <w:rPr>
          <w:rFonts w:hint="eastAsia" w:ascii="黑体" w:hAnsi="黑体" w:eastAsia="黑体" w:cs="黑体"/>
          <w:sz w:val="32"/>
          <w:szCs w:val="32"/>
        </w:rPr>
        <w:t>其他需要说明的问题</w:t>
      </w:r>
    </w:p>
    <w:p w14:paraId="33309C11">
      <w:pPr>
        <w:numPr>
          <w:ilvl w:val="0"/>
          <w:numId w:val="0"/>
        </w:numPr>
        <w:ind w:firstLine="1280" w:firstLineChars="40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无</w:t>
      </w:r>
    </w:p>
    <w:p w14:paraId="77E50BE6">
      <w:pPr>
        <w:numPr>
          <w:ilvl w:val="0"/>
          <w:numId w:val="0"/>
        </w:numPr>
        <w:ind w:leftChars="200"/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</w:p>
    <w:p w14:paraId="3B37F595">
      <w:pPr>
        <w:widowControl w:val="0"/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2025年度国土绿化专项资金绩效自评表</w:t>
      </w:r>
    </w:p>
    <w:p w14:paraId="6928D22F">
      <w:pPr>
        <w:numPr>
          <w:ilvl w:val="0"/>
          <w:numId w:val="0"/>
        </w:numPr>
        <w:ind w:left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</w:t>
      </w:r>
    </w:p>
    <w:p w14:paraId="4FDE21D3">
      <w:pPr>
        <w:numPr>
          <w:ilvl w:val="0"/>
          <w:numId w:val="0"/>
        </w:numPr>
        <w:ind w:leftChars="200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728C3E">
      <w:pPr>
        <w:numPr>
          <w:ilvl w:val="0"/>
          <w:numId w:val="0"/>
        </w:numPr>
        <w:ind w:leftChars="200" w:firstLine="320" w:firstLineChars="100"/>
        <w:jc w:val="center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长汀县林业局</w:t>
      </w:r>
    </w:p>
    <w:p w14:paraId="42CE18AF">
      <w:pPr>
        <w:numPr>
          <w:ilvl w:val="0"/>
          <w:numId w:val="0"/>
        </w:numPr>
        <w:ind w:leftChars="200" w:firstLine="5120" w:firstLineChars="16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2026年3月12日</w:t>
      </w:r>
    </w:p>
    <w:p w14:paraId="43DA861B">
      <w:pPr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41DA5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A5947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A5947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51B71E"/>
    <w:multiLevelType w:val="singleLevel"/>
    <w:tmpl w:val="9B51B71E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7A31ADE"/>
    <w:multiLevelType w:val="singleLevel"/>
    <w:tmpl w:val="A7A31AD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D0744BAD"/>
    <w:multiLevelType w:val="singleLevel"/>
    <w:tmpl w:val="D0744BAD"/>
    <w:lvl w:ilvl="0" w:tentative="0">
      <w:start w:val="5"/>
      <w:numFmt w:val="chineseCounting"/>
      <w:suff w:val="nothing"/>
      <w:lvlText w:val="（%1）"/>
      <w:lvlJc w:val="left"/>
      <w:rPr>
        <w:rFonts w:hint="eastAsia"/>
      </w:rPr>
    </w:lvl>
  </w:abstractNum>
  <w:abstractNum w:abstractNumId="3">
    <w:nsid w:val="D27ADD17"/>
    <w:multiLevelType w:val="singleLevel"/>
    <w:tmpl w:val="D27ADD1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F9D2622D"/>
    <w:multiLevelType w:val="singleLevel"/>
    <w:tmpl w:val="F9D2622D"/>
    <w:lvl w:ilvl="0" w:tentative="0">
      <w:start w:val="1"/>
      <w:numFmt w:val="chineseCounting"/>
      <w:lvlText w:val="(%1)"/>
      <w:lvlJc w:val="left"/>
      <w:pPr>
        <w:tabs>
          <w:tab w:val="left" w:pos="312"/>
        </w:tabs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abstractNum w:abstractNumId="5">
    <w:nsid w:val="15ADB795"/>
    <w:multiLevelType w:val="singleLevel"/>
    <w:tmpl w:val="15ADB79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1DAA8D75"/>
    <w:multiLevelType w:val="singleLevel"/>
    <w:tmpl w:val="1DAA8D75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 w:ascii="楷体_GB2312" w:hAnsi="楷体_GB2312" w:eastAsia="楷体_GB2312" w:cs="楷体_GB2312"/>
        <w:b/>
        <w:bCs/>
        <w:sz w:val="32"/>
        <w:szCs w:val="32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bordersDoNotSurroundHeader w:val="0"/>
  <w:bordersDoNotSurroundFooter w:val="0"/>
  <w:documentProtection w:enforcement="0"/>
  <w:displayHorizontalDrawingGridEvery w:val="1"/>
  <w:displayVerticalDrawingGridEvery w:val="1"/>
  <w:noPunctuationKerning w:val="1"/>
  <w:hdrShapeDefaults>
    <o:shapelayout v:ext="edit">
      <o:idmap v:ext="edit" data="3,4"/>
    </o:shapelayout>
  </w:hdrShapeDefaults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5574E"/>
    <w:rsid w:val="00610597"/>
    <w:rsid w:val="006D6F3B"/>
    <w:rsid w:val="007929B6"/>
    <w:rsid w:val="00832E56"/>
    <w:rsid w:val="009D2992"/>
    <w:rsid w:val="00DE7F18"/>
    <w:rsid w:val="01081A6B"/>
    <w:rsid w:val="01351FFB"/>
    <w:rsid w:val="01522154"/>
    <w:rsid w:val="0171642A"/>
    <w:rsid w:val="01FF4B87"/>
    <w:rsid w:val="02070CCA"/>
    <w:rsid w:val="028E3199"/>
    <w:rsid w:val="02B1388C"/>
    <w:rsid w:val="02DC3F04"/>
    <w:rsid w:val="03076C87"/>
    <w:rsid w:val="032651B2"/>
    <w:rsid w:val="03521D34"/>
    <w:rsid w:val="039447DF"/>
    <w:rsid w:val="03E868D9"/>
    <w:rsid w:val="042D7CCA"/>
    <w:rsid w:val="048760F2"/>
    <w:rsid w:val="04981EF4"/>
    <w:rsid w:val="04AF7E5C"/>
    <w:rsid w:val="04EA23F1"/>
    <w:rsid w:val="050339CA"/>
    <w:rsid w:val="05F47083"/>
    <w:rsid w:val="06BC1E91"/>
    <w:rsid w:val="074854A1"/>
    <w:rsid w:val="07632FDA"/>
    <w:rsid w:val="07C80EFB"/>
    <w:rsid w:val="080041F1"/>
    <w:rsid w:val="080369AF"/>
    <w:rsid w:val="084F3D84"/>
    <w:rsid w:val="08636744"/>
    <w:rsid w:val="08F70FEF"/>
    <w:rsid w:val="092B34F0"/>
    <w:rsid w:val="094B5940"/>
    <w:rsid w:val="09654B91"/>
    <w:rsid w:val="099C061B"/>
    <w:rsid w:val="0AB6302C"/>
    <w:rsid w:val="0B310B66"/>
    <w:rsid w:val="0BF40409"/>
    <w:rsid w:val="0C740EF7"/>
    <w:rsid w:val="0C8D37C2"/>
    <w:rsid w:val="0D624EF2"/>
    <w:rsid w:val="0D674D12"/>
    <w:rsid w:val="0D687620"/>
    <w:rsid w:val="0DBB014E"/>
    <w:rsid w:val="0DED16BC"/>
    <w:rsid w:val="0E075464"/>
    <w:rsid w:val="0ED25165"/>
    <w:rsid w:val="0EDE2DB2"/>
    <w:rsid w:val="0F063240"/>
    <w:rsid w:val="0F587009"/>
    <w:rsid w:val="0F704352"/>
    <w:rsid w:val="0F7C3958"/>
    <w:rsid w:val="101B77EC"/>
    <w:rsid w:val="1022071F"/>
    <w:rsid w:val="104F21BA"/>
    <w:rsid w:val="106B45D8"/>
    <w:rsid w:val="109E3995"/>
    <w:rsid w:val="10E25A61"/>
    <w:rsid w:val="12647A72"/>
    <w:rsid w:val="12E36BE9"/>
    <w:rsid w:val="1352573F"/>
    <w:rsid w:val="141379A2"/>
    <w:rsid w:val="14157276"/>
    <w:rsid w:val="142E20E6"/>
    <w:rsid w:val="14C8078D"/>
    <w:rsid w:val="1585042C"/>
    <w:rsid w:val="15947161"/>
    <w:rsid w:val="15C01464"/>
    <w:rsid w:val="15CF0ADB"/>
    <w:rsid w:val="162825AA"/>
    <w:rsid w:val="1672275E"/>
    <w:rsid w:val="16EA7049"/>
    <w:rsid w:val="17345C65"/>
    <w:rsid w:val="17430721"/>
    <w:rsid w:val="174560C4"/>
    <w:rsid w:val="17514A69"/>
    <w:rsid w:val="17AB4732"/>
    <w:rsid w:val="17D172BB"/>
    <w:rsid w:val="17D74C3C"/>
    <w:rsid w:val="18292C10"/>
    <w:rsid w:val="183F48C2"/>
    <w:rsid w:val="19566367"/>
    <w:rsid w:val="196565AA"/>
    <w:rsid w:val="196D70E4"/>
    <w:rsid w:val="19BB18FE"/>
    <w:rsid w:val="19DB686C"/>
    <w:rsid w:val="1AC27A2C"/>
    <w:rsid w:val="1B100797"/>
    <w:rsid w:val="1BD9502D"/>
    <w:rsid w:val="1BED0AD9"/>
    <w:rsid w:val="1C0E117B"/>
    <w:rsid w:val="1C1F3FB1"/>
    <w:rsid w:val="1C627607"/>
    <w:rsid w:val="1CDE2D80"/>
    <w:rsid w:val="1CF3211F"/>
    <w:rsid w:val="1D43101F"/>
    <w:rsid w:val="1D7158E5"/>
    <w:rsid w:val="1D8315F9"/>
    <w:rsid w:val="1D842C96"/>
    <w:rsid w:val="1DA177DE"/>
    <w:rsid w:val="1DF92D37"/>
    <w:rsid w:val="1E15048B"/>
    <w:rsid w:val="1E517AE3"/>
    <w:rsid w:val="1E667A26"/>
    <w:rsid w:val="1E674B72"/>
    <w:rsid w:val="1E7C04CA"/>
    <w:rsid w:val="1F3142C6"/>
    <w:rsid w:val="1F3C1442"/>
    <w:rsid w:val="1F5D46AB"/>
    <w:rsid w:val="1F69532E"/>
    <w:rsid w:val="1FD5105A"/>
    <w:rsid w:val="204A02A8"/>
    <w:rsid w:val="20EE5043"/>
    <w:rsid w:val="21155C47"/>
    <w:rsid w:val="21634839"/>
    <w:rsid w:val="23007343"/>
    <w:rsid w:val="23812232"/>
    <w:rsid w:val="23A078EA"/>
    <w:rsid w:val="23A73351"/>
    <w:rsid w:val="23C30EBF"/>
    <w:rsid w:val="243702FB"/>
    <w:rsid w:val="24541BC4"/>
    <w:rsid w:val="24950626"/>
    <w:rsid w:val="24DB6AC6"/>
    <w:rsid w:val="24E9574A"/>
    <w:rsid w:val="25E205AA"/>
    <w:rsid w:val="263A2B6C"/>
    <w:rsid w:val="26616526"/>
    <w:rsid w:val="26F7280B"/>
    <w:rsid w:val="27D11497"/>
    <w:rsid w:val="297B7D25"/>
    <w:rsid w:val="297D29B4"/>
    <w:rsid w:val="29A46C7B"/>
    <w:rsid w:val="29E259F5"/>
    <w:rsid w:val="2A094D30"/>
    <w:rsid w:val="2A250C97"/>
    <w:rsid w:val="2A27165A"/>
    <w:rsid w:val="2A331DAD"/>
    <w:rsid w:val="2AF327FA"/>
    <w:rsid w:val="2B0015A1"/>
    <w:rsid w:val="2B0663E5"/>
    <w:rsid w:val="2B601167"/>
    <w:rsid w:val="2B6C1A1A"/>
    <w:rsid w:val="2BBB3785"/>
    <w:rsid w:val="2BBD61A9"/>
    <w:rsid w:val="2C0C0B07"/>
    <w:rsid w:val="2C0F63DD"/>
    <w:rsid w:val="2C2C2A59"/>
    <w:rsid w:val="2C823249"/>
    <w:rsid w:val="2CC969F8"/>
    <w:rsid w:val="2D005BB8"/>
    <w:rsid w:val="2D19172E"/>
    <w:rsid w:val="2D5702D7"/>
    <w:rsid w:val="2DEB44AB"/>
    <w:rsid w:val="2DED6716"/>
    <w:rsid w:val="2E574249"/>
    <w:rsid w:val="2E6764C9"/>
    <w:rsid w:val="2EA80FBB"/>
    <w:rsid w:val="2EAC6DF3"/>
    <w:rsid w:val="2F712CBD"/>
    <w:rsid w:val="2FF85130"/>
    <w:rsid w:val="30302C72"/>
    <w:rsid w:val="30322BD5"/>
    <w:rsid w:val="307D1FD3"/>
    <w:rsid w:val="30B359F5"/>
    <w:rsid w:val="30D54A9A"/>
    <w:rsid w:val="30EC5EE8"/>
    <w:rsid w:val="31295CB7"/>
    <w:rsid w:val="31513245"/>
    <w:rsid w:val="317451C3"/>
    <w:rsid w:val="31B77767"/>
    <w:rsid w:val="31D5295C"/>
    <w:rsid w:val="32812D59"/>
    <w:rsid w:val="32A63A63"/>
    <w:rsid w:val="33182487"/>
    <w:rsid w:val="33A51F6D"/>
    <w:rsid w:val="343B01DB"/>
    <w:rsid w:val="344277BC"/>
    <w:rsid w:val="34BC6D98"/>
    <w:rsid w:val="34C40235"/>
    <w:rsid w:val="34EF3AFD"/>
    <w:rsid w:val="35BD0BEA"/>
    <w:rsid w:val="36470388"/>
    <w:rsid w:val="37BA58BB"/>
    <w:rsid w:val="37D56B99"/>
    <w:rsid w:val="37DE7253"/>
    <w:rsid w:val="38223191"/>
    <w:rsid w:val="385F7432"/>
    <w:rsid w:val="386046B4"/>
    <w:rsid w:val="38751915"/>
    <w:rsid w:val="38A071A7"/>
    <w:rsid w:val="392C18D5"/>
    <w:rsid w:val="39504CED"/>
    <w:rsid w:val="395660FE"/>
    <w:rsid w:val="39F252A2"/>
    <w:rsid w:val="3A2515BE"/>
    <w:rsid w:val="3A3D40D8"/>
    <w:rsid w:val="3AEC0481"/>
    <w:rsid w:val="3B706BA9"/>
    <w:rsid w:val="3BCC3E0F"/>
    <w:rsid w:val="3BFD046C"/>
    <w:rsid w:val="3C705017"/>
    <w:rsid w:val="3D3642B1"/>
    <w:rsid w:val="3D7B5E95"/>
    <w:rsid w:val="3DB334D8"/>
    <w:rsid w:val="3DBB0773"/>
    <w:rsid w:val="3DBB4FCA"/>
    <w:rsid w:val="3DE74F30"/>
    <w:rsid w:val="3EA65E44"/>
    <w:rsid w:val="3EF80539"/>
    <w:rsid w:val="3F4C7741"/>
    <w:rsid w:val="3F884C3E"/>
    <w:rsid w:val="40424154"/>
    <w:rsid w:val="40792F91"/>
    <w:rsid w:val="40AA1380"/>
    <w:rsid w:val="425228BE"/>
    <w:rsid w:val="426C0658"/>
    <w:rsid w:val="427E3874"/>
    <w:rsid w:val="42DB5A94"/>
    <w:rsid w:val="43365054"/>
    <w:rsid w:val="434A21E9"/>
    <w:rsid w:val="441822E7"/>
    <w:rsid w:val="441A3D6D"/>
    <w:rsid w:val="44445165"/>
    <w:rsid w:val="45016DE0"/>
    <w:rsid w:val="45E45D4C"/>
    <w:rsid w:val="46C03243"/>
    <w:rsid w:val="46F030A7"/>
    <w:rsid w:val="47E54222"/>
    <w:rsid w:val="483F1305"/>
    <w:rsid w:val="488C5052"/>
    <w:rsid w:val="489F6B33"/>
    <w:rsid w:val="493454F3"/>
    <w:rsid w:val="494A1F24"/>
    <w:rsid w:val="495F6A01"/>
    <w:rsid w:val="49E05655"/>
    <w:rsid w:val="4A123335"/>
    <w:rsid w:val="4A765644"/>
    <w:rsid w:val="4A7A7431"/>
    <w:rsid w:val="4A8C5270"/>
    <w:rsid w:val="4ABC3110"/>
    <w:rsid w:val="4AD3553A"/>
    <w:rsid w:val="4B245A16"/>
    <w:rsid w:val="4B737D2A"/>
    <w:rsid w:val="4BEB6533"/>
    <w:rsid w:val="4C794B15"/>
    <w:rsid w:val="4C847C9F"/>
    <w:rsid w:val="4D0B7D37"/>
    <w:rsid w:val="4D3B4BAE"/>
    <w:rsid w:val="4DC70DA7"/>
    <w:rsid w:val="4DE129EA"/>
    <w:rsid w:val="4E487C6D"/>
    <w:rsid w:val="4E7E71EB"/>
    <w:rsid w:val="4EA372A4"/>
    <w:rsid w:val="4EC217CD"/>
    <w:rsid w:val="4F5062E7"/>
    <w:rsid w:val="4F8330B3"/>
    <w:rsid w:val="4F9F1B0F"/>
    <w:rsid w:val="4FD45A9B"/>
    <w:rsid w:val="4FD60CDC"/>
    <w:rsid w:val="504F0E3F"/>
    <w:rsid w:val="50BB2978"/>
    <w:rsid w:val="510065DD"/>
    <w:rsid w:val="51322B94"/>
    <w:rsid w:val="520F7023"/>
    <w:rsid w:val="52B95F03"/>
    <w:rsid w:val="52BA2D4E"/>
    <w:rsid w:val="530E102D"/>
    <w:rsid w:val="53BD416B"/>
    <w:rsid w:val="53CF4F7B"/>
    <w:rsid w:val="53FB620A"/>
    <w:rsid w:val="54191267"/>
    <w:rsid w:val="54980245"/>
    <w:rsid w:val="54A65668"/>
    <w:rsid w:val="550F5041"/>
    <w:rsid w:val="55197C6D"/>
    <w:rsid w:val="551D08BA"/>
    <w:rsid w:val="57A001D2"/>
    <w:rsid w:val="57A852D8"/>
    <w:rsid w:val="57FA5BB7"/>
    <w:rsid w:val="58162C97"/>
    <w:rsid w:val="58755059"/>
    <w:rsid w:val="598F04FE"/>
    <w:rsid w:val="598F34DA"/>
    <w:rsid w:val="5A1B1E56"/>
    <w:rsid w:val="5A2941DA"/>
    <w:rsid w:val="5A667D2E"/>
    <w:rsid w:val="5A84202D"/>
    <w:rsid w:val="5ADC59C5"/>
    <w:rsid w:val="5BBB7CD0"/>
    <w:rsid w:val="5BC528FD"/>
    <w:rsid w:val="5BFB086D"/>
    <w:rsid w:val="5C2430E7"/>
    <w:rsid w:val="5C942C5B"/>
    <w:rsid w:val="5DD551F9"/>
    <w:rsid w:val="5DF65BC1"/>
    <w:rsid w:val="5E1B4A56"/>
    <w:rsid w:val="5E60690D"/>
    <w:rsid w:val="5E623D6D"/>
    <w:rsid w:val="5E945A89"/>
    <w:rsid w:val="5E9776F7"/>
    <w:rsid w:val="5F132D32"/>
    <w:rsid w:val="5F426012"/>
    <w:rsid w:val="5F510A83"/>
    <w:rsid w:val="60634F14"/>
    <w:rsid w:val="60AC0C3F"/>
    <w:rsid w:val="61AA1BED"/>
    <w:rsid w:val="62344338"/>
    <w:rsid w:val="62AB25CB"/>
    <w:rsid w:val="62CE34A2"/>
    <w:rsid w:val="62D32C33"/>
    <w:rsid w:val="63922C15"/>
    <w:rsid w:val="63EB6C79"/>
    <w:rsid w:val="649A1543"/>
    <w:rsid w:val="64B50B01"/>
    <w:rsid w:val="64EA0D87"/>
    <w:rsid w:val="650269B8"/>
    <w:rsid w:val="659425E4"/>
    <w:rsid w:val="67467DFA"/>
    <w:rsid w:val="677D0530"/>
    <w:rsid w:val="67931B01"/>
    <w:rsid w:val="67A25284"/>
    <w:rsid w:val="67EA11B6"/>
    <w:rsid w:val="68393307"/>
    <w:rsid w:val="684C38D8"/>
    <w:rsid w:val="68E32613"/>
    <w:rsid w:val="68F5395E"/>
    <w:rsid w:val="69125241"/>
    <w:rsid w:val="693E3CEF"/>
    <w:rsid w:val="69B0088C"/>
    <w:rsid w:val="69C40A70"/>
    <w:rsid w:val="69E83787"/>
    <w:rsid w:val="69F40656"/>
    <w:rsid w:val="6A116A4E"/>
    <w:rsid w:val="6ADA17F5"/>
    <w:rsid w:val="6B680BAF"/>
    <w:rsid w:val="6BAA11C7"/>
    <w:rsid w:val="6BF0774B"/>
    <w:rsid w:val="6C0528A2"/>
    <w:rsid w:val="6C4038DA"/>
    <w:rsid w:val="6D2A0812"/>
    <w:rsid w:val="6D460042"/>
    <w:rsid w:val="6D54763D"/>
    <w:rsid w:val="6D5B7F27"/>
    <w:rsid w:val="6D813E48"/>
    <w:rsid w:val="6D9467CD"/>
    <w:rsid w:val="6DA02882"/>
    <w:rsid w:val="6E2E7E8E"/>
    <w:rsid w:val="6E492F1A"/>
    <w:rsid w:val="6E865F1C"/>
    <w:rsid w:val="6EA04E57"/>
    <w:rsid w:val="6EE3511C"/>
    <w:rsid w:val="6EED3736"/>
    <w:rsid w:val="6F514CD4"/>
    <w:rsid w:val="70390D6C"/>
    <w:rsid w:val="703B321A"/>
    <w:rsid w:val="706775CB"/>
    <w:rsid w:val="70C458E7"/>
    <w:rsid w:val="71973F9C"/>
    <w:rsid w:val="724D397D"/>
    <w:rsid w:val="72B50B7E"/>
    <w:rsid w:val="72B50FDB"/>
    <w:rsid w:val="73376977"/>
    <w:rsid w:val="739F20CB"/>
    <w:rsid w:val="745A5E80"/>
    <w:rsid w:val="753446A4"/>
    <w:rsid w:val="76632139"/>
    <w:rsid w:val="77351B2B"/>
    <w:rsid w:val="773C4553"/>
    <w:rsid w:val="77424653"/>
    <w:rsid w:val="776F2791"/>
    <w:rsid w:val="782B3690"/>
    <w:rsid w:val="78395DAD"/>
    <w:rsid w:val="787A788A"/>
    <w:rsid w:val="793C1A80"/>
    <w:rsid w:val="7944186C"/>
    <w:rsid w:val="7B166498"/>
    <w:rsid w:val="7B342E76"/>
    <w:rsid w:val="7B807019"/>
    <w:rsid w:val="7BA9149B"/>
    <w:rsid w:val="7BE15075"/>
    <w:rsid w:val="7C0B4731"/>
    <w:rsid w:val="7CFA4992"/>
    <w:rsid w:val="7D4E22FA"/>
    <w:rsid w:val="7D7D2CD0"/>
    <w:rsid w:val="7E144D2B"/>
    <w:rsid w:val="7E400677"/>
    <w:rsid w:val="7E785490"/>
    <w:rsid w:val="7ECB1729"/>
    <w:rsid w:val="7F233313"/>
    <w:rsid w:val="7F48296E"/>
    <w:rsid w:val="7F4C2BE4"/>
    <w:rsid w:val="7F5F151F"/>
    <w:rsid w:val="7FAB3A34"/>
    <w:rsid w:val="7FB80C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nhideWhenUsed/>
    <w:qFormat/>
    <w:uiPriority w:val="99"/>
    <w:rPr>
      <w:rFonts w:ascii="宋体" w:hAnsi="Courier New" w:eastAsia="宋体"/>
      <w:sz w:val="21"/>
      <w:szCs w:val="21"/>
    </w:rPr>
  </w:style>
  <w:style w:type="paragraph" w:styleId="3">
    <w:name w:val="endnote text"/>
    <w:basedOn w:val="1"/>
    <w:semiHidden/>
    <w:qFormat/>
    <w:uiPriority w:val="0"/>
    <w:pPr>
      <w:snapToGrid w:val="0"/>
      <w:jc w:val="left"/>
    </w:pPr>
  </w:style>
  <w:style w:type="paragraph" w:styleId="4">
    <w:name w:val="Balloon Text"/>
    <w:basedOn w:val="1"/>
    <w:next w:val="3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11">
    <w:name w:val="font41"/>
    <w:basedOn w:val="9"/>
    <w:qFormat/>
    <w:uiPriority w:val="0"/>
    <w:rPr>
      <w:rFonts w:ascii="Arial" w:hAnsi="Arial" w:cs="Arial"/>
      <w:color w:val="FF0000"/>
      <w:sz w:val="18"/>
      <w:szCs w:val="18"/>
      <w:u w:val="none"/>
    </w:rPr>
  </w:style>
  <w:style w:type="character" w:customStyle="1" w:styleId="12">
    <w:name w:val="font71"/>
    <w:basedOn w:val="9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2929</Words>
  <Characters>3087</Characters>
  <TotalTime>1</TotalTime>
  <ScaleCrop>false</ScaleCrop>
  <LinksUpToDate>false</LinksUpToDate>
  <CharactersWithSpaces>3214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2021-04-16T00:15:00Z</dcterms:created>
  <dc:creator>Apache POI</dc:creator>
  <cp:lastModifiedBy>渡过</cp:lastModifiedBy>
  <cp:lastPrinted>2023-03-20T02:02:00Z</cp:lastPrinted>
  <dcterms:modified xsi:type="dcterms:W3CDTF">2026-04-17T00:24:56Z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086AAB7958FB4A26AFF3E744F56C1267_13</vt:lpwstr>
  </property>
  <property fmtid="{D5CDD505-2E9C-101B-9397-08002B2CF9AE}" pid="4" name="KSOTemplateDocerSaveRecord">
    <vt:lpwstr>eyJoZGlkIjoiN2MyYTgwZDEzZmM2Y2U4ZDhhNmVhOTRjMWI3MjRlZGMifQ==</vt:lpwstr>
  </property>
</Properties>
</file>