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A0847">
      <w:pPr>
        <w:jc w:val="center"/>
        <w:rPr>
          <w:rFonts w:hint="eastAsia" w:ascii="方正小标宋简体" w:hAnsi="方正小标宋简体" w:eastAsia="方正小标宋简体" w:cs="方正小标宋简体"/>
          <w:sz w:val="40"/>
          <w:szCs w:val="40"/>
        </w:rPr>
      </w:pPr>
      <w:bookmarkStart w:id="0" w:name="_GoBack"/>
      <w:bookmarkEnd w:id="0"/>
      <w:r>
        <w:rPr>
          <w:rFonts w:hint="eastAsia" w:ascii="方正小标宋简体" w:hAnsi="方正小标宋简体" w:eastAsia="方正小标宋简体" w:cs="方正小标宋简体"/>
          <w:sz w:val="40"/>
          <w:szCs w:val="40"/>
          <w:lang w:eastAsia="zh-CN"/>
        </w:rPr>
        <w:t>长汀县</w:t>
      </w:r>
      <w:r>
        <w:rPr>
          <w:rFonts w:hint="eastAsia" w:ascii="方正小标宋简体" w:hAnsi="方正小标宋简体" w:eastAsia="方正小标宋简体" w:cs="方正小标宋简体"/>
          <w:sz w:val="40"/>
          <w:szCs w:val="40"/>
        </w:rPr>
        <w:t>202</w:t>
      </w:r>
      <w:r>
        <w:rPr>
          <w:rFonts w:hint="eastAsia" w:ascii="方正小标宋简体" w:hAnsi="方正小标宋简体" w:eastAsia="方正小标宋简体" w:cs="方正小标宋简体"/>
          <w:sz w:val="40"/>
          <w:szCs w:val="40"/>
          <w:lang w:val="en-US" w:eastAsia="zh-CN"/>
        </w:rPr>
        <w:t>5</w:t>
      </w:r>
      <w:r>
        <w:rPr>
          <w:rFonts w:hint="eastAsia" w:ascii="方正小标宋简体" w:hAnsi="方正小标宋简体" w:eastAsia="方正小标宋简体" w:cs="方正小标宋简体"/>
          <w:sz w:val="40"/>
          <w:szCs w:val="40"/>
        </w:rPr>
        <w:t>年</w:t>
      </w:r>
      <w:r>
        <w:rPr>
          <w:rFonts w:hint="eastAsia" w:ascii="方正小标宋简体" w:hAnsi="方正小标宋简体" w:eastAsia="方正小标宋简体" w:cs="方正小标宋简体"/>
          <w:sz w:val="40"/>
          <w:szCs w:val="40"/>
          <w:lang w:eastAsia="zh-CN"/>
        </w:rPr>
        <w:t>度林业生态补偿</w:t>
      </w:r>
      <w:r>
        <w:rPr>
          <w:rFonts w:hint="eastAsia" w:ascii="方正小标宋简体" w:hAnsi="方正小标宋简体" w:eastAsia="方正小标宋简体" w:cs="方正小标宋简体"/>
          <w:sz w:val="40"/>
          <w:szCs w:val="40"/>
        </w:rPr>
        <w:t>专项资金</w:t>
      </w:r>
    </w:p>
    <w:p w14:paraId="7616FDF3">
      <w:pPr>
        <w:jc w:val="center"/>
        <w:rPr>
          <w:rFonts w:hint="eastAsia" w:ascii="方正小标宋简体" w:hAnsi="方正小标宋简体" w:eastAsia="方正小标宋简体" w:cs="方正小标宋简体"/>
          <w:sz w:val="40"/>
          <w:szCs w:val="40"/>
          <w:lang w:eastAsia="zh-CN"/>
        </w:rPr>
      </w:pPr>
      <w:r>
        <w:rPr>
          <w:rFonts w:hint="eastAsia" w:ascii="方正小标宋简体" w:hAnsi="方正小标宋简体" w:eastAsia="方正小标宋简体" w:cs="方正小标宋简体"/>
          <w:sz w:val="40"/>
          <w:szCs w:val="40"/>
        </w:rPr>
        <w:t>绩效</w:t>
      </w:r>
      <w:r>
        <w:rPr>
          <w:rFonts w:hint="eastAsia" w:ascii="方正小标宋简体" w:hAnsi="方正小标宋简体" w:eastAsia="方正小标宋简体" w:cs="方正小标宋简体"/>
          <w:sz w:val="40"/>
          <w:szCs w:val="40"/>
          <w:lang w:eastAsia="zh-CN"/>
        </w:rPr>
        <w:t>自评</w:t>
      </w:r>
      <w:r>
        <w:rPr>
          <w:rFonts w:hint="eastAsia" w:ascii="方正小标宋简体" w:hAnsi="方正小标宋简体" w:eastAsia="方正小标宋简体" w:cs="方正小标宋简体"/>
          <w:sz w:val="40"/>
          <w:szCs w:val="40"/>
        </w:rPr>
        <w:t>报告</w:t>
      </w:r>
    </w:p>
    <w:p w14:paraId="24D40535">
      <w:pPr>
        <w:jc w:val="left"/>
        <w:rPr>
          <w:rFonts w:hint="eastAsia" w:ascii="黑体" w:hAnsi="黑体" w:eastAsia="黑体" w:cs="黑体"/>
          <w:sz w:val="32"/>
          <w:szCs w:val="32"/>
        </w:rPr>
      </w:pPr>
      <w:r>
        <w:rPr>
          <w:rFonts w:hint="eastAsia" w:ascii="黑体" w:hAnsi="黑体" w:eastAsia="黑体" w:cs="黑体"/>
          <w:sz w:val="32"/>
          <w:szCs w:val="32"/>
        </w:rPr>
        <w:t>一、基本情况</w:t>
      </w:r>
    </w:p>
    <w:p w14:paraId="7D694064">
      <w:pPr>
        <w:ind w:left="0" w:leftChars="0" w:firstLine="643"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(一)项目概况</w:t>
      </w:r>
    </w:p>
    <w:p w14:paraId="06515ACA">
      <w:pPr>
        <w:ind w:left="0" w:leftChars="0" w:firstLine="643"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项目背景</w:t>
      </w:r>
      <w:r>
        <w:rPr>
          <w:rFonts w:hint="eastAsia" w:ascii="仿宋_GB2312" w:hAnsi="仿宋_GB2312" w:eastAsia="仿宋_GB2312" w:cs="仿宋_GB2312"/>
          <w:b/>
          <w:bCs/>
          <w:sz w:val="32"/>
          <w:szCs w:val="32"/>
          <w:lang w:eastAsia="zh-CN"/>
        </w:rPr>
        <w:t>。</w:t>
      </w:r>
      <w:r>
        <w:rPr>
          <w:rFonts w:hint="eastAsia" w:ascii="仿宋_GB2312" w:eastAsia="仿宋_GB2312"/>
          <w:color w:val="auto"/>
          <w:sz w:val="32"/>
          <w:szCs w:val="32"/>
        </w:rPr>
        <w:t>全面保护</w:t>
      </w:r>
      <w:r>
        <w:rPr>
          <w:rFonts w:hint="eastAsia" w:ascii="仿宋_GB2312" w:hAnsi="仿宋_GB2312" w:eastAsia="仿宋_GB2312" w:cs="仿宋_GB2312"/>
          <w:sz w:val="32"/>
          <w:szCs w:val="32"/>
          <w:lang w:eastAsia="zh-CN"/>
        </w:rPr>
        <w:t>森林资源</w:t>
      </w:r>
      <w:r>
        <w:rPr>
          <w:rFonts w:hint="eastAsia" w:ascii="仿宋_GB2312" w:hAnsi="仿宋_GB2312" w:eastAsia="仿宋_GB2312" w:cs="仿宋_GB2312"/>
          <w:sz w:val="32"/>
          <w:szCs w:val="32"/>
          <w:lang w:val="en-US" w:eastAsia="zh-CN"/>
        </w:rPr>
        <w:t>,</w:t>
      </w:r>
      <w:r>
        <w:rPr>
          <w:rFonts w:hint="eastAsia" w:ascii="仿宋_GB2312" w:eastAsia="仿宋_GB2312"/>
          <w:color w:val="auto"/>
          <w:sz w:val="32"/>
          <w:szCs w:val="32"/>
        </w:rPr>
        <w:t>生物资源和自然环境，采取有效措施和先进手段，逐步恢复、发展和稳定野生动植物物种及其生态环境。正确处理资源保护与经济发展关系，妥善处理保护区发展与居民生产生活的关系</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促进人与自然协调发展，使保护对象得到有效保护，</w:t>
      </w:r>
      <w:r>
        <w:rPr>
          <w:rFonts w:hint="eastAsia" w:ascii="仿宋_GB2312" w:hAnsi="仿宋_GB2312" w:eastAsia="仿宋_GB2312" w:cs="仿宋_GB2312"/>
          <w:sz w:val="32"/>
          <w:szCs w:val="32"/>
          <w:lang w:eastAsia="zh-CN"/>
        </w:rPr>
        <w:t>我县实施了森林生态效益补偿、省级以上自然保护区林权所有者补偿项目。</w:t>
      </w:r>
    </w:p>
    <w:p w14:paraId="55D733FE">
      <w:pPr>
        <w:ind w:left="0" w:leftChars="0"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主要内容及实施情况。</w:t>
      </w:r>
      <w:r>
        <w:rPr>
          <w:rFonts w:hint="eastAsia" w:ascii="仿宋_GB2312" w:eastAsia="仿宋_GB2312" w:cs="Times New Roman"/>
          <w:color w:val="auto"/>
          <w:kern w:val="0"/>
          <w:sz w:val="32"/>
          <w:szCs w:val="32"/>
          <w:lang w:eastAsia="zh-CN"/>
        </w:rPr>
        <w:t>对</w:t>
      </w:r>
      <w:r>
        <w:rPr>
          <w:rFonts w:hint="eastAsia" w:ascii="仿宋_GB2312" w:hAnsi="仿宋_GB2312" w:eastAsia="仿宋_GB2312" w:cs="仿宋_GB2312"/>
          <w:sz w:val="32"/>
          <w:szCs w:val="32"/>
          <w:lang w:eastAsia="zh-CN"/>
        </w:rPr>
        <w:t>全县生态林和</w:t>
      </w:r>
      <w:r>
        <w:rPr>
          <w:rFonts w:hint="eastAsia" w:ascii="仿宋_GB2312" w:eastAsia="仿宋_GB2312" w:cs="Times New Roman"/>
          <w:color w:val="auto"/>
          <w:kern w:val="0"/>
          <w:sz w:val="32"/>
          <w:szCs w:val="32"/>
          <w:lang w:eastAsia="zh-CN"/>
        </w:rPr>
        <w:t>汀江源国家级</w:t>
      </w:r>
      <w:r>
        <w:rPr>
          <w:rFonts w:hint="eastAsia" w:ascii="仿宋_GB2312" w:eastAsia="仿宋_GB2312"/>
          <w:color w:val="auto"/>
          <w:sz w:val="32"/>
          <w:szCs w:val="32"/>
        </w:rPr>
        <w:t>自然保护区</w:t>
      </w:r>
      <w:r>
        <w:rPr>
          <w:rFonts w:hint="eastAsia" w:ascii="仿宋_GB2312" w:eastAsia="仿宋_GB2312"/>
          <w:color w:val="auto"/>
          <w:sz w:val="32"/>
          <w:szCs w:val="32"/>
          <w:lang w:eastAsia="zh-CN"/>
        </w:rPr>
        <w:t>内的林权所有者按标准进行补偿</w:t>
      </w:r>
      <w:r>
        <w:rPr>
          <w:rFonts w:hint="eastAsia" w:ascii="仿宋_GB2312" w:hAnsi="仿宋_GB2312" w:eastAsia="仿宋_GB2312" w:cs="仿宋_GB2312"/>
          <w:sz w:val="32"/>
          <w:szCs w:val="32"/>
          <w:lang w:eastAsia="zh-CN"/>
        </w:rPr>
        <w:t>和管护</w:t>
      </w:r>
      <w:r>
        <w:rPr>
          <w:rFonts w:hint="eastAsia" w:ascii="仿宋_GB2312" w:eastAsia="仿宋_GB2312"/>
          <w:color w:val="auto"/>
          <w:sz w:val="32"/>
          <w:szCs w:val="32"/>
          <w:lang w:eastAsia="zh-CN"/>
        </w:rPr>
        <w:t>。</w:t>
      </w:r>
      <w:r>
        <w:rPr>
          <w:rFonts w:hint="eastAsia" w:ascii="仿宋_GB2312" w:eastAsia="仿宋_GB2312"/>
          <w:color w:val="auto"/>
          <w:sz w:val="32"/>
          <w:szCs w:val="32"/>
        </w:rPr>
        <w:t>严格按照项目资金管理办法，加强对项目资金的管理和使用，对项目资金实行单独建</w:t>
      </w:r>
      <w:r>
        <w:rPr>
          <w:rFonts w:hint="eastAsia" w:ascii="仿宋_GB2312" w:eastAsia="仿宋_GB2312"/>
          <w:color w:val="auto"/>
          <w:sz w:val="32"/>
          <w:szCs w:val="32"/>
          <w:lang w:eastAsia="zh-CN"/>
        </w:rPr>
        <w:t>账</w:t>
      </w:r>
      <w:r>
        <w:rPr>
          <w:rFonts w:hint="eastAsia" w:ascii="仿宋_GB2312" w:eastAsia="仿宋_GB2312"/>
          <w:color w:val="auto"/>
          <w:sz w:val="32"/>
          <w:szCs w:val="32"/>
        </w:rPr>
        <w:t>、单独核算、专款专用，</w:t>
      </w:r>
      <w:r>
        <w:rPr>
          <w:rFonts w:hint="eastAsia" w:ascii="仿宋_GB2312" w:eastAsia="仿宋_GB2312"/>
          <w:color w:val="auto"/>
          <w:spacing w:val="-8"/>
          <w:sz w:val="32"/>
          <w:szCs w:val="32"/>
        </w:rPr>
        <w:t>做到</w:t>
      </w:r>
      <w:r>
        <w:rPr>
          <w:rFonts w:hint="eastAsia" w:ascii="仿宋_GB2312" w:eastAsia="仿宋_GB2312"/>
          <w:color w:val="auto"/>
          <w:spacing w:val="-8"/>
          <w:sz w:val="32"/>
          <w:szCs w:val="32"/>
          <w:lang w:eastAsia="zh-CN"/>
        </w:rPr>
        <w:t>账</w:t>
      </w:r>
      <w:r>
        <w:rPr>
          <w:rFonts w:hint="eastAsia" w:ascii="仿宋_GB2312" w:eastAsia="仿宋_GB2312"/>
          <w:color w:val="auto"/>
          <w:spacing w:val="-8"/>
          <w:sz w:val="32"/>
          <w:szCs w:val="32"/>
        </w:rPr>
        <w:t>目清楚、原始凭据齐全。</w:t>
      </w:r>
      <w:r>
        <w:rPr>
          <w:rFonts w:hint="eastAsia" w:ascii="仿宋_GB2312" w:eastAsia="仿宋_GB2312"/>
          <w:color w:val="auto"/>
          <w:spacing w:val="-8"/>
          <w:sz w:val="32"/>
          <w:szCs w:val="32"/>
          <w:lang w:eastAsia="zh-CN"/>
        </w:rPr>
        <w:t>林农补助</w:t>
      </w:r>
      <w:r>
        <w:rPr>
          <w:rFonts w:hint="eastAsia" w:ascii="仿宋_GB2312" w:eastAsia="仿宋_GB2312"/>
          <w:b w:val="0"/>
          <w:bCs w:val="0"/>
          <w:color w:val="auto"/>
          <w:spacing w:val="-8"/>
          <w:sz w:val="32"/>
          <w:szCs w:val="32"/>
        </w:rPr>
        <w:t>采用银行“一卡通”进行发放，</w:t>
      </w:r>
      <w:r>
        <w:rPr>
          <w:rFonts w:hint="eastAsia" w:ascii="仿宋_GB2312" w:eastAsia="仿宋_GB2312"/>
          <w:color w:val="auto"/>
          <w:spacing w:val="-8"/>
          <w:sz w:val="32"/>
          <w:szCs w:val="32"/>
        </w:rPr>
        <w:t>项目资金使用情况接受上级有关部门的检查和监督</w:t>
      </w:r>
      <w:r>
        <w:rPr>
          <w:rFonts w:hint="eastAsia" w:ascii="仿宋_GB2312" w:eastAsia="仿宋_GB2312"/>
          <w:color w:val="auto"/>
          <w:spacing w:val="-8"/>
          <w:sz w:val="32"/>
          <w:szCs w:val="32"/>
          <w:lang w:eastAsia="zh-CN"/>
        </w:rPr>
        <w:t>。</w:t>
      </w:r>
    </w:p>
    <w:p w14:paraId="6B500B92">
      <w:pPr>
        <w:ind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资金投入和使用情况</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下达我县</w:t>
      </w:r>
      <w:r>
        <w:rPr>
          <w:rFonts w:hint="eastAsia" w:ascii="仿宋_GB2312" w:hAnsi="仿宋_GB2312" w:eastAsia="仿宋_GB2312" w:cs="仿宋_GB2312"/>
          <w:sz w:val="32"/>
          <w:szCs w:val="32"/>
          <w:lang w:eastAsia="zh-CN"/>
        </w:rPr>
        <w:t>省级</w:t>
      </w:r>
      <w:r>
        <w:rPr>
          <w:rFonts w:hint="eastAsia" w:ascii="仿宋_GB2312" w:hAnsi="仿宋_GB2312" w:eastAsia="仿宋_GB2312" w:cs="仿宋_GB2312"/>
          <w:sz w:val="32"/>
          <w:szCs w:val="32"/>
        </w:rPr>
        <w:t>财政林</w:t>
      </w:r>
      <w:r>
        <w:rPr>
          <w:rFonts w:hint="eastAsia" w:ascii="仿宋_GB2312" w:hAnsi="仿宋_GB2312" w:eastAsia="仿宋_GB2312" w:cs="仿宋_GB2312"/>
          <w:sz w:val="32"/>
          <w:szCs w:val="32"/>
          <w:lang w:eastAsia="zh-CN"/>
        </w:rPr>
        <w:t>业生态补偿专项</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val="en-US" w:eastAsia="zh-CN"/>
        </w:rPr>
        <w:t>1616.68</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森林生态效益补偿</w:t>
      </w:r>
      <w:r>
        <w:rPr>
          <w:rFonts w:hint="eastAsia" w:ascii="仿宋_GB2312" w:hAnsi="仿宋_GB2312" w:eastAsia="仿宋_GB2312" w:cs="仿宋_GB2312"/>
          <w:sz w:val="32"/>
          <w:szCs w:val="32"/>
          <w:lang w:val="en-US" w:eastAsia="zh-CN"/>
        </w:rPr>
        <w:t>1568.89万元、</w:t>
      </w:r>
      <w:r>
        <w:rPr>
          <w:rFonts w:hint="eastAsia" w:ascii="仿宋_GB2312" w:hAnsi="仿宋_GB2312" w:eastAsia="仿宋_GB2312" w:cs="仿宋_GB2312"/>
          <w:sz w:val="32"/>
          <w:szCs w:val="32"/>
          <w:lang w:eastAsia="zh-CN"/>
        </w:rPr>
        <w:t>省级以上自然保护地林权所有者补助</w:t>
      </w:r>
      <w:r>
        <w:rPr>
          <w:rFonts w:hint="eastAsia" w:ascii="仿宋_GB2312" w:hAnsi="仿宋_GB2312" w:eastAsia="仿宋_GB2312" w:cs="仿宋_GB2312"/>
          <w:sz w:val="32"/>
          <w:szCs w:val="32"/>
          <w:lang w:val="en-US" w:eastAsia="zh-CN"/>
        </w:rPr>
        <w:t>47.79万元。</w:t>
      </w:r>
    </w:p>
    <w:p w14:paraId="53231AB6">
      <w:pPr>
        <w:ind w:left="0" w:leftChars="0"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上述专项资金已拨付1463.79万元，资金支付率90.54%，将会继续抓紧制作林权所有者补偿发放册</w:t>
      </w:r>
      <w:r>
        <w:rPr>
          <w:rFonts w:hint="eastAsia" w:ascii="仿宋_GB2312" w:hAnsi="仿宋_GB2312" w:eastAsia="仿宋_GB2312" w:cs="仿宋_GB2312"/>
          <w:sz w:val="32"/>
          <w:szCs w:val="32"/>
          <w:lang w:eastAsia="zh-CN"/>
        </w:rPr>
        <w:t>，加快资金拨付，</w:t>
      </w:r>
      <w:r>
        <w:rPr>
          <w:rFonts w:hint="eastAsia" w:ascii="仿宋_GB2312" w:hAnsi="仿宋_GB2312" w:eastAsia="仿宋_GB2312" w:cs="仿宋_GB2312"/>
          <w:sz w:val="32"/>
          <w:szCs w:val="32"/>
          <w:lang w:val="en-US" w:eastAsia="zh-CN"/>
        </w:rPr>
        <w:t xml:space="preserve">提高资金支付率。  </w:t>
      </w:r>
    </w:p>
    <w:p w14:paraId="39BA9B2E">
      <w:pPr>
        <w:numPr>
          <w:ilvl w:val="0"/>
          <w:numId w:val="1"/>
        </w:numPr>
        <w:ind w:left="0" w:leftChars="0" w:firstLine="643" w:firstLineChars="200"/>
        <w:jc w:val="left"/>
        <w:rPr>
          <w:rFonts w:hint="eastAsia" w:ascii="楷体_GB2312" w:hAnsi="楷体_GB2312" w:eastAsia="楷体_GB2312" w:cs="楷体_GB2312"/>
          <w:sz w:val="32"/>
          <w:szCs w:val="32"/>
          <w:lang w:eastAsia="zh-CN"/>
        </w:rPr>
      </w:pPr>
      <w:r>
        <w:rPr>
          <w:rFonts w:hint="eastAsia" w:ascii="楷体_GB2312" w:hAnsi="楷体_GB2312" w:eastAsia="楷体_GB2312" w:cs="楷体_GB2312"/>
          <w:b/>
          <w:bCs/>
          <w:sz w:val="32"/>
          <w:szCs w:val="32"/>
        </w:rPr>
        <w:t>项目绩效目标</w:t>
      </w:r>
    </w:p>
    <w:p w14:paraId="72C74707">
      <w:pPr>
        <w:numPr>
          <w:ilvl w:val="0"/>
          <w:numId w:val="2"/>
        </w:numPr>
        <w:ind w:firstLine="643"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森林生态效益补偿方面</w:t>
      </w:r>
      <w:r>
        <w:rPr>
          <w:rFonts w:hint="eastAsia" w:ascii="仿宋_GB2312" w:hAnsi="仿宋_GB2312" w:eastAsia="仿宋_GB2312" w:cs="仿宋_GB2312"/>
          <w:sz w:val="32"/>
          <w:szCs w:val="32"/>
          <w:lang w:eastAsia="zh-CN"/>
        </w:rPr>
        <w:t>。实施省级以上公益林补助面积111.72万亩以上，全省生态公益林保有量111.72万亩以上，项目任务完成率90%以上，公益林平均亩蓄积量变化100%以上。省级以上公益林（经济林和竹林）补助22元/亩以下，省级以上公益林（乔木林和其他林）补助23元/亩以下。公益林林权所有者满意度90%以上。</w:t>
      </w:r>
    </w:p>
    <w:p w14:paraId="125DD16F">
      <w:pPr>
        <w:numPr>
          <w:ilvl w:val="0"/>
          <w:numId w:val="2"/>
        </w:numPr>
        <w:ind w:firstLine="643"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省级以上自然保护地林权所有者补助。</w:t>
      </w:r>
      <w:r>
        <w:rPr>
          <w:rFonts w:hint="eastAsia" w:ascii="仿宋_GB2312" w:hAnsi="仿宋_GB2312" w:eastAsia="仿宋_GB2312" w:cs="仿宋_GB2312"/>
          <w:sz w:val="32"/>
          <w:szCs w:val="32"/>
          <w:lang w:val="en-US" w:eastAsia="zh-CN"/>
        </w:rPr>
        <w:t>省级以上自然保护地林权所有者补助面积15.93万亩以上，项目任务完成率90%以上。省级以上自然保护地林权所有者补偿标准3元/亩以下。省级以上自然保护地林权所有者满意度90%以上。</w:t>
      </w:r>
    </w:p>
    <w:p w14:paraId="436A59DA">
      <w:pPr>
        <w:ind w:firstLine="640" w:firstLineChars="200"/>
        <w:rPr>
          <w:rFonts w:hint="eastAsia" w:ascii="黑体" w:hAnsi="黑体" w:eastAsia="黑体" w:cs="黑体"/>
          <w:sz w:val="32"/>
          <w:szCs w:val="32"/>
        </w:rPr>
      </w:pPr>
      <w:r>
        <w:rPr>
          <w:rFonts w:hint="eastAsia" w:ascii="黑体" w:hAnsi="黑体" w:eastAsia="黑体" w:cs="黑体"/>
          <w:sz w:val="32"/>
          <w:szCs w:val="32"/>
        </w:rPr>
        <w:t>二、绩效</w:t>
      </w:r>
      <w:r>
        <w:rPr>
          <w:rFonts w:hint="eastAsia" w:ascii="黑体" w:hAnsi="黑体" w:eastAsia="黑体" w:cs="黑体"/>
          <w:sz w:val="32"/>
          <w:szCs w:val="32"/>
          <w:lang w:eastAsia="zh-CN"/>
        </w:rPr>
        <w:t>自评</w:t>
      </w:r>
      <w:r>
        <w:rPr>
          <w:rFonts w:hint="eastAsia" w:ascii="黑体" w:hAnsi="黑体" w:eastAsia="黑体" w:cs="黑体"/>
          <w:sz w:val="32"/>
          <w:szCs w:val="32"/>
        </w:rPr>
        <w:t>工作开展情况</w:t>
      </w:r>
    </w:p>
    <w:p w14:paraId="4FCB9C8B">
      <w:pPr>
        <w:numPr>
          <w:ilvl w:val="0"/>
          <w:numId w:val="3"/>
        </w:numPr>
        <w:spacing w:line="600" w:lineRule="exact"/>
        <w:ind w:firstLine="645"/>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绩效</w:t>
      </w:r>
      <w:r>
        <w:rPr>
          <w:rFonts w:hint="eastAsia" w:ascii="楷体_GB2312" w:hAnsi="楷体_GB2312" w:eastAsia="楷体_GB2312" w:cs="楷体_GB2312"/>
          <w:b/>
          <w:bCs/>
          <w:sz w:val="32"/>
          <w:szCs w:val="32"/>
          <w:lang w:eastAsia="zh-CN"/>
        </w:rPr>
        <w:t>评价</w:t>
      </w:r>
      <w:r>
        <w:rPr>
          <w:rFonts w:hint="eastAsia" w:ascii="楷体_GB2312" w:hAnsi="楷体_GB2312" w:eastAsia="楷体_GB2312" w:cs="楷体_GB2312"/>
          <w:b/>
          <w:bCs/>
          <w:sz w:val="32"/>
          <w:szCs w:val="32"/>
        </w:rPr>
        <w:t>目的、</w:t>
      </w:r>
      <w:r>
        <w:rPr>
          <w:rFonts w:hint="eastAsia" w:ascii="楷体_GB2312" w:hAnsi="楷体_GB2312" w:eastAsia="楷体_GB2312" w:cs="楷体_GB2312"/>
          <w:b/>
          <w:bCs/>
          <w:sz w:val="32"/>
          <w:szCs w:val="32"/>
          <w:lang w:eastAsia="zh-CN"/>
        </w:rPr>
        <w:t>对象</w:t>
      </w:r>
      <w:r>
        <w:rPr>
          <w:rFonts w:hint="eastAsia" w:ascii="楷体_GB2312" w:hAnsi="楷体_GB2312" w:eastAsia="楷体_GB2312" w:cs="楷体_GB2312"/>
          <w:b/>
          <w:bCs/>
          <w:sz w:val="32"/>
          <w:szCs w:val="32"/>
        </w:rPr>
        <w:t>和范围</w:t>
      </w:r>
    </w:p>
    <w:p w14:paraId="43101755">
      <w:pPr>
        <w:spacing w:line="560" w:lineRule="exact"/>
        <w:ind w:firstLine="645"/>
        <w:rPr>
          <w:rFonts w:hint="eastAsia" w:ascii="仿宋_GB2312" w:hAnsi="仿宋" w:eastAsia="仿宋_GB2312"/>
          <w:bCs/>
          <w:sz w:val="32"/>
          <w:szCs w:val="32"/>
        </w:rPr>
      </w:pPr>
      <w:r>
        <w:rPr>
          <w:rFonts w:hint="eastAsia" w:ascii="仿宋_GB2312" w:hAnsi="华文宋体" w:eastAsia="仿宋_GB2312"/>
          <w:sz w:val="32"/>
          <w:szCs w:val="32"/>
          <w:lang w:val="en-US" w:eastAsia="zh-CN"/>
        </w:rPr>
        <w:t>1.</w:t>
      </w:r>
      <w:r>
        <w:rPr>
          <w:rFonts w:hint="eastAsia" w:ascii="仿宋_GB2312" w:hAnsi="华文宋体" w:eastAsia="仿宋_GB2312"/>
          <w:sz w:val="32"/>
          <w:szCs w:val="32"/>
          <w:lang w:eastAsia="zh-CN"/>
        </w:rPr>
        <w:t>目的是</w:t>
      </w:r>
      <w:r>
        <w:rPr>
          <w:rFonts w:hint="eastAsia" w:ascii="仿宋_GB2312" w:hAnsi="华文宋体" w:eastAsia="仿宋_GB2312"/>
          <w:sz w:val="32"/>
          <w:szCs w:val="32"/>
        </w:rPr>
        <w:t>为</w:t>
      </w:r>
      <w:r>
        <w:rPr>
          <w:rFonts w:hint="eastAsia" w:ascii="仿宋_GB2312" w:hAnsi="华文宋体" w:eastAsia="仿宋_GB2312"/>
          <w:sz w:val="32"/>
          <w:szCs w:val="32"/>
          <w:lang w:eastAsia="zh-CN"/>
        </w:rPr>
        <w:t>保护森林资源，为发挥森林的生态效益</w:t>
      </w:r>
      <w:r>
        <w:rPr>
          <w:rFonts w:hint="eastAsia" w:ascii="仿宋_GB2312" w:hAnsi="华文宋体" w:eastAsia="仿宋_GB2312"/>
          <w:sz w:val="32"/>
          <w:szCs w:val="32"/>
        </w:rPr>
        <w:t>提供强有力的资金保障，促进林业事业的健康发展。</w:t>
      </w:r>
      <w:r>
        <w:rPr>
          <w:rFonts w:hint="eastAsia" w:ascii="仿宋_GB2312" w:hAnsi="仿宋" w:eastAsia="仿宋_GB2312"/>
          <w:bCs/>
          <w:sz w:val="32"/>
          <w:szCs w:val="32"/>
        </w:rPr>
        <w:t>一是从财政角度对资金支持对象的实际产出和效益进行评价，改进预算决策和管理水平，提高资金使用效益；二是促进林业部门科学编制预算，强化资金使用效益意识，提升资金管理水平和工作质量；三是积极运用绩效评价结果，作为资金分配等重要依据。</w:t>
      </w:r>
    </w:p>
    <w:p w14:paraId="31C0462F">
      <w:pPr>
        <w:spacing w:line="600"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对象</w:t>
      </w:r>
      <w:r>
        <w:rPr>
          <w:rFonts w:hint="eastAsia" w:ascii="仿宋_GB2312" w:hAnsi="仿宋_GB2312" w:eastAsia="仿宋_GB2312" w:cs="仿宋_GB2312"/>
          <w:bCs/>
          <w:sz w:val="32"/>
          <w:szCs w:val="32"/>
          <w:lang w:eastAsia="zh-CN"/>
        </w:rPr>
        <w:t>和范围包括省级财政安排我县的森林生态效益补偿、国家级自然保护区林权所有者补偿和重点</w:t>
      </w:r>
      <w:r>
        <w:rPr>
          <w:rFonts w:hint="eastAsia" w:ascii="仿宋_GB2312" w:hAnsi="仿宋_GB2312" w:eastAsia="仿宋_GB2312" w:cs="仿宋_GB2312"/>
          <w:sz w:val="32"/>
          <w:szCs w:val="32"/>
          <w:lang w:eastAsia="zh-CN"/>
        </w:rPr>
        <w:t>生态区位的商品林赎买等三个</w:t>
      </w:r>
      <w:r>
        <w:rPr>
          <w:rFonts w:hint="eastAsia" w:ascii="仿宋_GB2312" w:hAnsi="仿宋_GB2312" w:eastAsia="仿宋_GB2312" w:cs="仿宋_GB2312"/>
          <w:bCs/>
          <w:sz w:val="32"/>
          <w:szCs w:val="32"/>
        </w:rPr>
        <w:t>项目。</w:t>
      </w:r>
    </w:p>
    <w:p w14:paraId="2732C071">
      <w:pPr>
        <w:spacing w:line="560" w:lineRule="exact"/>
        <w:ind w:firstLine="645"/>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(二)绩效评价原则、评价指标体系、评价方法、评价标准</w:t>
      </w:r>
    </w:p>
    <w:p w14:paraId="45843CB2">
      <w:pPr>
        <w:snapToGrid w:val="0"/>
        <w:spacing w:line="360" w:lineRule="auto"/>
        <w:ind w:firstLine="643" w:firstLineChars="200"/>
        <w:rPr>
          <w:rFonts w:hint="eastAsia" w:ascii="仿宋_GB2312" w:hAnsi="仿宋" w:eastAsia="仿宋_GB2312"/>
          <w:bCs/>
          <w:sz w:val="32"/>
          <w:szCs w:val="32"/>
        </w:rPr>
      </w:pPr>
      <w:r>
        <w:rPr>
          <w:rFonts w:hint="eastAsia" w:ascii="仿宋_GB2312" w:hAnsi="仿宋" w:eastAsia="仿宋_GB2312"/>
          <w:b/>
          <w:bCs w:val="0"/>
          <w:sz w:val="32"/>
          <w:szCs w:val="32"/>
          <w:lang w:val="en-US" w:eastAsia="zh-CN"/>
        </w:rPr>
        <w:t>1.</w:t>
      </w:r>
      <w:r>
        <w:rPr>
          <w:rFonts w:hint="eastAsia" w:ascii="仿宋_GB2312" w:hAnsi="仿宋" w:eastAsia="仿宋_GB2312"/>
          <w:b/>
          <w:bCs w:val="0"/>
          <w:sz w:val="32"/>
          <w:szCs w:val="32"/>
        </w:rPr>
        <w:t>绩效评价原则：</w:t>
      </w:r>
      <w:r>
        <w:rPr>
          <w:rFonts w:hint="eastAsia" w:ascii="仿宋_GB2312" w:hAnsi="仿宋" w:eastAsia="仿宋_GB2312"/>
          <w:bCs/>
          <w:sz w:val="32"/>
          <w:szCs w:val="32"/>
        </w:rPr>
        <w:t>①坚持社会效益原则，即对履行职能所产生的效果进行评价；②坚持合法性原则，即</w:t>
      </w:r>
      <w:r>
        <w:rPr>
          <w:rFonts w:hint="eastAsia" w:ascii="仿宋_GB2312" w:hAnsi="Helvetica" w:eastAsia="仿宋_GB2312"/>
          <w:sz w:val="32"/>
          <w:szCs w:val="32"/>
          <w:shd w:val="clear" w:color="auto" w:fill="FFFFFF"/>
        </w:rPr>
        <w:t>评价财政收支的合法性和规范性。</w:t>
      </w:r>
    </w:p>
    <w:p w14:paraId="5AB21E94">
      <w:pPr>
        <w:spacing w:line="600" w:lineRule="exact"/>
        <w:ind w:firstLine="640"/>
        <w:rPr>
          <w:rFonts w:hint="eastAsia" w:ascii="仿宋_GB2312" w:hAnsi="仿宋_GB2312" w:eastAsia="仿宋_GB2312" w:cs="仿宋_GB2312"/>
          <w:bCs/>
          <w:sz w:val="32"/>
          <w:szCs w:val="32"/>
        </w:rPr>
      </w:pPr>
      <w:r>
        <w:rPr>
          <w:rFonts w:hint="eastAsia" w:ascii="仿宋_GB2312" w:hAnsi="仿宋" w:eastAsia="仿宋_GB2312"/>
          <w:b/>
          <w:bCs w:val="0"/>
          <w:sz w:val="32"/>
          <w:szCs w:val="32"/>
          <w:lang w:val="en-US" w:eastAsia="zh-CN"/>
        </w:rPr>
        <w:t>2.评价指标体系：</w:t>
      </w:r>
      <w:r>
        <w:rPr>
          <w:rFonts w:hint="eastAsia" w:ascii="仿宋_GB2312" w:hAnsi="仿宋_GB2312" w:eastAsia="仿宋_GB2312" w:cs="仿宋_GB2312"/>
          <w:bCs/>
          <w:sz w:val="32"/>
          <w:szCs w:val="32"/>
          <w:lang w:eastAsia="zh-CN"/>
        </w:rPr>
        <w:t>根据项目</w:t>
      </w:r>
      <w:r>
        <w:rPr>
          <w:rFonts w:hint="eastAsia" w:ascii="仿宋_GB2312" w:hAnsi="仿宋_GB2312" w:eastAsia="仿宋_GB2312" w:cs="仿宋_GB2312"/>
          <w:bCs/>
          <w:sz w:val="32"/>
          <w:szCs w:val="32"/>
        </w:rPr>
        <w:t>确定的绩效指标，包括项目的产出数量、质量、时效、成本，以及经济效益、社会效益、生态效益、可持续影响、服务对象满意度等。</w:t>
      </w:r>
    </w:p>
    <w:p w14:paraId="7F89494C">
      <w:pPr>
        <w:keepNext w:val="0"/>
        <w:keepLines w:val="0"/>
        <w:pageBreakBefore w:val="0"/>
        <w:widowControl w:val="0"/>
        <w:kinsoku/>
        <w:wordWrap/>
        <w:overflowPunct/>
        <w:topLinePunct w:val="0"/>
        <w:autoSpaceDE/>
        <w:autoSpaceDN/>
        <w:bidi w:val="0"/>
        <w:adjustRightInd/>
        <w:spacing w:line="120" w:lineRule="auto"/>
        <w:ind w:firstLine="640"/>
        <w:textAlignment w:val="auto"/>
        <w:rPr>
          <w:rFonts w:hint="eastAsia" w:ascii="仿宋_GB2312" w:hAnsi="仿宋_GB2312" w:eastAsia="仿宋_GB2312" w:cs="仿宋_GB2312"/>
          <w:bCs/>
          <w:sz w:val="32"/>
          <w:szCs w:val="32"/>
        </w:rPr>
      </w:pPr>
      <w:r>
        <w:rPr>
          <w:rFonts w:hint="eastAsia" w:ascii="仿宋_GB2312" w:hAnsi="仿宋" w:eastAsia="仿宋_GB2312"/>
          <w:b/>
          <w:bCs w:val="0"/>
          <w:sz w:val="32"/>
          <w:szCs w:val="32"/>
          <w:lang w:val="en-US" w:eastAsia="zh-CN"/>
        </w:rPr>
        <w:t>3.</w:t>
      </w:r>
      <w:r>
        <w:rPr>
          <w:rFonts w:hint="eastAsia" w:ascii="仿宋_GB2312" w:hAnsi="仿宋" w:eastAsia="仿宋_GB2312"/>
          <w:b/>
          <w:bCs w:val="0"/>
          <w:sz w:val="32"/>
          <w:szCs w:val="32"/>
        </w:rPr>
        <w:t>评价方法</w:t>
      </w:r>
      <w:r>
        <w:rPr>
          <w:rFonts w:hint="eastAsia" w:ascii="仿宋_GB2312" w:hAnsi="仿宋" w:eastAsia="仿宋_GB2312"/>
          <w:b/>
          <w:bCs w:val="0"/>
          <w:sz w:val="32"/>
          <w:szCs w:val="32"/>
          <w:lang w:eastAsia="zh-CN"/>
        </w:rPr>
        <w:t>：</w:t>
      </w:r>
      <w:r>
        <w:rPr>
          <w:rFonts w:hint="eastAsia" w:ascii="仿宋_GB2312" w:hAnsi="仿宋_GB2312" w:eastAsia="仿宋_GB2312" w:cs="仿宋_GB2312"/>
          <w:bCs/>
          <w:sz w:val="32"/>
          <w:szCs w:val="32"/>
        </w:rPr>
        <w:t>根据项目实际情况确定。原则上预算执行率和一级指标权重统一设置为: 预算执行率10%、产出指标</w:t>
      </w:r>
      <w:r>
        <w:rPr>
          <w:rFonts w:hint="eastAsia" w:ascii="仿宋_GB2312" w:hAnsi="仿宋_GB2312" w:eastAsia="仿宋_GB2312" w:cs="仿宋_GB2312"/>
          <w:bCs/>
          <w:sz w:val="32"/>
          <w:szCs w:val="32"/>
          <w:lang w:val="en-US" w:eastAsia="zh-CN"/>
        </w:rPr>
        <w:t>40</w:t>
      </w:r>
      <w:r>
        <w:rPr>
          <w:rFonts w:hint="eastAsia" w:ascii="仿宋_GB2312" w:hAnsi="仿宋_GB2312" w:eastAsia="仿宋_GB2312" w:cs="仿宋_GB2312"/>
          <w:bCs/>
          <w:sz w:val="32"/>
          <w:szCs w:val="32"/>
        </w:rPr>
        <w:t>%、成本指标10%、效益指标</w:t>
      </w:r>
      <w:r>
        <w:rPr>
          <w:rFonts w:hint="eastAsia" w:ascii="仿宋_GB2312" w:hAnsi="仿宋_GB2312" w:eastAsia="仿宋_GB2312" w:cs="仿宋_GB2312"/>
          <w:bCs/>
          <w:sz w:val="32"/>
          <w:szCs w:val="32"/>
          <w:lang w:val="en-US" w:eastAsia="zh-CN"/>
        </w:rPr>
        <w:t>30</w:t>
      </w:r>
      <w:r>
        <w:rPr>
          <w:rFonts w:hint="eastAsia" w:ascii="仿宋_GB2312" w:hAnsi="仿宋_GB2312" w:eastAsia="仿宋_GB2312" w:cs="仿宋_GB2312"/>
          <w:bCs/>
          <w:sz w:val="32"/>
          <w:szCs w:val="32"/>
        </w:rPr>
        <w:t>%、服务对象满意度指标1</w:t>
      </w:r>
      <w:r>
        <w:rPr>
          <w:rFonts w:hint="eastAsia" w:ascii="仿宋_GB2312" w:hAnsi="仿宋_GB2312" w:eastAsia="仿宋_GB2312" w:cs="仿宋_GB2312"/>
          <w:bCs/>
          <w:sz w:val="32"/>
          <w:szCs w:val="32"/>
          <w:lang w:val="en-US" w:eastAsia="zh-CN"/>
        </w:rPr>
        <w:t>0</w:t>
      </w:r>
      <w:r>
        <w:rPr>
          <w:rFonts w:hint="eastAsia" w:ascii="仿宋_GB2312" w:hAnsi="仿宋_GB2312" w:eastAsia="仿宋_GB2312" w:cs="仿宋_GB2312"/>
          <w:bCs/>
          <w:sz w:val="32"/>
          <w:szCs w:val="32"/>
        </w:rPr>
        <w:t>%。如有特殊情况，一级指标权重可</w:t>
      </w:r>
      <w:r>
        <w:rPr>
          <w:rFonts w:hint="eastAsia" w:ascii="仿宋_GB2312" w:hAnsi="仿宋_GB2312" w:eastAsia="仿宋_GB2312" w:cs="仿宋_GB2312"/>
          <w:bCs/>
          <w:sz w:val="32"/>
          <w:szCs w:val="32"/>
          <w:lang w:eastAsia="zh-CN"/>
        </w:rPr>
        <w:t>作</w:t>
      </w:r>
      <w:r>
        <w:rPr>
          <w:rFonts w:hint="eastAsia" w:ascii="仿宋_GB2312" w:hAnsi="仿宋_GB2312" w:eastAsia="仿宋_GB2312" w:cs="仿宋_GB2312"/>
          <w:bCs/>
          <w:sz w:val="32"/>
          <w:szCs w:val="32"/>
        </w:rPr>
        <w:t>适当调整。二、三级指标应当根据指标重要程度、项目实施阶段等因素综合确定，准确反映项目的产出和效益。</w:t>
      </w:r>
    </w:p>
    <w:p w14:paraId="7028AD27">
      <w:pPr>
        <w:keepNext w:val="0"/>
        <w:keepLines w:val="0"/>
        <w:pageBreakBefore w:val="0"/>
        <w:widowControl w:val="0"/>
        <w:kinsoku/>
        <w:wordWrap/>
        <w:overflowPunct/>
        <w:topLinePunct w:val="0"/>
        <w:autoSpaceDE/>
        <w:autoSpaceDN/>
        <w:bidi w:val="0"/>
        <w:adjustRightInd/>
        <w:spacing w:line="240" w:lineRule="auto"/>
        <w:ind w:firstLine="64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
          <w:bCs w:val="0"/>
          <w:sz w:val="32"/>
          <w:szCs w:val="32"/>
          <w:lang w:val="en-US" w:eastAsia="zh-CN"/>
        </w:rPr>
        <w:t>4</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
          <w:bCs w:val="0"/>
          <w:sz w:val="32"/>
          <w:szCs w:val="32"/>
          <w:lang w:val="en-US" w:eastAsia="zh-CN"/>
        </w:rPr>
        <w:t>评价</w:t>
      </w:r>
      <w:r>
        <w:rPr>
          <w:rFonts w:hint="eastAsia" w:ascii="仿宋_GB2312" w:hAnsi="仿宋_GB2312" w:eastAsia="仿宋_GB2312" w:cs="仿宋_GB2312"/>
          <w:b/>
          <w:bCs w:val="0"/>
          <w:sz w:val="32"/>
          <w:szCs w:val="32"/>
          <w:lang w:eastAsia="zh-CN"/>
        </w:rPr>
        <w:t>标准</w:t>
      </w:r>
      <w:r>
        <w:rPr>
          <w:rFonts w:hint="eastAsia" w:ascii="仿宋_GB2312" w:hAnsi="仿宋_GB2312" w:eastAsia="仿宋_GB2312" w:cs="仿宋_GB2312"/>
          <w:b/>
          <w:bCs w:val="0"/>
          <w:sz w:val="32"/>
          <w:szCs w:val="32"/>
        </w:rPr>
        <w:t>：</w:t>
      </w:r>
      <w:r>
        <w:rPr>
          <w:rFonts w:hint="eastAsia" w:ascii="仿宋_GB2312" w:hAnsi="仿宋_GB2312" w:eastAsia="仿宋_GB2312" w:cs="仿宋_GB2312"/>
          <w:bCs/>
          <w:sz w:val="32"/>
          <w:szCs w:val="32"/>
        </w:rPr>
        <w:t>各项评价内容的标准分之和为100分。根据绩效评价内容，采取单位自评的方式，评价结果上报市林业局。</w:t>
      </w:r>
    </w:p>
    <w:p w14:paraId="4D89668A">
      <w:pPr>
        <w:keepNext w:val="0"/>
        <w:keepLines w:val="0"/>
        <w:pageBreakBefore w:val="0"/>
        <w:widowControl w:val="0"/>
        <w:kinsoku/>
        <w:wordWrap/>
        <w:overflowPunct/>
        <w:topLinePunct w:val="0"/>
        <w:autoSpaceDE/>
        <w:autoSpaceDN/>
        <w:bidi w:val="0"/>
        <w:adjustRightInd/>
        <w:spacing w:line="240" w:lineRule="auto"/>
        <w:ind w:firstLine="640"/>
        <w:textAlignment w:val="auto"/>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rPr>
        <w:t>(三)绩效评价工作过程</w:t>
      </w:r>
    </w:p>
    <w:p w14:paraId="5FA13E5C">
      <w:pPr>
        <w:keepNext w:val="0"/>
        <w:keepLines w:val="0"/>
        <w:pageBreakBefore w:val="0"/>
        <w:widowControl w:val="0"/>
        <w:kinsoku/>
        <w:wordWrap/>
        <w:overflowPunct/>
        <w:topLinePunct w:val="0"/>
        <w:autoSpaceDE/>
        <w:autoSpaceDN/>
        <w:bidi w:val="0"/>
        <w:adjustRightInd/>
        <w:spacing w:line="240" w:lineRule="auto"/>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eastAsia="zh-CN"/>
        </w:rPr>
        <w:t>我局高度重视此次</w:t>
      </w:r>
      <w:r>
        <w:rPr>
          <w:rFonts w:hint="eastAsia" w:ascii="仿宋_GB2312" w:hAnsi="仿宋_GB2312" w:eastAsia="仿宋_GB2312" w:cs="仿宋_GB2312"/>
          <w:bCs/>
          <w:sz w:val="32"/>
          <w:szCs w:val="32"/>
        </w:rPr>
        <w:t>绩效</w:t>
      </w:r>
      <w:r>
        <w:rPr>
          <w:rFonts w:hint="eastAsia" w:ascii="仿宋_GB2312" w:hAnsi="仿宋_GB2312" w:eastAsia="仿宋_GB2312" w:cs="仿宋_GB2312"/>
          <w:bCs/>
          <w:sz w:val="32"/>
          <w:szCs w:val="32"/>
          <w:lang w:eastAsia="zh-CN"/>
        </w:rPr>
        <w:t>自评工作，成立了由局</w:t>
      </w:r>
      <w:r>
        <w:rPr>
          <w:rFonts w:hint="eastAsia" w:ascii="仿宋_GB2312" w:hAnsi="仿宋_GB2312" w:eastAsia="仿宋_GB2312" w:cs="仿宋_GB2312"/>
          <w:bCs/>
          <w:sz w:val="32"/>
          <w:szCs w:val="32"/>
        </w:rPr>
        <w:t>分管副局长</w:t>
      </w:r>
      <w:r>
        <w:rPr>
          <w:rFonts w:hint="eastAsia" w:ascii="仿宋_GB2312" w:hAnsi="仿宋_GB2312" w:eastAsia="仿宋_GB2312" w:cs="仿宋_GB2312"/>
          <w:bCs/>
          <w:sz w:val="32"/>
          <w:szCs w:val="32"/>
          <w:lang w:eastAsia="zh-CN"/>
        </w:rPr>
        <w:t>为组长，计财股股长为副组</w:t>
      </w:r>
      <w:r>
        <w:rPr>
          <w:rFonts w:hint="eastAsia" w:ascii="仿宋_GB2312" w:hAnsi="仿宋_GB2312" w:eastAsia="仿宋_GB2312" w:cs="仿宋_GB2312"/>
          <w:sz w:val="32"/>
          <w:szCs w:val="32"/>
          <w:lang w:eastAsia="zh-CN"/>
        </w:rPr>
        <w:t>长，其他</w:t>
      </w:r>
      <w:r>
        <w:rPr>
          <w:rFonts w:hint="eastAsia" w:ascii="仿宋_GB2312" w:hAnsi="仿宋_GB2312" w:eastAsia="仿宋_GB2312" w:cs="仿宋_GB2312"/>
          <w:sz w:val="32"/>
          <w:szCs w:val="32"/>
        </w:rPr>
        <w:t>有关股室负责人为成员</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评价工作小组，召开了工作部署会议，确定了</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rPr>
        <w:t>评</w:t>
      </w:r>
      <w:r>
        <w:rPr>
          <w:rFonts w:hint="eastAsia" w:ascii="仿宋_GB2312" w:hAnsi="仿宋_GB2312" w:eastAsia="仿宋_GB2312" w:cs="仿宋_GB2312"/>
          <w:sz w:val="32"/>
          <w:szCs w:val="32"/>
          <w:lang w:eastAsia="zh-CN"/>
        </w:rPr>
        <w:t>工作的评</w:t>
      </w:r>
      <w:r>
        <w:rPr>
          <w:rFonts w:hint="eastAsia" w:ascii="仿宋_GB2312" w:hAnsi="仿宋_GB2312" w:eastAsia="仿宋_GB2312" w:cs="仿宋_GB2312"/>
          <w:sz w:val="32"/>
          <w:szCs w:val="32"/>
        </w:rPr>
        <w:t>价对象、主要内容</w:t>
      </w:r>
      <w:r>
        <w:rPr>
          <w:rFonts w:hint="eastAsia" w:ascii="仿宋_GB2312" w:hAnsi="仿宋_GB2312" w:eastAsia="仿宋_GB2312" w:cs="仿宋_GB2312"/>
          <w:sz w:val="32"/>
          <w:szCs w:val="32"/>
          <w:lang w:eastAsia="zh-CN"/>
        </w:rPr>
        <w:t>和时间要求，明确了责任单位和责任人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安排了对</w:t>
      </w:r>
      <w:r>
        <w:rPr>
          <w:rFonts w:hint="eastAsia" w:ascii="仿宋_GB2312" w:hAnsi="仿宋_GB2312" w:eastAsia="仿宋_GB2312" w:cs="仿宋_GB2312"/>
          <w:sz w:val="32"/>
          <w:szCs w:val="32"/>
        </w:rPr>
        <w:t>项目实施</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资料、资金拨付文件、财务会计资料等</w:t>
      </w:r>
      <w:r>
        <w:rPr>
          <w:rFonts w:hint="eastAsia" w:ascii="仿宋_GB2312" w:hAnsi="仿宋_GB2312" w:eastAsia="仿宋_GB2312" w:cs="仿宋_GB2312"/>
          <w:sz w:val="32"/>
          <w:szCs w:val="32"/>
          <w:lang w:eastAsia="zh-CN"/>
        </w:rPr>
        <w:t>资料收集工作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此次涉及省级财政林业专项资金绩效评价工作的各部门密切配合，各负其责，按要求收集项目材料、核实了包括提交立项决策、建设实施、阶段性验收、生产经营等基础数据资料，参照评价指标体系和评价标准，得出评价结论。</w:t>
      </w:r>
    </w:p>
    <w:p w14:paraId="55B57597">
      <w:pPr>
        <w:ind w:left="0" w:leftChars="0" w:firstLine="640" w:firstLineChars="200"/>
        <w:jc w:val="left"/>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、绩效评价指标分析</w:t>
      </w:r>
    </w:p>
    <w:p w14:paraId="0BD45B03">
      <w:pPr>
        <w:ind w:firstLine="643" w:firstLineChars="20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(一)</w:t>
      </w:r>
      <w:r>
        <w:rPr>
          <w:rFonts w:hint="eastAsia" w:ascii="楷体_GB2312" w:hAnsi="楷体_GB2312" w:eastAsia="楷体_GB2312" w:cs="楷体_GB2312"/>
          <w:b/>
          <w:bCs/>
          <w:sz w:val="32"/>
          <w:szCs w:val="32"/>
          <w:lang w:val="en-US" w:eastAsia="zh-CN"/>
        </w:rPr>
        <w:t xml:space="preserve"> </w:t>
      </w:r>
      <w:r>
        <w:rPr>
          <w:rFonts w:hint="eastAsia" w:ascii="楷体_GB2312" w:hAnsi="楷体_GB2312" w:eastAsia="楷体_GB2312" w:cs="楷体_GB2312"/>
          <w:b/>
          <w:bCs/>
          <w:sz w:val="32"/>
          <w:szCs w:val="32"/>
        </w:rPr>
        <w:t>项目决策情况</w:t>
      </w:r>
    </w:p>
    <w:p w14:paraId="7EB9271E">
      <w:pPr>
        <w:ind w:firstLine="420"/>
        <w:rPr>
          <w:rFonts w:hint="eastAsia" w:ascii="仿宋_GB2312" w:hAnsi="仿宋_GB2312" w:eastAsia="仿宋_GB2312"/>
          <w:spacing w:val="2"/>
          <w:sz w:val="32"/>
          <w:szCs w:val="32"/>
          <w:lang w:eastAsia="zh-CN"/>
        </w:rPr>
      </w:pPr>
      <w:r>
        <w:rPr>
          <w:rFonts w:hint="eastAsia" w:ascii="仿宋_GB2312" w:hAnsi="仿宋_GB2312" w:eastAsia="仿宋_GB2312" w:cs="仿宋_GB2312"/>
          <w:b w:val="0"/>
          <w:bCs w:val="0"/>
          <w:sz w:val="32"/>
          <w:szCs w:val="32"/>
          <w:lang w:val="en-US" w:eastAsia="zh-CN"/>
        </w:rPr>
        <w:t>项目下达后，根据项目绩效目标,由实施的业务股室</w:t>
      </w:r>
      <w:r>
        <w:rPr>
          <w:rFonts w:hint="eastAsia" w:ascii="仿宋_GB2312" w:hAnsi="仿宋_GB2312" w:eastAsia="仿宋_GB2312" w:cs="仿宋_GB2312"/>
          <w:sz w:val="32"/>
          <w:szCs w:val="32"/>
        </w:rPr>
        <w:t>制定实施方案，</w:t>
      </w:r>
      <w:r>
        <w:rPr>
          <w:rFonts w:hint="eastAsia" w:ascii="仿宋_GB2312" w:hAnsi="仿宋_GB2312" w:eastAsia="仿宋_GB2312" w:cs="仿宋_GB2312"/>
          <w:sz w:val="32"/>
          <w:szCs w:val="32"/>
          <w:lang w:eastAsia="zh-CN"/>
        </w:rPr>
        <w:t>经集体研究后</w:t>
      </w:r>
      <w:r>
        <w:rPr>
          <w:rFonts w:hint="eastAsia" w:ascii="仿宋_GB2312" w:hAnsi="仿宋_GB2312" w:eastAsia="仿宋_GB2312"/>
          <w:spacing w:val="2"/>
          <w:sz w:val="32"/>
          <w:szCs w:val="32"/>
        </w:rPr>
        <w:t>组织</w:t>
      </w:r>
      <w:r>
        <w:rPr>
          <w:rFonts w:hint="eastAsia" w:ascii="仿宋_GB2312" w:hAnsi="仿宋_GB2312" w:eastAsia="仿宋_GB2312"/>
          <w:spacing w:val="2"/>
          <w:sz w:val="32"/>
          <w:szCs w:val="32"/>
          <w:lang w:eastAsia="zh-CN"/>
        </w:rPr>
        <w:t>实施</w:t>
      </w:r>
      <w:r>
        <w:rPr>
          <w:rFonts w:hint="eastAsia" w:ascii="仿宋_GB2312" w:hAnsi="仿宋_GB2312" w:eastAsia="仿宋_GB2312"/>
          <w:spacing w:val="2"/>
          <w:sz w:val="32"/>
          <w:szCs w:val="32"/>
        </w:rPr>
        <w:t>。</w:t>
      </w:r>
      <w:r>
        <w:rPr>
          <w:rFonts w:hint="eastAsia" w:ascii="仿宋_GB2312" w:hAnsi="仿宋_GB2312" w:eastAsia="仿宋_GB2312"/>
          <w:spacing w:val="2"/>
          <w:sz w:val="32"/>
          <w:szCs w:val="32"/>
          <w:lang w:eastAsia="zh-CN"/>
        </w:rPr>
        <w:t>按照我局“三重一大”相关规定，</w:t>
      </w:r>
      <w:r>
        <w:rPr>
          <w:rFonts w:hint="eastAsia" w:ascii="仿宋_GB2312" w:hAnsi="仿宋_GB2312" w:eastAsia="仿宋_GB2312"/>
          <w:spacing w:val="2"/>
          <w:sz w:val="32"/>
          <w:szCs w:val="32"/>
          <w:lang w:val="en-US" w:eastAsia="zh-CN"/>
        </w:rPr>
        <w:t>10万元以上</w:t>
      </w:r>
      <w:r>
        <w:rPr>
          <w:rFonts w:hint="eastAsia" w:ascii="仿宋_GB2312" w:hAnsi="仿宋_GB2312" w:eastAsia="仿宋_GB2312"/>
          <w:spacing w:val="2"/>
          <w:sz w:val="32"/>
          <w:szCs w:val="32"/>
          <w:lang w:eastAsia="zh-CN"/>
        </w:rPr>
        <w:t>项目由局党组研究确定实施方案。</w:t>
      </w:r>
    </w:p>
    <w:p w14:paraId="5CCF7DD3">
      <w:pPr>
        <w:numPr>
          <w:ilvl w:val="0"/>
          <w:numId w:val="3"/>
        </w:numPr>
        <w:spacing w:line="600" w:lineRule="exact"/>
        <w:ind w:left="0" w:leftChars="0" w:firstLine="645" w:firstLineChars="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项目过程情况</w:t>
      </w:r>
    </w:p>
    <w:p w14:paraId="0C411FEC">
      <w:pPr>
        <w:numPr>
          <w:ilvl w:val="0"/>
          <w:numId w:val="0"/>
        </w:numPr>
        <w:spacing w:line="600" w:lineRule="exact"/>
        <w:ind w:firstLine="640" w:firstLineChars="200"/>
        <w:rPr>
          <w:rFonts w:hint="eastAsia" w:ascii="仿宋_GB2312" w:hAnsi="宋体" w:eastAsia="仿宋_GB2312"/>
          <w:sz w:val="32"/>
          <w:szCs w:val="32"/>
        </w:rPr>
      </w:pPr>
      <w:r>
        <w:rPr>
          <w:rFonts w:hint="eastAsia" w:ascii="仿宋_GB2312" w:hAnsi="仿宋" w:eastAsia="仿宋_GB2312"/>
          <w:sz w:val="32"/>
          <w:szCs w:val="32"/>
          <w:highlight w:val="none"/>
        </w:rPr>
        <w:t>严格按照</w:t>
      </w:r>
      <w:r>
        <w:rPr>
          <w:rFonts w:hint="eastAsia" w:ascii="仿宋_GB2312" w:hAnsi="宋体" w:eastAsia="仿宋_GB2312"/>
          <w:sz w:val="32"/>
          <w:szCs w:val="32"/>
          <w:highlight w:val="none"/>
        </w:rPr>
        <w:t>《福建省财政厅 福建省林业</w:t>
      </w:r>
      <w:r>
        <w:rPr>
          <w:rFonts w:hint="eastAsia" w:ascii="仿宋_GB2312" w:hAnsi="宋体" w:eastAsia="仿宋_GB2312"/>
          <w:sz w:val="32"/>
          <w:szCs w:val="32"/>
          <w:highlight w:val="none"/>
          <w:lang w:eastAsia="zh-CN"/>
        </w:rPr>
        <w:t>局</w:t>
      </w:r>
      <w:r>
        <w:rPr>
          <w:rFonts w:hint="eastAsia" w:ascii="仿宋_GB2312" w:hAnsi="宋体" w:eastAsia="仿宋_GB2312"/>
          <w:sz w:val="32"/>
          <w:szCs w:val="32"/>
          <w:highlight w:val="none"/>
        </w:rPr>
        <w:t>关于印发福建省省级财政</w:t>
      </w:r>
      <w:r>
        <w:rPr>
          <w:rFonts w:hint="eastAsia" w:ascii="仿宋_GB2312" w:hAnsi="宋体" w:eastAsia="仿宋_GB2312"/>
          <w:sz w:val="32"/>
          <w:szCs w:val="32"/>
          <w:highlight w:val="none"/>
          <w:lang w:eastAsia="zh-CN"/>
        </w:rPr>
        <w:t>林业</w:t>
      </w:r>
      <w:r>
        <w:rPr>
          <w:rFonts w:hint="eastAsia" w:ascii="仿宋_GB2312" w:hAnsi="宋体" w:eastAsia="仿宋_GB2312"/>
          <w:sz w:val="32"/>
          <w:szCs w:val="32"/>
          <w:highlight w:val="none"/>
          <w:lang w:val="en-US" w:eastAsia="zh-CN"/>
        </w:rPr>
        <w:t>生态补偿补助</w:t>
      </w:r>
      <w:r>
        <w:rPr>
          <w:rFonts w:hint="eastAsia" w:ascii="仿宋_GB2312" w:hAnsi="宋体" w:eastAsia="仿宋_GB2312"/>
          <w:sz w:val="32"/>
          <w:szCs w:val="32"/>
          <w:highlight w:val="none"/>
        </w:rPr>
        <w:t>资金管理办法的通知》（闽财</w:t>
      </w:r>
      <w:r>
        <w:rPr>
          <w:rFonts w:hint="eastAsia" w:ascii="仿宋_GB2312" w:hAnsi="宋体" w:eastAsia="仿宋_GB2312"/>
          <w:sz w:val="32"/>
          <w:szCs w:val="32"/>
          <w:highlight w:val="none"/>
          <w:lang w:eastAsia="zh-CN"/>
        </w:rPr>
        <w:t>规</w:t>
      </w:r>
      <w:r>
        <w:rPr>
          <w:rFonts w:hint="eastAsia" w:ascii="仿宋_GB2312" w:hAnsi="宋体" w:eastAsia="仿宋_GB2312"/>
          <w:sz w:val="32"/>
          <w:szCs w:val="32"/>
          <w:highlight w:val="none"/>
        </w:rPr>
        <w:t>〔20</w:t>
      </w:r>
      <w:r>
        <w:rPr>
          <w:rFonts w:hint="eastAsia" w:ascii="仿宋_GB2312" w:hAnsi="宋体" w:eastAsia="仿宋_GB2312"/>
          <w:sz w:val="32"/>
          <w:szCs w:val="32"/>
          <w:highlight w:val="none"/>
          <w:lang w:val="en-US" w:eastAsia="zh-CN"/>
        </w:rPr>
        <w:t>24</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24</w:t>
      </w:r>
      <w:r>
        <w:rPr>
          <w:rFonts w:hint="eastAsia" w:ascii="仿宋_GB2312" w:hAnsi="宋体" w:eastAsia="仿宋_GB2312"/>
          <w:sz w:val="32"/>
          <w:szCs w:val="32"/>
          <w:highlight w:val="none"/>
        </w:rPr>
        <w:t>号）</w:t>
      </w:r>
      <w:r>
        <w:rPr>
          <w:rFonts w:hint="eastAsia" w:ascii="仿宋_GB2312" w:hAnsi="仿宋" w:eastAsia="仿宋_GB2312"/>
          <w:sz w:val="32"/>
          <w:szCs w:val="32"/>
          <w:highlight w:val="none"/>
        </w:rPr>
        <w:t>文件精</w:t>
      </w:r>
      <w:r>
        <w:rPr>
          <w:rFonts w:hint="eastAsia" w:ascii="仿宋_GB2312" w:hAnsi="仿宋" w:eastAsia="仿宋_GB2312"/>
          <w:sz w:val="32"/>
          <w:szCs w:val="32"/>
        </w:rPr>
        <w:t>神，专款专用、确保专项经费的使用效益和安全。</w:t>
      </w:r>
      <w:r>
        <w:rPr>
          <w:rFonts w:hint="eastAsia" w:ascii="仿宋_GB2312" w:hAnsi="仿宋" w:eastAsia="仿宋_GB2312"/>
          <w:sz w:val="32"/>
          <w:szCs w:val="32"/>
          <w:lang w:eastAsia="zh-CN"/>
        </w:rPr>
        <w:t>制定了森林生态补偿资金管理办法，规范补助资金的实施。对涉农资金的补助进行公开公示等。</w:t>
      </w:r>
      <w:r>
        <w:rPr>
          <w:rFonts w:hint="eastAsia" w:ascii="仿宋_GB2312" w:hAnsi="宋体" w:eastAsia="仿宋_GB2312"/>
          <w:sz w:val="32"/>
          <w:szCs w:val="32"/>
        </w:rPr>
        <w:t>在项目实施过程中不断完善管理制度、检查验收和绩效评价制度等各项规章制度建设，各部门密切配合、指导、监督，推动了项目的有效开展。</w:t>
      </w:r>
    </w:p>
    <w:p w14:paraId="05470BD8">
      <w:pPr>
        <w:numPr>
          <w:ilvl w:val="0"/>
          <w:numId w:val="0"/>
        </w:numPr>
        <w:spacing w:line="600" w:lineRule="exact"/>
        <w:ind w:firstLine="640" w:firstLineChars="200"/>
        <w:rPr>
          <w:rFonts w:hint="eastAsia" w:ascii="仿宋_GB2312" w:hAnsi="宋体" w:eastAsia="仿宋_GB2312"/>
          <w:sz w:val="32"/>
          <w:szCs w:val="32"/>
        </w:rPr>
      </w:pPr>
      <w:r>
        <w:rPr>
          <w:rFonts w:hint="eastAsia" w:ascii="仿宋_GB2312" w:hAnsi="仿宋_GB2312" w:eastAsia="仿宋_GB2312" w:cs="仿宋_GB2312"/>
          <w:color w:val="000000"/>
          <w:sz w:val="32"/>
          <w:szCs w:val="32"/>
          <w:lang w:eastAsia="zh-CN"/>
        </w:rPr>
        <w:t>20</w:t>
      </w:r>
      <w:r>
        <w:rPr>
          <w:rFonts w:hint="eastAsia" w:ascii="仿宋_GB2312" w:hAnsi="仿宋_GB2312" w:eastAsia="仿宋_GB2312" w:cs="仿宋_GB2312"/>
          <w:color w:val="000000"/>
          <w:sz w:val="32"/>
          <w:szCs w:val="32"/>
          <w:lang w:val="en-US" w:eastAsia="zh-CN"/>
        </w:rPr>
        <w:t>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w:t>
      </w:r>
      <w:r>
        <w:rPr>
          <w:rFonts w:hint="eastAsia" w:ascii="仿宋_GB2312" w:hAnsi="仿宋_GB2312" w:eastAsia="仿宋_GB2312" w:cs="仿宋_GB2312"/>
          <w:color w:val="000000"/>
          <w:sz w:val="32"/>
          <w:szCs w:val="32"/>
          <w:lang w:eastAsia="zh-CN"/>
        </w:rPr>
        <w:t>省级</w:t>
      </w:r>
      <w:r>
        <w:rPr>
          <w:rFonts w:hint="eastAsia" w:ascii="仿宋_GB2312" w:hAnsi="仿宋_GB2312" w:eastAsia="仿宋_GB2312" w:cs="仿宋_GB2312"/>
          <w:color w:val="000000"/>
          <w:sz w:val="32"/>
          <w:szCs w:val="32"/>
        </w:rPr>
        <w:t>财政林业</w:t>
      </w:r>
      <w:r>
        <w:rPr>
          <w:rFonts w:hint="eastAsia" w:ascii="仿宋_GB2312" w:hAnsi="仿宋_GB2312" w:eastAsia="仿宋_GB2312" w:cs="仿宋_GB2312"/>
          <w:color w:val="000000"/>
          <w:sz w:val="32"/>
          <w:szCs w:val="32"/>
          <w:lang w:eastAsia="zh-CN"/>
        </w:rPr>
        <w:t>生态补偿专项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eastAsia="zh-CN"/>
        </w:rPr>
        <w:t>都能按时</w:t>
      </w:r>
      <w:r>
        <w:rPr>
          <w:rFonts w:hint="eastAsia" w:ascii="仿宋_GB2312" w:hAnsi="仿宋_GB2312" w:eastAsia="仿宋_GB2312" w:cs="仿宋_GB2312"/>
          <w:color w:val="000000"/>
          <w:sz w:val="32"/>
          <w:szCs w:val="32"/>
        </w:rPr>
        <w:t>到位</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bCs/>
          <w:kern w:val="0"/>
          <w:sz w:val="32"/>
          <w:szCs w:val="32"/>
        </w:rPr>
        <w:t>项目资金的拨付有完整的审批程序和手续，资金使用符合管理办法。</w:t>
      </w:r>
      <w:r>
        <w:rPr>
          <w:rFonts w:hint="eastAsia" w:ascii="仿宋_GB2312" w:hAnsi="宋体" w:eastAsia="仿宋_GB2312"/>
          <w:sz w:val="32"/>
          <w:szCs w:val="32"/>
        </w:rPr>
        <w:t>已建立生态公益林补偿资金使用管理制度</w:t>
      </w:r>
      <w:r>
        <w:rPr>
          <w:rFonts w:hint="eastAsia" w:ascii="仿宋_GB2312" w:hAnsi="宋体" w:eastAsia="仿宋_GB2312"/>
          <w:sz w:val="32"/>
          <w:szCs w:val="32"/>
          <w:lang w:eastAsia="zh-CN"/>
        </w:rPr>
        <w:t>，</w:t>
      </w:r>
      <w:r>
        <w:rPr>
          <w:rFonts w:hint="eastAsia" w:ascii="仿宋_GB2312" w:hAnsi="宋体" w:eastAsia="仿宋_GB2312"/>
          <w:sz w:val="32"/>
          <w:szCs w:val="32"/>
        </w:rPr>
        <w:t>生态公益林护林员选聘、考核管理制度。</w:t>
      </w:r>
    </w:p>
    <w:p w14:paraId="3E24BC24">
      <w:pPr>
        <w:numPr>
          <w:ilvl w:val="0"/>
          <w:numId w:val="3"/>
        </w:numPr>
        <w:spacing w:line="600" w:lineRule="exact"/>
        <w:ind w:left="0" w:leftChars="0" w:firstLine="645" w:firstLineChars="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项目产出情况</w:t>
      </w:r>
    </w:p>
    <w:p w14:paraId="328387D0">
      <w:pPr>
        <w:numPr>
          <w:ilvl w:val="0"/>
          <w:numId w:val="4"/>
        </w:numPr>
        <w:spacing w:line="600" w:lineRule="exact"/>
        <w:ind w:left="645" w:leftChars="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数量指标</w:t>
      </w:r>
    </w:p>
    <w:p w14:paraId="3B062283">
      <w:pPr>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补助省级以上公益林面积111.72万亩,完成省级以上自然保护地林权所有者补助面积15.93万亩</w:t>
      </w:r>
      <w:r>
        <w:rPr>
          <w:rFonts w:hint="eastAsia" w:ascii="仿宋_GB2312" w:hAnsi="仿宋_GB2312" w:eastAsia="仿宋_GB2312" w:cs="仿宋_GB2312"/>
          <w:sz w:val="32"/>
          <w:szCs w:val="32"/>
          <w:lang w:eastAsia="zh-CN"/>
        </w:rPr>
        <w:t>，均已完成绩效目标</w:t>
      </w:r>
      <w:r>
        <w:rPr>
          <w:rFonts w:hint="eastAsia" w:ascii="仿宋_GB2312" w:hAnsi="仿宋_GB2312" w:eastAsia="仿宋_GB2312" w:cs="仿宋_GB2312"/>
          <w:color w:val="000000"/>
          <w:sz w:val="32"/>
          <w:szCs w:val="32"/>
          <w:lang w:val="en-US" w:eastAsia="zh-CN"/>
        </w:rPr>
        <w:t>。</w:t>
      </w:r>
    </w:p>
    <w:p w14:paraId="4F27741C">
      <w:pPr>
        <w:numPr>
          <w:ilvl w:val="0"/>
          <w:numId w:val="4"/>
        </w:numPr>
        <w:spacing w:line="600" w:lineRule="exact"/>
        <w:ind w:left="645" w:leftChars="0" w:firstLine="0" w:firstLineChars="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质量指标</w:t>
      </w:r>
    </w:p>
    <w:p w14:paraId="738A726C">
      <w:pPr>
        <w:spacing w:line="60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全县生态公益林保有量111.72万亩</w:t>
      </w:r>
      <w:r>
        <w:rPr>
          <w:rFonts w:hint="eastAsia" w:ascii="仿宋_GB2312" w:hAnsi="仿宋_GB2312" w:eastAsia="仿宋_GB2312" w:cs="仿宋_GB2312"/>
          <w:color w:val="000000"/>
          <w:sz w:val="32"/>
          <w:szCs w:val="32"/>
          <w:lang w:eastAsia="zh-CN"/>
        </w:rPr>
        <w:t>。</w:t>
      </w:r>
    </w:p>
    <w:p w14:paraId="79A429A6">
      <w:pPr>
        <w:numPr>
          <w:ilvl w:val="0"/>
          <w:numId w:val="4"/>
        </w:numPr>
        <w:spacing w:line="600" w:lineRule="exact"/>
        <w:ind w:left="645" w:leftChars="0" w:firstLine="0" w:firstLineChars="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成本指标</w:t>
      </w:r>
    </w:p>
    <w:p w14:paraId="42EEBD23">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省级以上生态公益林中</w:t>
      </w:r>
      <w:r>
        <w:rPr>
          <w:rFonts w:hint="eastAsia" w:ascii="仿宋_GB2312" w:hAnsi="仿宋_GB2312" w:eastAsia="仿宋_GB2312" w:cs="仿宋_GB2312"/>
          <w:sz w:val="32"/>
          <w:szCs w:val="32"/>
          <w:lang w:val="en-US" w:eastAsia="zh-CN"/>
        </w:rPr>
        <w:t>经济林和竹林</w:t>
      </w:r>
      <w:r>
        <w:rPr>
          <w:rFonts w:hint="eastAsia" w:ascii="仿宋_GB2312" w:hAnsi="仿宋_GB2312" w:eastAsia="仿宋_GB2312" w:cs="仿宋_GB2312"/>
          <w:sz w:val="32"/>
          <w:szCs w:val="32"/>
          <w:lang w:eastAsia="zh-CN"/>
        </w:rPr>
        <w:t>补助</w:t>
      </w:r>
      <w:r>
        <w:rPr>
          <w:rFonts w:hint="eastAsia" w:ascii="仿宋_GB2312" w:hAnsi="仿宋_GB2312" w:eastAsia="仿宋_GB2312" w:cs="仿宋_GB2312"/>
          <w:sz w:val="32"/>
          <w:szCs w:val="32"/>
          <w:lang w:val="en-US" w:eastAsia="zh-CN"/>
        </w:rPr>
        <w:t>22元/亩,乔林木和其他林补助23元/亩,达到目标要求。</w:t>
      </w:r>
    </w:p>
    <w:p w14:paraId="0E1FA486">
      <w:pPr>
        <w:numPr>
          <w:ilvl w:val="0"/>
          <w:numId w:val="4"/>
        </w:numPr>
        <w:spacing w:line="600" w:lineRule="exact"/>
        <w:ind w:left="645"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w:t>
      </w:r>
    </w:p>
    <w:p w14:paraId="7FB9295E">
      <w:pPr>
        <w:spacing w:line="60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项目任务完成率</w:t>
      </w:r>
      <w:r>
        <w:rPr>
          <w:rFonts w:hint="eastAsia" w:ascii="仿宋_GB2312" w:hAnsi="仿宋_GB2312" w:eastAsia="仿宋_GB2312" w:cs="仿宋_GB2312"/>
          <w:sz w:val="32"/>
          <w:szCs w:val="32"/>
          <w:lang w:val="en-US" w:eastAsia="zh-CN"/>
        </w:rPr>
        <w:t>95%。</w:t>
      </w:r>
    </w:p>
    <w:p w14:paraId="00614502">
      <w:pPr>
        <w:numPr>
          <w:ilvl w:val="0"/>
          <w:numId w:val="3"/>
        </w:numPr>
        <w:spacing w:line="540" w:lineRule="exact"/>
        <w:ind w:left="0" w:leftChars="0" w:firstLine="645" w:firstLineChars="0"/>
        <w:jc w:val="left"/>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项目效益情况</w:t>
      </w:r>
    </w:p>
    <w:p w14:paraId="5F05A6BB">
      <w:pPr>
        <w:numPr>
          <w:ilvl w:val="0"/>
          <w:numId w:val="0"/>
        </w:numPr>
        <w:spacing w:line="540" w:lineRule="exact"/>
        <w:ind w:leftChars="3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生态效益</w:t>
      </w:r>
    </w:p>
    <w:p w14:paraId="3850DC3A">
      <w:pPr>
        <w:spacing w:line="540" w:lineRule="exact"/>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公益林平均亩蓄积量变化达100%。</w:t>
      </w:r>
    </w:p>
    <w:p w14:paraId="476D4FEA">
      <w:pPr>
        <w:numPr>
          <w:ilvl w:val="0"/>
          <w:numId w:val="0"/>
        </w:numPr>
        <w:spacing w:line="540" w:lineRule="exact"/>
        <w:ind w:firstLine="643" w:firstLineChars="200"/>
        <w:rPr>
          <w:rFonts w:hint="eastAsia" w:ascii="楷体_GB2312" w:hAnsi="楷体_GB2312" w:eastAsia="楷体_GB2312" w:cs="楷体_GB2312"/>
          <w:b/>
          <w:bCs/>
          <w:color w:val="000000"/>
          <w:sz w:val="32"/>
          <w:szCs w:val="32"/>
          <w:lang w:val="en-US" w:eastAsia="zh-CN"/>
        </w:rPr>
      </w:pPr>
      <w:r>
        <w:rPr>
          <w:rFonts w:hint="eastAsia" w:ascii="楷体_GB2312" w:hAnsi="楷体_GB2312" w:eastAsia="楷体_GB2312" w:cs="楷体_GB2312"/>
          <w:b/>
          <w:bCs/>
          <w:color w:val="000000"/>
          <w:sz w:val="32"/>
          <w:szCs w:val="32"/>
          <w:lang w:val="en-US" w:eastAsia="zh-CN"/>
        </w:rPr>
        <w:t>(五）服务对象满意度情况</w:t>
      </w:r>
    </w:p>
    <w:p w14:paraId="765FCD1E">
      <w:pPr>
        <w:ind w:firstLine="640" w:firstLineChars="200"/>
        <w:jc w:val="left"/>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公益林林权所有者满意度95%，省级以上自然保护地林权所有者满意度95%，均达到</w:t>
      </w:r>
      <w:r>
        <w:rPr>
          <w:rFonts w:hint="eastAsia" w:ascii="仿宋_GB2312" w:hAnsi="仿宋_GB2312" w:eastAsia="仿宋_GB2312" w:cs="仿宋_GB2312"/>
          <w:sz w:val="32"/>
          <w:szCs w:val="32"/>
          <w:lang w:val="en-US" w:eastAsia="zh-CN"/>
        </w:rPr>
        <w:t>目标要求</w:t>
      </w:r>
      <w:r>
        <w:rPr>
          <w:rFonts w:hint="eastAsia" w:ascii="仿宋_GB2312" w:hAnsi="仿宋_GB2312" w:eastAsia="仿宋_GB2312" w:cs="仿宋_GB2312"/>
          <w:b w:val="0"/>
          <w:bCs w:val="0"/>
          <w:color w:val="000000"/>
          <w:sz w:val="32"/>
          <w:szCs w:val="32"/>
          <w:lang w:val="en-US" w:eastAsia="zh-CN"/>
        </w:rPr>
        <w:t>。</w:t>
      </w:r>
    </w:p>
    <w:p w14:paraId="5D76F08D">
      <w:pPr>
        <w:ind w:left="0" w:leftChars="0" w:firstLine="640" w:firstLineChars="200"/>
        <w:jc w:val="left"/>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、综合评价情况及评价结论(附相关评分表)</w:t>
      </w:r>
    </w:p>
    <w:p w14:paraId="0F0740AE">
      <w:pPr>
        <w:numPr>
          <w:ilvl w:val="0"/>
          <w:numId w:val="0"/>
        </w:numPr>
        <w:ind w:firstLine="640" w:firstLineChars="200"/>
        <w:jc w:val="left"/>
        <w:rPr>
          <w:rFonts w:hint="default"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sz w:val="32"/>
          <w:szCs w:val="32"/>
          <w:lang w:val="en-US" w:eastAsia="zh-CN"/>
        </w:rPr>
        <w:t>我县根据项目的实施情况，开展项目绩效自评工作。通过对项目资金的到位、使用、支出情况；项目建设任务完成情况和效益情况；项目组织管理、财务管理情况等各项评价指标进行自评，林业生态补偿</w:t>
      </w:r>
      <w:r>
        <w:rPr>
          <w:rFonts w:hint="eastAsia" w:ascii="仿宋_GB2312" w:hAnsi="宋体" w:eastAsia="仿宋_GB2312" w:cs="宋体"/>
          <w:kern w:val="0"/>
          <w:sz w:val="32"/>
          <w:szCs w:val="32"/>
          <w:lang w:eastAsia="zh-CN"/>
        </w:rPr>
        <w:t>项目自评分为</w:t>
      </w:r>
      <w:r>
        <w:rPr>
          <w:rFonts w:hint="eastAsia" w:ascii="仿宋_GB2312" w:hAnsi="宋体" w:eastAsia="仿宋_GB2312" w:cs="宋体"/>
          <w:kern w:val="0"/>
          <w:sz w:val="32"/>
          <w:szCs w:val="32"/>
          <w:lang w:val="en-US" w:eastAsia="zh-CN"/>
        </w:rPr>
        <w:t>98分，项目综合评价等级为优（详见专项绩效自评表）。</w:t>
      </w:r>
    </w:p>
    <w:p w14:paraId="30950D7B">
      <w:pPr>
        <w:numPr>
          <w:ilvl w:val="0"/>
          <w:numId w:val="5"/>
        </w:num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主要经验及做法、存在的问题及原因分析</w:t>
      </w:r>
    </w:p>
    <w:p w14:paraId="79970031">
      <w:pPr>
        <w:spacing w:line="540" w:lineRule="exact"/>
        <w:ind w:firstLine="619" w:firstLineChars="200"/>
        <w:rPr>
          <w:rFonts w:hint="eastAsia" w:ascii="楷体_GB2312" w:hAnsi="楷体_GB2312" w:eastAsia="楷体_GB2312" w:cs="楷体_GB2312"/>
          <w:b/>
          <w:bCs w:val="0"/>
          <w:color w:val="000000"/>
          <w:spacing w:val="-6"/>
          <w:sz w:val="32"/>
          <w:szCs w:val="32"/>
        </w:rPr>
      </w:pPr>
      <w:r>
        <w:rPr>
          <w:rFonts w:hint="eastAsia" w:ascii="楷体_GB2312" w:hAnsi="楷体_GB2312" w:eastAsia="楷体_GB2312" w:cs="楷体_GB2312"/>
          <w:b/>
          <w:bCs w:val="0"/>
          <w:color w:val="000000"/>
          <w:spacing w:val="-6"/>
          <w:sz w:val="32"/>
          <w:szCs w:val="32"/>
          <w:lang w:eastAsia="zh-CN"/>
        </w:rPr>
        <w:t>（一）</w:t>
      </w:r>
      <w:r>
        <w:rPr>
          <w:rFonts w:hint="eastAsia" w:ascii="楷体_GB2312" w:hAnsi="楷体_GB2312" w:eastAsia="楷体_GB2312" w:cs="楷体_GB2312"/>
          <w:b/>
          <w:bCs w:val="0"/>
          <w:color w:val="000000"/>
          <w:spacing w:val="-6"/>
          <w:sz w:val="32"/>
          <w:szCs w:val="32"/>
        </w:rPr>
        <w:t>主要经验及做法</w:t>
      </w:r>
    </w:p>
    <w:p w14:paraId="39C7E734">
      <w:pPr>
        <w:spacing w:line="540" w:lineRule="exact"/>
        <w:ind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val="en-US" w:eastAsia="zh-CN"/>
        </w:rPr>
        <w:t>1</w:t>
      </w:r>
      <w:r>
        <w:rPr>
          <w:rFonts w:hint="eastAsia" w:ascii="仿宋_GB2312" w:hAnsi="仿宋_GB2312" w:eastAsia="仿宋_GB2312" w:cs="仿宋_GB2312"/>
          <w:b w:val="0"/>
          <w:bCs w:val="0"/>
          <w:color w:val="000000"/>
          <w:sz w:val="32"/>
          <w:szCs w:val="32"/>
          <w:lang w:val="en-US" w:eastAsia="zh-CN"/>
        </w:rPr>
        <w:t>.</w:t>
      </w:r>
      <w:r>
        <w:rPr>
          <w:rFonts w:hint="eastAsia" w:ascii="仿宋_GB2312" w:hAnsi="仿宋_GB2312" w:eastAsia="仿宋_GB2312" w:cs="仿宋_GB2312"/>
          <w:b/>
          <w:bCs/>
          <w:color w:val="000000"/>
          <w:sz w:val="32"/>
          <w:szCs w:val="32"/>
        </w:rPr>
        <w:t>加强领导，明确职责。</w:t>
      </w:r>
      <w:r>
        <w:rPr>
          <w:rFonts w:hint="eastAsia" w:ascii="仿宋_GB2312" w:hAnsi="仿宋_GB2312" w:eastAsia="仿宋_GB2312" w:cs="仿宋_GB2312"/>
          <w:color w:val="000000"/>
          <w:sz w:val="32"/>
          <w:szCs w:val="32"/>
          <w:lang w:eastAsia="zh-CN"/>
        </w:rPr>
        <w:t>成立了由局</w:t>
      </w:r>
      <w:r>
        <w:rPr>
          <w:rFonts w:hint="eastAsia" w:ascii="仿宋_GB2312" w:hAnsi="仿宋_GB2312" w:eastAsia="仿宋_GB2312" w:cs="仿宋_GB2312"/>
          <w:color w:val="000000"/>
          <w:sz w:val="32"/>
          <w:szCs w:val="32"/>
        </w:rPr>
        <w:t>分管副局长</w:t>
      </w:r>
      <w:r>
        <w:rPr>
          <w:rFonts w:hint="eastAsia" w:ascii="仿宋_GB2312" w:hAnsi="仿宋_GB2312" w:eastAsia="仿宋_GB2312" w:cs="仿宋_GB2312"/>
          <w:color w:val="000000"/>
          <w:sz w:val="32"/>
          <w:szCs w:val="32"/>
          <w:lang w:eastAsia="zh-CN"/>
        </w:rPr>
        <w:t>为组长，局计财股负责人为副组长，</w:t>
      </w:r>
      <w:r>
        <w:rPr>
          <w:rFonts w:hint="eastAsia" w:ascii="仿宋_GB2312" w:hAnsi="仿宋_GB2312" w:eastAsia="仿宋_GB2312" w:cs="仿宋_GB2312"/>
          <w:color w:val="000000"/>
          <w:sz w:val="32"/>
          <w:szCs w:val="32"/>
        </w:rPr>
        <w:t>各有关股室负责人为成员</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rPr>
        <w:t>绩效</w:t>
      </w:r>
      <w:r>
        <w:rPr>
          <w:rFonts w:hint="eastAsia" w:ascii="仿宋_GB2312" w:hAnsi="仿宋_GB2312" w:eastAsia="仿宋_GB2312" w:cs="仿宋_GB2312"/>
          <w:color w:val="000000"/>
          <w:sz w:val="32"/>
          <w:szCs w:val="32"/>
          <w:lang w:eastAsia="zh-CN"/>
        </w:rPr>
        <w:t>评价工作小组，及时召开会议，确定了</w:t>
      </w:r>
      <w:r>
        <w:rPr>
          <w:rFonts w:hint="eastAsia" w:ascii="仿宋_GB2312" w:hAnsi="仿宋_GB2312" w:eastAsia="仿宋_GB2312" w:cs="仿宋_GB2312"/>
          <w:color w:val="000000"/>
          <w:sz w:val="32"/>
          <w:szCs w:val="32"/>
        </w:rPr>
        <w:t>绩效评价对象、主要内容</w:t>
      </w:r>
      <w:r>
        <w:rPr>
          <w:rFonts w:hint="eastAsia" w:ascii="仿宋_GB2312" w:hAnsi="仿宋_GB2312" w:eastAsia="仿宋_GB2312" w:cs="仿宋_GB2312"/>
          <w:color w:val="000000"/>
          <w:sz w:val="32"/>
          <w:szCs w:val="32"/>
          <w:lang w:eastAsia="zh-CN"/>
        </w:rPr>
        <w:t>、承担股室和时间要求</w:t>
      </w:r>
      <w:r>
        <w:rPr>
          <w:rFonts w:hint="eastAsia" w:ascii="仿宋_GB2312" w:hAnsi="仿宋_GB2312" w:eastAsia="仿宋_GB2312" w:cs="仿宋_GB2312"/>
          <w:color w:val="000000"/>
          <w:sz w:val="32"/>
          <w:szCs w:val="32"/>
        </w:rPr>
        <w:t>。</w:t>
      </w:r>
    </w:p>
    <w:p w14:paraId="129CF024">
      <w:pPr>
        <w:spacing w:line="540" w:lineRule="exact"/>
        <w:ind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val="en-US" w:eastAsia="zh-CN"/>
        </w:rPr>
        <w:t>2</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b/>
          <w:bCs/>
          <w:color w:val="000000"/>
          <w:sz w:val="32"/>
          <w:szCs w:val="32"/>
        </w:rPr>
        <w:t>密切配合，各负其责</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sz w:val="32"/>
          <w:szCs w:val="32"/>
          <w:lang w:eastAsia="zh-CN"/>
        </w:rPr>
        <w:t>针对此次省级</w:t>
      </w:r>
      <w:r>
        <w:rPr>
          <w:rFonts w:hint="eastAsia" w:ascii="仿宋_GB2312" w:hAnsi="仿宋_GB2312" w:eastAsia="仿宋_GB2312" w:cs="仿宋_GB2312"/>
          <w:sz w:val="32"/>
          <w:szCs w:val="32"/>
        </w:rPr>
        <w:t>财政林业</w:t>
      </w:r>
      <w:r>
        <w:rPr>
          <w:rFonts w:hint="eastAsia" w:ascii="仿宋_GB2312" w:hAnsi="仿宋_GB2312" w:eastAsia="仿宋_GB2312" w:cs="仿宋_GB2312"/>
          <w:sz w:val="32"/>
          <w:szCs w:val="32"/>
          <w:lang w:eastAsia="zh-CN"/>
        </w:rPr>
        <w:t>专项</w:t>
      </w:r>
      <w:r>
        <w:rPr>
          <w:rFonts w:hint="eastAsia" w:ascii="仿宋_GB2312" w:hAnsi="仿宋_GB2312" w:eastAsia="仿宋_GB2312" w:cs="仿宋_GB2312"/>
          <w:sz w:val="32"/>
          <w:szCs w:val="32"/>
        </w:rPr>
        <w:t>资金绩效</w:t>
      </w:r>
      <w:r>
        <w:rPr>
          <w:rFonts w:hint="eastAsia" w:ascii="仿宋_GB2312" w:hAnsi="仿宋_GB2312" w:eastAsia="仿宋_GB2312" w:cs="仿宋_GB2312"/>
          <w:sz w:val="32"/>
          <w:szCs w:val="32"/>
          <w:lang w:eastAsia="zh-CN"/>
        </w:rPr>
        <w:t>评价涉及的</w:t>
      </w:r>
      <w:r>
        <w:rPr>
          <w:rFonts w:hint="eastAsia" w:ascii="仿宋_GB2312" w:hAnsi="仿宋_GB2312" w:eastAsia="仿宋_GB2312" w:cs="仿宋_GB2312"/>
          <w:color w:val="000000"/>
          <w:sz w:val="32"/>
          <w:szCs w:val="32"/>
          <w:lang w:eastAsia="zh-CN"/>
        </w:rPr>
        <w:t>项目，要求承办股室根据项目实施要求，</w:t>
      </w:r>
      <w:r>
        <w:rPr>
          <w:rFonts w:hint="eastAsia" w:ascii="仿宋_GB2312" w:hAnsi="仿宋_GB2312" w:eastAsia="仿宋_GB2312" w:cs="仿宋_GB2312"/>
          <w:color w:val="000000"/>
          <w:sz w:val="32"/>
          <w:szCs w:val="32"/>
        </w:rPr>
        <w:t>收集项目实施</w:t>
      </w:r>
      <w:r>
        <w:rPr>
          <w:rFonts w:hint="eastAsia" w:ascii="仿宋_GB2312" w:hAnsi="仿宋_GB2312" w:eastAsia="仿宋_GB2312" w:cs="仿宋_GB2312"/>
          <w:color w:val="000000"/>
          <w:sz w:val="32"/>
          <w:szCs w:val="32"/>
          <w:lang w:eastAsia="zh-CN"/>
        </w:rPr>
        <w:t>有关</w:t>
      </w:r>
      <w:r>
        <w:rPr>
          <w:rFonts w:hint="eastAsia" w:ascii="仿宋_GB2312" w:hAnsi="仿宋_GB2312" w:eastAsia="仿宋_GB2312" w:cs="仿宋_GB2312"/>
          <w:color w:val="000000"/>
          <w:sz w:val="32"/>
          <w:szCs w:val="32"/>
        </w:rPr>
        <w:t>资料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lang w:eastAsia="zh-CN"/>
        </w:rPr>
        <w:t>包括提交立项决策、建设实施、生产经营等基础数据资料）</w:t>
      </w:r>
      <w:r>
        <w:rPr>
          <w:rFonts w:hint="eastAsia" w:ascii="仿宋_GB2312" w:hAnsi="仿宋_GB2312" w:eastAsia="仿宋_GB2312" w:cs="仿宋_GB2312"/>
          <w:color w:val="000000"/>
          <w:sz w:val="32"/>
          <w:szCs w:val="32"/>
        </w:rPr>
        <w:t>、资金拨付文件、财务会计资料等</w:t>
      </w:r>
      <w:r>
        <w:rPr>
          <w:rFonts w:hint="eastAsia" w:ascii="仿宋_GB2312" w:hAnsi="仿宋_GB2312" w:eastAsia="仿宋_GB2312" w:cs="仿宋_GB2312"/>
          <w:color w:val="000000"/>
          <w:sz w:val="32"/>
          <w:szCs w:val="32"/>
          <w:lang w:eastAsia="zh-CN"/>
        </w:rPr>
        <w:t>，业务和财务部门相互配合，按时完成绩效评价</w:t>
      </w:r>
      <w:r>
        <w:rPr>
          <w:rFonts w:hint="eastAsia" w:ascii="仿宋_GB2312" w:hAnsi="仿宋_GB2312" w:eastAsia="仿宋_GB2312" w:cs="仿宋_GB2312"/>
          <w:color w:val="000000"/>
          <w:sz w:val="32"/>
          <w:szCs w:val="32"/>
        </w:rPr>
        <w:t>。</w:t>
      </w:r>
    </w:p>
    <w:p w14:paraId="189FF756">
      <w:pPr>
        <w:spacing w:line="54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000000"/>
          <w:sz w:val="32"/>
          <w:szCs w:val="32"/>
          <w:lang w:val="en-US" w:eastAsia="zh-CN"/>
        </w:rPr>
        <w:t>3.</w:t>
      </w:r>
      <w:r>
        <w:rPr>
          <w:rFonts w:hint="eastAsia" w:ascii="仿宋_GB2312" w:hAnsi="仿宋_GB2312" w:eastAsia="仿宋_GB2312" w:cs="仿宋_GB2312"/>
          <w:b/>
          <w:bCs/>
          <w:color w:val="000000"/>
          <w:sz w:val="32"/>
          <w:szCs w:val="32"/>
          <w:lang w:eastAsia="zh-CN"/>
        </w:rPr>
        <w:t>实事求是，客观评价</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sz w:val="32"/>
          <w:szCs w:val="32"/>
          <w:lang w:eastAsia="zh-CN"/>
        </w:rPr>
        <w:t>参照评价指标体系和评价标准，收集</w:t>
      </w:r>
      <w:r>
        <w:rPr>
          <w:rFonts w:hint="eastAsia" w:ascii="仿宋_GB2312" w:hAnsi="仿宋_GB2312" w:eastAsia="仿宋_GB2312" w:cs="仿宋_GB2312"/>
          <w:sz w:val="32"/>
          <w:szCs w:val="32"/>
        </w:rPr>
        <w:t>绩效</w:t>
      </w:r>
      <w:r>
        <w:rPr>
          <w:rFonts w:hint="eastAsia" w:ascii="仿宋_GB2312" w:hAnsi="仿宋_GB2312" w:eastAsia="仿宋_GB2312" w:cs="仿宋_GB2312"/>
          <w:sz w:val="32"/>
          <w:szCs w:val="32"/>
          <w:lang w:eastAsia="zh-CN"/>
        </w:rPr>
        <w:t>评价有关信息，运用相关评价方法，对各项目收集的相关材料，评价工作小组进行分析、处理，得出客观公正的评价结论。</w:t>
      </w:r>
    </w:p>
    <w:p w14:paraId="424EB497">
      <w:pPr>
        <w:pageBreakBefore w:val="0"/>
        <w:widowControl w:val="0"/>
        <w:kinsoku/>
        <w:wordWrap/>
        <w:overflowPunct/>
        <w:topLinePunct w:val="0"/>
        <w:autoSpaceDE/>
        <w:autoSpaceDN/>
        <w:bidi w:val="0"/>
        <w:adjustRightInd/>
        <w:snapToGrid/>
        <w:spacing w:line="560" w:lineRule="exact"/>
        <w:ind w:firstLine="321" w:firstLineChars="100"/>
        <w:textAlignment w:val="auto"/>
        <w:rPr>
          <w:rFonts w:hint="eastAsia" w:ascii="黑体" w:hAnsi="黑体" w:eastAsia="黑体" w:cs="黑体"/>
          <w:sz w:val="32"/>
          <w:szCs w:val="32"/>
          <w:lang w:eastAsia="zh-CN"/>
        </w:rPr>
      </w:pPr>
      <w:r>
        <w:rPr>
          <w:rFonts w:hint="eastAsia" w:ascii="楷体_GB2312" w:hAnsi="楷体_GB2312" w:eastAsia="楷体_GB2312" w:cs="楷体_GB2312"/>
          <w:b/>
          <w:bCs/>
          <w:sz w:val="32"/>
          <w:szCs w:val="32"/>
          <w:lang w:eastAsia="zh-CN"/>
        </w:rPr>
        <w:t>（二）存在问题及原因分析和有关建议：</w:t>
      </w:r>
    </w:p>
    <w:p w14:paraId="055910FD">
      <w:pPr>
        <w:widowControl/>
        <w:tabs>
          <w:tab w:val="left" w:pos="6373"/>
          <w:tab w:val="left" w:pos="8533"/>
          <w:tab w:val="left" w:pos="9613"/>
          <w:tab w:val="left" w:pos="10693"/>
          <w:tab w:val="left" w:pos="11773"/>
          <w:tab w:val="left" w:pos="12853"/>
          <w:tab w:val="left" w:pos="13933"/>
          <w:tab w:val="left" w:pos="15013"/>
          <w:tab w:val="left" w:pos="16093"/>
          <w:tab w:val="left" w:pos="17173"/>
          <w:tab w:val="left" w:pos="18253"/>
          <w:tab w:val="left" w:pos="19333"/>
          <w:tab w:val="left" w:pos="20413"/>
          <w:tab w:val="left" w:pos="21493"/>
          <w:tab w:val="left" w:pos="22573"/>
        </w:tabs>
        <w:spacing w:line="540" w:lineRule="exact"/>
        <w:ind w:left="84" w:leftChars="40" w:firstLine="640" w:firstLineChars="200"/>
        <w:rPr>
          <w:rFonts w:hint="eastAsia" w:ascii="仿宋_GB2312" w:hAnsi="仿宋" w:eastAsia="仿宋_GB2312" w:cs="Times New Roman"/>
          <w:color w:val="auto"/>
          <w:sz w:val="32"/>
          <w:szCs w:val="32"/>
        </w:rPr>
      </w:pPr>
      <w:r>
        <w:rPr>
          <w:rFonts w:hint="eastAsia" w:ascii="仿宋_GB2312" w:hAnsi="仿宋" w:eastAsia="仿宋_GB2312" w:cs="Times New Roman"/>
          <w:color w:val="auto"/>
          <w:sz w:val="32"/>
          <w:szCs w:val="32"/>
        </w:rPr>
        <w:t>按照自然保护区功能区划原则，将保护区区划为核心区、缓冲区和实验区。核心区的主要作用是保护自然保护区内生态系统和物种在自然状态下的演替和繁衍不受人为干扰，在自然状态下演替和繁衍。核心区实行绝对保护，禁止任何人进入自然保护区的核心区；缓冲区可以防止核心区受外界的影响和破坏，起到对核心区的缓冲作用，保证核心区的完整和完全，对核心区生态环境的保护具有必不可少的意义。但是自然保护区社区群众的生产生活及经营活动和发展空间受到</w:t>
      </w:r>
      <w:r>
        <w:rPr>
          <w:rFonts w:hint="eastAsia" w:ascii="仿宋_GB2312" w:hAnsi="仿宋" w:eastAsia="仿宋_GB2312" w:cs="Times New Roman"/>
          <w:color w:val="auto"/>
          <w:sz w:val="32"/>
          <w:szCs w:val="32"/>
          <w:lang w:eastAsia="zh-CN"/>
        </w:rPr>
        <w:t>自然保护区管理要求的限制</w:t>
      </w:r>
      <w:r>
        <w:rPr>
          <w:rFonts w:hint="eastAsia" w:ascii="仿宋_GB2312" w:hAnsi="仿宋" w:eastAsia="仿宋_GB2312" w:cs="Times New Roman"/>
          <w:color w:val="auto"/>
          <w:sz w:val="32"/>
          <w:szCs w:val="32"/>
        </w:rPr>
        <w:t>，区内群众收入</w:t>
      </w:r>
      <w:r>
        <w:rPr>
          <w:rFonts w:hint="eastAsia" w:ascii="仿宋_GB2312" w:hAnsi="仿宋" w:eastAsia="仿宋_GB2312" w:cs="Times New Roman"/>
          <w:color w:val="auto"/>
          <w:sz w:val="32"/>
          <w:szCs w:val="32"/>
          <w:lang w:eastAsia="zh-CN"/>
        </w:rPr>
        <w:t>受到一定影响</w:t>
      </w:r>
      <w:r>
        <w:rPr>
          <w:rFonts w:hint="eastAsia" w:ascii="仿宋_GB2312" w:hAnsi="仿宋" w:eastAsia="仿宋_GB2312" w:cs="Times New Roman"/>
          <w:color w:val="auto"/>
          <w:sz w:val="32"/>
          <w:szCs w:val="32"/>
        </w:rPr>
        <w:t>。</w:t>
      </w:r>
      <w:r>
        <w:rPr>
          <w:rFonts w:hint="eastAsia" w:ascii="仿宋_GB2312" w:hAnsi="仿宋" w:eastAsia="仿宋_GB2312" w:cs="Times New Roman"/>
          <w:color w:val="auto"/>
          <w:sz w:val="32"/>
          <w:szCs w:val="32"/>
          <w:lang w:eastAsia="zh-CN"/>
        </w:rPr>
        <w:t>有些</w:t>
      </w:r>
      <w:r>
        <w:rPr>
          <w:rFonts w:hint="eastAsia" w:ascii="仿宋_GB2312" w:hAnsi="仿宋" w:eastAsia="仿宋_GB2312" w:cs="Times New Roman"/>
          <w:color w:val="auto"/>
          <w:sz w:val="32"/>
          <w:szCs w:val="32"/>
        </w:rPr>
        <w:t>区内群众意见比较大</w:t>
      </w:r>
      <w:r>
        <w:rPr>
          <w:rFonts w:hint="eastAsia" w:ascii="仿宋_GB2312" w:hAnsi="仿宋" w:eastAsia="仿宋_GB2312" w:cs="Times New Roman"/>
          <w:color w:val="auto"/>
          <w:sz w:val="32"/>
          <w:szCs w:val="32"/>
          <w:lang w:eastAsia="zh-CN"/>
        </w:rPr>
        <w:t>。</w:t>
      </w:r>
      <w:r>
        <w:rPr>
          <w:rFonts w:hint="eastAsia" w:ascii="仿宋_GB2312" w:hAnsi="仿宋" w:eastAsia="仿宋_GB2312" w:cs="Times New Roman"/>
          <w:color w:val="auto"/>
          <w:sz w:val="32"/>
          <w:szCs w:val="32"/>
        </w:rPr>
        <w:t>致使保护区管理受到一定的制约。</w:t>
      </w:r>
    </w:p>
    <w:p w14:paraId="37E3011C">
      <w:pPr>
        <w:numPr>
          <w:ilvl w:val="0"/>
          <w:numId w:val="0"/>
        </w:numPr>
        <w:ind w:leftChars="200"/>
        <w:jc w:val="left"/>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其他需要说明的问题</w:t>
      </w:r>
    </w:p>
    <w:p w14:paraId="2747BBE0">
      <w:pPr>
        <w:numPr>
          <w:ilvl w:val="0"/>
          <w:numId w:val="0"/>
        </w:numPr>
        <w:ind w:leftChars="200" w:firstLine="640" w:firstLineChars="200"/>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无</w:t>
      </w:r>
    </w:p>
    <w:p w14:paraId="5D0A19D8">
      <w:pPr>
        <w:numPr>
          <w:ilvl w:val="0"/>
          <w:numId w:val="0"/>
        </w:numPr>
        <w:ind w:leftChars="200"/>
        <w:jc w:val="left"/>
        <w:rPr>
          <w:rFonts w:hint="eastAsia" w:ascii="黑体" w:hAnsi="黑体" w:eastAsia="黑体" w:cs="黑体"/>
          <w:sz w:val="32"/>
          <w:szCs w:val="32"/>
          <w:lang w:eastAsia="zh-CN"/>
        </w:rPr>
      </w:pPr>
    </w:p>
    <w:p w14:paraId="4D5D7F35">
      <w:pPr>
        <w:numPr>
          <w:ilvl w:val="0"/>
          <w:numId w:val="0"/>
        </w:numPr>
        <w:ind w:left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eastAsia="zh-CN"/>
        </w:rPr>
        <w:t>附：2025年度林业生态补偿专项资金绩效自评表</w:t>
      </w:r>
    </w:p>
    <w:p w14:paraId="696B046E">
      <w:pPr>
        <w:widowControl w:val="0"/>
        <w:numPr>
          <w:ilvl w:val="0"/>
          <w:numId w:val="0"/>
        </w:numPr>
        <w:jc w:val="left"/>
        <w:rPr>
          <w:rFonts w:hint="default" w:ascii="仿宋_GB2312" w:hAnsi="仿宋_GB2312" w:eastAsia="仿宋_GB2312" w:cs="仿宋_GB2312"/>
          <w:sz w:val="32"/>
          <w:szCs w:val="32"/>
          <w:lang w:val="en-US" w:eastAsia="zh-CN"/>
        </w:rPr>
      </w:pPr>
    </w:p>
    <w:p w14:paraId="66A102E2">
      <w:pPr>
        <w:widowControl w:val="0"/>
        <w:numPr>
          <w:ilvl w:val="0"/>
          <w:numId w:val="0"/>
        </w:numPr>
        <w:jc w:val="left"/>
        <w:rPr>
          <w:rFonts w:hint="default" w:ascii="仿宋_GB2312" w:hAnsi="仿宋_GB2312" w:eastAsia="仿宋_GB2312" w:cs="仿宋_GB2312"/>
          <w:sz w:val="32"/>
          <w:szCs w:val="32"/>
          <w:lang w:val="en-US" w:eastAsia="zh-CN"/>
        </w:rPr>
      </w:pPr>
    </w:p>
    <w:p w14:paraId="16E9DDE6">
      <w:pPr>
        <w:numPr>
          <w:ilvl w:val="0"/>
          <w:numId w:val="0"/>
        </w:numPr>
        <w:ind w:left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长汀县林业局</w:t>
      </w:r>
    </w:p>
    <w:p w14:paraId="51666E5A">
      <w:pPr>
        <w:numPr>
          <w:ilvl w:val="0"/>
          <w:numId w:val="0"/>
        </w:numPr>
        <w:ind w:leftChars="200" w:firstLine="5120" w:firstLineChars="16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2026年3月12日</w:t>
      </w:r>
    </w:p>
    <w:p w14:paraId="604FCEB9">
      <w:pPr>
        <w:numPr>
          <w:ilvl w:val="0"/>
          <w:numId w:val="0"/>
        </w:numPr>
        <w:ind w:leftChars="200" w:firstLine="5120" w:firstLineChars="1600"/>
        <w:jc w:val="left"/>
        <w:rPr>
          <w:rFonts w:hint="eastAsia" w:ascii="仿宋_GB2312" w:hAnsi="仿宋_GB2312" w:eastAsia="仿宋_GB2312" w:cs="仿宋_GB2312"/>
          <w:sz w:val="32"/>
          <w:szCs w:val="32"/>
          <w:lang w:val="en-US" w:eastAsia="zh-CN"/>
        </w:rPr>
      </w:pPr>
    </w:p>
    <w:p w14:paraId="74309A71">
      <w:pPr>
        <w:numPr>
          <w:ilvl w:val="0"/>
          <w:numId w:val="0"/>
        </w:numPr>
        <w:ind w:leftChars="200" w:firstLine="5120" w:firstLineChars="1600"/>
        <w:jc w:val="left"/>
        <w:rPr>
          <w:rFonts w:hint="eastAsia" w:ascii="仿宋_GB2312" w:hAnsi="仿宋_GB2312" w:eastAsia="仿宋_GB2312" w:cs="仿宋_GB2312"/>
          <w:sz w:val="32"/>
          <w:szCs w:val="32"/>
          <w:lang w:val="en-US" w:eastAsia="zh-CN"/>
        </w:rPr>
      </w:pPr>
    </w:p>
    <w:p w14:paraId="10FAA1D4">
      <w:pPr>
        <w:numPr>
          <w:ilvl w:val="0"/>
          <w:numId w:val="0"/>
        </w:numPr>
        <w:jc w:val="left"/>
        <w:rPr>
          <w:rFonts w:hint="eastAsia" w:ascii="仿宋_GB2312" w:hAnsi="仿宋_GB2312" w:eastAsia="仿宋_GB2312" w:cs="仿宋_GB2312"/>
          <w:sz w:val="32"/>
          <w:szCs w:val="32"/>
          <w:lang w:val="en-US" w:eastAsia="zh-CN"/>
        </w:rPr>
      </w:pPr>
    </w:p>
    <w:sectPr>
      <w:footerReference r:id="rId3" w:type="default"/>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Helvetica">
    <w:altName w:val="Arial"/>
    <w:panose1 w:val="020B0604020202020204"/>
    <w:charset w:val="00"/>
    <w:family w:val="swiss"/>
    <w:pitch w:val="default"/>
    <w:sig w:usb0="00000000" w:usb1="00000000" w:usb2="00000000" w:usb3="00000000" w:csb0="00000001" w:csb1="00000000"/>
  </w:font>
  <w:font w:name="KSOF439EEF50">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69AA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93D69A">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1A93D69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51B71E"/>
    <w:multiLevelType w:val="singleLevel"/>
    <w:tmpl w:val="9B51B71E"/>
    <w:lvl w:ilvl="0" w:tentative="0">
      <w:start w:val="5"/>
      <w:numFmt w:val="chineseCounting"/>
      <w:suff w:val="nothing"/>
      <w:lvlText w:val="%1、"/>
      <w:lvlJc w:val="left"/>
      <w:rPr>
        <w:rFonts w:hint="eastAsia"/>
      </w:rPr>
    </w:lvl>
  </w:abstractNum>
  <w:abstractNum w:abstractNumId="1">
    <w:nsid w:val="ACEAAEBD"/>
    <w:multiLevelType w:val="singleLevel"/>
    <w:tmpl w:val="ACEAAEBD"/>
    <w:lvl w:ilvl="0" w:tentative="0">
      <w:start w:val="1"/>
      <w:numFmt w:val="decimal"/>
      <w:lvlText w:val="%1."/>
      <w:lvlJc w:val="left"/>
      <w:pPr>
        <w:tabs>
          <w:tab w:val="left" w:pos="312"/>
        </w:tabs>
      </w:pPr>
      <w:rPr>
        <w:rFonts w:hint="default"/>
        <w:b/>
        <w:bCs/>
      </w:rPr>
    </w:lvl>
  </w:abstractNum>
  <w:abstractNum w:abstractNumId="2">
    <w:nsid w:val="F9D2622D"/>
    <w:multiLevelType w:val="singleLevel"/>
    <w:tmpl w:val="F9D2622D"/>
    <w:lvl w:ilvl="0" w:tentative="0">
      <w:start w:val="1"/>
      <w:numFmt w:val="chineseCounting"/>
      <w:lvlText w:val="(%1)"/>
      <w:lvlJc w:val="left"/>
      <w:pPr>
        <w:tabs>
          <w:tab w:val="left" w:pos="312"/>
        </w:tabs>
      </w:pPr>
      <w:rPr>
        <w:rFonts w:hint="eastAsia" w:ascii="楷体_GB2312" w:hAnsi="楷体_GB2312" w:eastAsia="楷体_GB2312" w:cs="楷体_GB2312"/>
        <w:sz w:val="32"/>
        <w:szCs w:val="32"/>
      </w:rPr>
    </w:lvl>
  </w:abstractNum>
  <w:abstractNum w:abstractNumId="3">
    <w:nsid w:val="1DAA8D75"/>
    <w:multiLevelType w:val="singleLevel"/>
    <w:tmpl w:val="1DAA8D75"/>
    <w:lvl w:ilvl="0" w:tentative="0">
      <w:start w:val="2"/>
      <w:numFmt w:val="chineseCounting"/>
      <w:lvlText w:val="(%1)"/>
      <w:lvlJc w:val="left"/>
      <w:pPr>
        <w:tabs>
          <w:tab w:val="left" w:pos="312"/>
        </w:tabs>
      </w:pPr>
      <w:rPr>
        <w:rFonts w:hint="eastAsia" w:ascii="楷体_GB2312" w:hAnsi="楷体_GB2312" w:eastAsia="楷体_GB2312" w:cs="楷体_GB2312"/>
        <w:sz w:val="32"/>
        <w:szCs w:val="32"/>
      </w:rPr>
    </w:lvl>
  </w:abstractNum>
  <w:abstractNum w:abstractNumId="4">
    <w:nsid w:val="691C118F"/>
    <w:multiLevelType w:val="singleLevel"/>
    <w:tmpl w:val="691C118F"/>
    <w:lvl w:ilvl="0" w:tentative="0">
      <w:start w:val="1"/>
      <w:numFmt w:val="decimal"/>
      <w:suff w:val="space"/>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01EE6"/>
    <w:rsid w:val="00616BB5"/>
    <w:rsid w:val="01522154"/>
    <w:rsid w:val="01A615A9"/>
    <w:rsid w:val="01C25C5B"/>
    <w:rsid w:val="02820350"/>
    <w:rsid w:val="029D0AD5"/>
    <w:rsid w:val="02B1388C"/>
    <w:rsid w:val="02EB34D9"/>
    <w:rsid w:val="032651B2"/>
    <w:rsid w:val="03404493"/>
    <w:rsid w:val="03D143FF"/>
    <w:rsid w:val="03E326F1"/>
    <w:rsid w:val="03F213C5"/>
    <w:rsid w:val="04073203"/>
    <w:rsid w:val="04392879"/>
    <w:rsid w:val="051457F1"/>
    <w:rsid w:val="055744A8"/>
    <w:rsid w:val="05873555"/>
    <w:rsid w:val="05F7763F"/>
    <w:rsid w:val="06426774"/>
    <w:rsid w:val="06A905A2"/>
    <w:rsid w:val="06F253D7"/>
    <w:rsid w:val="08224695"/>
    <w:rsid w:val="084F3D84"/>
    <w:rsid w:val="08CB0CA3"/>
    <w:rsid w:val="08F70FEF"/>
    <w:rsid w:val="093A4032"/>
    <w:rsid w:val="09654B91"/>
    <w:rsid w:val="0A59408D"/>
    <w:rsid w:val="0A825391"/>
    <w:rsid w:val="0AC135B9"/>
    <w:rsid w:val="0AFF4AFA"/>
    <w:rsid w:val="0B7C23E7"/>
    <w:rsid w:val="0BF40409"/>
    <w:rsid w:val="0C3C42C9"/>
    <w:rsid w:val="0CBC5489"/>
    <w:rsid w:val="0D624EF2"/>
    <w:rsid w:val="0D687620"/>
    <w:rsid w:val="0E0367E9"/>
    <w:rsid w:val="0E075464"/>
    <w:rsid w:val="0E19425F"/>
    <w:rsid w:val="0E447B9E"/>
    <w:rsid w:val="0EA63619"/>
    <w:rsid w:val="0ED25165"/>
    <w:rsid w:val="0F865924"/>
    <w:rsid w:val="0FA22533"/>
    <w:rsid w:val="10365FBB"/>
    <w:rsid w:val="106B45D8"/>
    <w:rsid w:val="108005C5"/>
    <w:rsid w:val="109E3995"/>
    <w:rsid w:val="12107727"/>
    <w:rsid w:val="128D6165"/>
    <w:rsid w:val="1352573F"/>
    <w:rsid w:val="136E27DE"/>
    <w:rsid w:val="13B81E24"/>
    <w:rsid w:val="14643D5A"/>
    <w:rsid w:val="14CC4E16"/>
    <w:rsid w:val="151E03AD"/>
    <w:rsid w:val="15477903"/>
    <w:rsid w:val="15947161"/>
    <w:rsid w:val="15CF0ADB"/>
    <w:rsid w:val="162825AA"/>
    <w:rsid w:val="1638724C"/>
    <w:rsid w:val="1745083A"/>
    <w:rsid w:val="17F81389"/>
    <w:rsid w:val="180E64B6"/>
    <w:rsid w:val="181A12FF"/>
    <w:rsid w:val="18AF6AC1"/>
    <w:rsid w:val="18DA0A8E"/>
    <w:rsid w:val="193E0B05"/>
    <w:rsid w:val="196D70E4"/>
    <w:rsid w:val="1AFE756C"/>
    <w:rsid w:val="1B1904AD"/>
    <w:rsid w:val="1BC2539B"/>
    <w:rsid w:val="1C1F3FB1"/>
    <w:rsid w:val="1C627607"/>
    <w:rsid w:val="1C923C88"/>
    <w:rsid w:val="1CC554CD"/>
    <w:rsid w:val="1D43101F"/>
    <w:rsid w:val="1D842C96"/>
    <w:rsid w:val="1DBC0763"/>
    <w:rsid w:val="1E15048B"/>
    <w:rsid w:val="1E2A1B70"/>
    <w:rsid w:val="1E7C04CA"/>
    <w:rsid w:val="1F282554"/>
    <w:rsid w:val="1F3142C6"/>
    <w:rsid w:val="1F375532"/>
    <w:rsid w:val="1F3E1F2E"/>
    <w:rsid w:val="200A3A07"/>
    <w:rsid w:val="204B6589"/>
    <w:rsid w:val="20607ACB"/>
    <w:rsid w:val="209A038D"/>
    <w:rsid w:val="20EE5043"/>
    <w:rsid w:val="219705F6"/>
    <w:rsid w:val="23A078EA"/>
    <w:rsid w:val="23A73351"/>
    <w:rsid w:val="23C30EBF"/>
    <w:rsid w:val="241F3A3B"/>
    <w:rsid w:val="243702FB"/>
    <w:rsid w:val="243E6375"/>
    <w:rsid w:val="24E9574A"/>
    <w:rsid w:val="254133CA"/>
    <w:rsid w:val="26493D26"/>
    <w:rsid w:val="269242CD"/>
    <w:rsid w:val="26C708A4"/>
    <w:rsid w:val="27BD0D40"/>
    <w:rsid w:val="27D11497"/>
    <w:rsid w:val="282C3571"/>
    <w:rsid w:val="28710DBF"/>
    <w:rsid w:val="295E6B72"/>
    <w:rsid w:val="297B7D25"/>
    <w:rsid w:val="29AA604A"/>
    <w:rsid w:val="2A0607F7"/>
    <w:rsid w:val="2A253EA1"/>
    <w:rsid w:val="2A714467"/>
    <w:rsid w:val="2A903855"/>
    <w:rsid w:val="2A9F5694"/>
    <w:rsid w:val="2B0015A1"/>
    <w:rsid w:val="2B4F0E68"/>
    <w:rsid w:val="2BBB3785"/>
    <w:rsid w:val="2C7E3C95"/>
    <w:rsid w:val="2C823249"/>
    <w:rsid w:val="2E3F51C4"/>
    <w:rsid w:val="2E406136"/>
    <w:rsid w:val="2E574249"/>
    <w:rsid w:val="2F113970"/>
    <w:rsid w:val="2F364819"/>
    <w:rsid w:val="2F712CBD"/>
    <w:rsid w:val="30EC5EE8"/>
    <w:rsid w:val="31513245"/>
    <w:rsid w:val="317451C3"/>
    <w:rsid w:val="318A1F69"/>
    <w:rsid w:val="31953BD9"/>
    <w:rsid w:val="31AA5347"/>
    <w:rsid w:val="31E053A8"/>
    <w:rsid w:val="325B0F9A"/>
    <w:rsid w:val="338A77E8"/>
    <w:rsid w:val="33FD5952"/>
    <w:rsid w:val="340B15B6"/>
    <w:rsid w:val="343D449C"/>
    <w:rsid w:val="344C0B00"/>
    <w:rsid w:val="35C15A22"/>
    <w:rsid w:val="36032F7B"/>
    <w:rsid w:val="360714B4"/>
    <w:rsid w:val="366C6D72"/>
    <w:rsid w:val="380A6843"/>
    <w:rsid w:val="386B509E"/>
    <w:rsid w:val="392C18D5"/>
    <w:rsid w:val="39504CED"/>
    <w:rsid w:val="395660FE"/>
    <w:rsid w:val="3A0379ED"/>
    <w:rsid w:val="3A7461F5"/>
    <w:rsid w:val="3C8701D9"/>
    <w:rsid w:val="3CE67A8D"/>
    <w:rsid w:val="3D2B0827"/>
    <w:rsid w:val="3D3642B1"/>
    <w:rsid w:val="3DBB0773"/>
    <w:rsid w:val="3E3E5532"/>
    <w:rsid w:val="3E7E7642"/>
    <w:rsid w:val="3EDA5952"/>
    <w:rsid w:val="3EF80539"/>
    <w:rsid w:val="3F3E5024"/>
    <w:rsid w:val="3F6727CC"/>
    <w:rsid w:val="3F884C3E"/>
    <w:rsid w:val="40057FF5"/>
    <w:rsid w:val="40155057"/>
    <w:rsid w:val="407F60FD"/>
    <w:rsid w:val="40B7131D"/>
    <w:rsid w:val="40EE361F"/>
    <w:rsid w:val="415962ED"/>
    <w:rsid w:val="424E4DD4"/>
    <w:rsid w:val="426C0658"/>
    <w:rsid w:val="427E3874"/>
    <w:rsid w:val="42EF4C2E"/>
    <w:rsid w:val="43375EB0"/>
    <w:rsid w:val="43AF73CA"/>
    <w:rsid w:val="44086D86"/>
    <w:rsid w:val="441A3D6D"/>
    <w:rsid w:val="4464728E"/>
    <w:rsid w:val="44676DCB"/>
    <w:rsid w:val="448A071C"/>
    <w:rsid w:val="44A74E85"/>
    <w:rsid w:val="451E1B7F"/>
    <w:rsid w:val="45420D1C"/>
    <w:rsid w:val="465939AD"/>
    <w:rsid w:val="469C7200"/>
    <w:rsid w:val="470923BB"/>
    <w:rsid w:val="477E3C75"/>
    <w:rsid w:val="47C54534"/>
    <w:rsid w:val="47E54222"/>
    <w:rsid w:val="48A04884"/>
    <w:rsid w:val="48AF644D"/>
    <w:rsid w:val="494A1F24"/>
    <w:rsid w:val="49907A75"/>
    <w:rsid w:val="4A0E51A3"/>
    <w:rsid w:val="4A765644"/>
    <w:rsid w:val="4A823F5C"/>
    <w:rsid w:val="4A8C5270"/>
    <w:rsid w:val="4A9621B8"/>
    <w:rsid w:val="4ABC3110"/>
    <w:rsid w:val="4BD74836"/>
    <w:rsid w:val="4C794B15"/>
    <w:rsid w:val="4D4C2C61"/>
    <w:rsid w:val="4E864202"/>
    <w:rsid w:val="4EA372A4"/>
    <w:rsid w:val="4EA802A2"/>
    <w:rsid w:val="4FD45A9B"/>
    <w:rsid w:val="50151EB7"/>
    <w:rsid w:val="50A04A8E"/>
    <w:rsid w:val="51BE0E89"/>
    <w:rsid w:val="51BF0246"/>
    <w:rsid w:val="52BA2D4E"/>
    <w:rsid w:val="52C426E3"/>
    <w:rsid w:val="532A16EF"/>
    <w:rsid w:val="53394C3F"/>
    <w:rsid w:val="5360033A"/>
    <w:rsid w:val="53BD416B"/>
    <w:rsid w:val="53CF4F7B"/>
    <w:rsid w:val="53E32493"/>
    <w:rsid w:val="54191267"/>
    <w:rsid w:val="54A65668"/>
    <w:rsid w:val="55376732"/>
    <w:rsid w:val="561B5F37"/>
    <w:rsid w:val="5684380C"/>
    <w:rsid w:val="56B312AB"/>
    <w:rsid w:val="56D21AF1"/>
    <w:rsid w:val="572A6162"/>
    <w:rsid w:val="578F1602"/>
    <w:rsid w:val="59101387"/>
    <w:rsid w:val="59C12681"/>
    <w:rsid w:val="5ABB76A8"/>
    <w:rsid w:val="5B2829B8"/>
    <w:rsid w:val="5B33135D"/>
    <w:rsid w:val="5C013209"/>
    <w:rsid w:val="5C180C7F"/>
    <w:rsid w:val="5C2E3E7A"/>
    <w:rsid w:val="5C7659A5"/>
    <w:rsid w:val="5C942C5B"/>
    <w:rsid w:val="5D1502A2"/>
    <w:rsid w:val="5DD551F9"/>
    <w:rsid w:val="5DE11BA5"/>
    <w:rsid w:val="5DF65BC1"/>
    <w:rsid w:val="5E113BD7"/>
    <w:rsid w:val="5E1B4A56"/>
    <w:rsid w:val="5E6D53B2"/>
    <w:rsid w:val="5E9776F7"/>
    <w:rsid w:val="5EA44A4C"/>
    <w:rsid w:val="5F510A83"/>
    <w:rsid w:val="5FDA35BE"/>
    <w:rsid w:val="60161979"/>
    <w:rsid w:val="615466FD"/>
    <w:rsid w:val="62CE34A2"/>
    <w:rsid w:val="62F23F79"/>
    <w:rsid w:val="63792E03"/>
    <w:rsid w:val="63922C15"/>
    <w:rsid w:val="63A352FA"/>
    <w:rsid w:val="647D4819"/>
    <w:rsid w:val="64D4595F"/>
    <w:rsid w:val="64D80B3D"/>
    <w:rsid w:val="64EA0D87"/>
    <w:rsid w:val="650269B8"/>
    <w:rsid w:val="659E677C"/>
    <w:rsid w:val="666A657B"/>
    <w:rsid w:val="66DB3B07"/>
    <w:rsid w:val="66FB6AC5"/>
    <w:rsid w:val="67467DFA"/>
    <w:rsid w:val="67EA11B6"/>
    <w:rsid w:val="682A2AEE"/>
    <w:rsid w:val="68393307"/>
    <w:rsid w:val="68AA5354"/>
    <w:rsid w:val="68C86DA0"/>
    <w:rsid w:val="68F5395E"/>
    <w:rsid w:val="69125241"/>
    <w:rsid w:val="698E2580"/>
    <w:rsid w:val="69B0088C"/>
    <w:rsid w:val="69E83787"/>
    <w:rsid w:val="69F40656"/>
    <w:rsid w:val="6AF97ECD"/>
    <w:rsid w:val="6B3727A3"/>
    <w:rsid w:val="6BB14E2E"/>
    <w:rsid w:val="6C117498"/>
    <w:rsid w:val="6C472EBA"/>
    <w:rsid w:val="6CA06E15"/>
    <w:rsid w:val="6D0112BB"/>
    <w:rsid w:val="6D460042"/>
    <w:rsid w:val="6D9467CD"/>
    <w:rsid w:val="6DF8446C"/>
    <w:rsid w:val="6EA04E57"/>
    <w:rsid w:val="6FAE233D"/>
    <w:rsid w:val="7129008B"/>
    <w:rsid w:val="712D7639"/>
    <w:rsid w:val="71771B4C"/>
    <w:rsid w:val="71EF3DD8"/>
    <w:rsid w:val="71FD5292"/>
    <w:rsid w:val="72200435"/>
    <w:rsid w:val="724D397D"/>
    <w:rsid w:val="72992611"/>
    <w:rsid w:val="735843A0"/>
    <w:rsid w:val="736C49CC"/>
    <w:rsid w:val="73A76D83"/>
    <w:rsid w:val="746C00DB"/>
    <w:rsid w:val="74C141FA"/>
    <w:rsid w:val="753446A4"/>
    <w:rsid w:val="7541685B"/>
    <w:rsid w:val="76040F43"/>
    <w:rsid w:val="762B156B"/>
    <w:rsid w:val="763149BF"/>
    <w:rsid w:val="763613CC"/>
    <w:rsid w:val="76632139"/>
    <w:rsid w:val="76EC08E6"/>
    <w:rsid w:val="77057C1C"/>
    <w:rsid w:val="77351B2B"/>
    <w:rsid w:val="78370287"/>
    <w:rsid w:val="793C1A80"/>
    <w:rsid w:val="79532E9E"/>
    <w:rsid w:val="7A65732D"/>
    <w:rsid w:val="7B9B4A57"/>
    <w:rsid w:val="7BC9409A"/>
    <w:rsid w:val="7BE15075"/>
    <w:rsid w:val="7C2D5C29"/>
    <w:rsid w:val="7C556F2D"/>
    <w:rsid w:val="7C75137E"/>
    <w:rsid w:val="7C7C095E"/>
    <w:rsid w:val="7CED7166"/>
    <w:rsid w:val="7D256900"/>
    <w:rsid w:val="7D2A660C"/>
    <w:rsid w:val="7D7D2CD0"/>
    <w:rsid w:val="7E785490"/>
    <w:rsid w:val="7EB40C14"/>
    <w:rsid w:val="7F4C2BE4"/>
    <w:rsid w:val="7F5F151F"/>
    <w:rsid w:val="7F71407E"/>
    <w:rsid w:val="7F7B4EFD"/>
    <w:rsid w:val="7FAE52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eastAsia="宋体"/>
      <w:sz w:val="21"/>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2932</Words>
  <Characters>3058</Characters>
  <TotalTime>8</TotalTime>
  <ScaleCrop>false</ScaleCrop>
  <LinksUpToDate>false</LinksUpToDate>
  <CharactersWithSpaces>3096</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2021-04-16T00:15:00Z</dcterms:created>
  <dc:creator>Apache POI</dc:creator>
  <cp:lastModifiedBy>渡过</cp:lastModifiedBy>
  <cp:lastPrinted>2026-03-26T03:38:00Z</cp:lastPrinted>
  <dcterms:modified xsi:type="dcterms:W3CDTF">2026-04-17T00:23:33Z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A065507AFF2F4AEAB52C4D06E66D9786_13</vt:lpwstr>
  </property>
  <property fmtid="{D5CDD505-2E9C-101B-9397-08002B2CF9AE}" pid="4" name="KSOTemplateDocerSaveRecord">
    <vt:lpwstr>eyJoZGlkIjoiN2MyYTgwZDEzZmM2Y2U4ZDhhNmVhOTRjMWI3MjRlZGMifQ==</vt:lpwstr>
  </property>
</Properties>
</file>