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C62D3">
      <w:pPr>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长汀县2025年度中央财政林业改革发展</w:t>
      </w:r>
    </w:p>
    <w:p w14:paraId="5EC484E0">
      <w:pPr>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专项资金绩效自评报告</w:t>
      </w:r>
    </w:p>
    <w:p w14:paraId="6B6E8C70">
      <w:pPr>
        <w:ind w:left="0" w:leftChars="0" w:firstLine="640" w:firstLineChars="200"/>
        <w:rPr>
          <w:rFonts w:hint="eastAsia" w:ascii="黑体" w:hAnsi="黑体" w:eastAsia="黑体" w:cs="黑体"/>
          <w:sz w:val="32"/>
          <w:szCs w:val="32"/>
        </w:rPr>
      </w:pPr>
    </w:p>
    <w:p w14:paraId="72D6DDC1">
      <w:pPr>
        <w:ind w:left="0" w:leftChars="0" w:firstLine="640" w:firstLineChars="200"/>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w:t>
      </w:r>
      <w:r>
        <w:rPr>
          <w:rFonts w:hint="eastAsia" w:ascii="黑体" w:hAnsi="黑体" w:eastAsia="黑体" w:cs="黑体"/>
          <w:sz w:val="32"/>
          <w:szCs w:val="32"/>
        </w:rPr>
        <w:t>绩效目标分解下达情况</w:t>
      </w:r>
    </w:p>
    <w:p w14:paraId="34683A5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19" w:firstLineChars="200"/>
        <w:textAlignment w:val="auto"/>
        <w:rPr>
          <w:rFonts w:hint="eastAsia" w:ascii="仿宋_GB2312" w:hAnsi="仿宋_GB2312" w:eastAsia="仿宋_GB2312" w:cs="仿宋_GB2312"/>
          <w:b/>
          <w:bCs w:val="0"/>
          <w:color w:val="000000"/>
          <w:spacing w:val="-6"/>
          <w:sz w:val="32"/>
          <w:szCs w:val="32"/>
        </w:rPr>
      </w:pPr>
      <w:r>
        <w:rPr>
          <w:rFonts w:hint="eastAsia" w:ascii="仿宋_GB2312" w:hAnsi="仿宋_GB2312" w:eastAsia="仿宋_GB2312" w:cs="仿宋_GB2312"/>
          <w:b/>
          <w:bCs w:val="0"/>
          <w:color w:val="000000"/>
          <w:spacing w:val="-6"/>
          <w:sz w:val="32"/>
          <w:szCs w:val="32"/>
        </w:rPr>
        <w:t>（一）上级</w:t>
      </w:r>
      <w:r>
        <w:rPr>
          <w:rFonts w:hint="eastAsia" w:ascii="仿宋_GB2312" w:hAnsi="仿宋_GB2312" w:eastAsia="仿宋_GB2312" w:cs="仿宋_GB2312"/>
          <w:b/>
          <w:bCs w:val="0"/>
          <w:color w:val="000000"/>
          <w:spacing w:val="-6"/>
          <w:sz w:val="32"/>
          <w:szCs w:val="32"/>
          <w:lang w:eastAsia="zh-CN"/>
        </w:rPr>
        <w:t>机构</w:t>
      </w:r>
      <w:r>
        <w:rPr>
          <w:rFonts w:hint="eastAsia" w:ascii="仿宋_GB2312" w:hAnsi="仿宋_GB2312" w:eastAsia="仿宋_GB2312" w:cs="仿宋_GB2312"/>
          <w:b/>
          <w:bCs w:val="0"/>
          <w:color w:val="000000"/>
          <w:spacing w:val="-6"/>
          <w:sz w:val="32"/>
          <w:szCs w:val="32"/>
        </w:rPr>
        <w:t>下达预算和绩效目标情况</w:t>
      </w:r>
    </w:p>
    <w:p w14:paraId="547FC37E">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下达我县中央财政</w:t>
      </w:r>
      <w:r>
        <w:rPr>
          <w:rFonts w:hint="eastAsia" w:ascii="仿宋_GB2312" w:hAnsi="仿宋_GB2312" w:eastAsia="仿宋_GB2312" w:cs="仿宋_GB2312"/>
          <w:color w:val="000000"/>
          <w:sz w:val="32"/>
          <w:szCs w:val="32"/>
          <w:lang w:eastAsia="zh-CN"/>
        </w:rPr>
        <w:t>林业改革发展专项</w:t>
      </w:r>
      <w:r>
        <w:rPr>
          <w:rFonts w:hint="eastAsia" w:ascii="仿宋_GB2312" w:hAnsi="仿宋_GB2312" w:eastAsia="仿宋_GB2312" w:cs="仿宋_GB2312"/>
          <w:color w:val="000000"/>
          <w:sz w:val="32"/>
          <w:szCs w:val="32"/>
        </w:rPr>
        <w:t>资金</w:t>
      </w:r>
      <w:r>
        <w:rPr>
          <w:rFonts w:hint="eastAsia" w:ascii="仿宋_GB2312" w:hAnsi="仿宋_GB2312" w:eastAsia="仿宋_GB2312" w:cs="仿宋_GB2312"/>
          <w:color w:val="000000"/>
          <w:sz w:val="32"/>
          <w:szCs w:val="32"/>
          <w:lang w:val="en-US" w:eastAsia="zh-CN"/>
        </w:rPr>
        <w:t>1403.1</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。其中：</w:t>
      </w:r>
    </w:p>
    <w:p w14:paraId="4F36B3EC">
      <w:p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造林补助</w:t>
      </w:r>
      <w:r>
        <w:rPr>
          <w:rFonts w:hint="eastAsia" w:ascii="仿宋_GB2312" w:hAnsi="仿宋_GB2312" w:eastAsia="仿宋_GB2312" w:cs="仿宋_GB2312"/>
          <w:color w:val="000000"/>
          <w:sz w:val="32"/>
          <w:szCs w:val="32"/>
          <w:lang w:val="en-US" w:eastAsia="zh-CN"/>
        </w:rPr>
        <w:t>1112</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造林面积0.783万亩以上，森林质量提升面积0.872万亩以上</w:t>
      </w:r>
      <w:r>
        <w:rPr>
          <w:rFonts w:hint="eastAsia" w:ascii="仿宋_GB2312" w:hAnsi="仿宋_GB2312" w:eastAsia="仿宋_GB2312" w:cs="仿宋_GB2312"/>
          <w:color w:val="000000"/>
          <w:sz w:val="32"/>
          <w:szCs w:val="32"/>
          <w:lang w:eastAsia="zh-CN"/>
        </w:rPr>
        <w:t>。</w:t>
      </w:r>
    </w:p>
    <w:p w14:paraId="39BBEE94">
      <w:pPr>
        <w:numPr>
          <w:ilvl w:val="0"/>
          <w:numId w:val="0"/>
        </w:num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lang w:eastAsia="zh-CN"/>
        </w:rPr>
        <w:t>森林防火补助</w:t>
      </w:r>
      <w:r>
        <w:rPr>
          <w:rFonts w:hint="eastAsia" w:ascii="仿宋_GB2312" w:hAnsi="仿宋_GB2312" w:eastAsia="仿宋_GB2312" w:cs="仿宋_GB2312"/>
          <w:color w:val="000000"/>
          <w:sz w:val="32"/>
          <w:szCs w:val="32"/>
          <w:lang w:val="en-US" w:eastAsia="zh-CN"/>
        </w:rPr>
        <w:t>24</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完成防火工作。</w:t>
      </w:r>
    </w:p>
    <w:p w14:paraId="51470B30">
      <w:pPr>
        <w:spacing w:line="540" w:lineRule="exact"/>
        <w:ind w:firstLine="640" w:firstLineChars="200"/>
        <w:rPr>
          <w:rFonts w:hint="eastAsia" w:ascii="仿宋_GB2312" w:hAnsi="仿宋_GB2312" w:eastAsia="仿宋_GB2312" w:cs="仿宋_GB2312"/>
          <w:b/>
          <w:color w:val="000000"/>
          <w:spacing w:val="-6"/>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lang w:eastAsia="zh-CN"/>
        </w:rPr>
        <w:t>林业有害生物防治补助</w:t>
      </w:r>
      <w:r>
        <w:rPr>
          <w:rFonts w:hint="eastAsia" w:ascii="仿宋_GB2312" w:hAnsi="仿宋_GB2312" w:eastAsia="仿宋_GB2312" w:cs="仿宋_GB2312"/>
          <w:color w:val="000000"/>
          <w:sz w:val="32"/>
          <w:szCs w:val="32"/>
          <w:lang w:val="en-US" w:eastAsia="zh-CN"/>
        </w:rPr>
        <w:t>233万元，松材线虫病防控目标任务完成率70%以上，林业有害生物无公害防治成效明显</w:t>
      </w:r>
      <w:r>
        <w:rPr>
          <w:rFonts w:hint="eastAsia" w:ascii="仿宋_GB2312" w:hAnsi="仿宋_GB2312" w:eastAsia="仿宋_GB2312" w:cs="仿宋_GB2312"/>
          <w:color w:val="000000"/>
          <w:sz w:val="32"/>
          <w:szCs w:val="32"/>
        </w:rPr>
        <w:t>。</w:t>
      </w:r>
    </w:p>
    <w:p w14:paraId="49BCB924">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林木良种培育补助</w:t>
      </w:r>
      <w:r>
        <w:rPr>
          <w:rFonts w:hint="eastAsia" w:ascii="仿宋_GB2312" w:hAnsi="仿宋_GB2312" w:eastAsia="仿宋_GB2312" w:cs="仿宋_GB2312"/>
          <w:color w:val="000000"/>
          <w:sz w:val="32"/>
          <w:szCs w:val="32"/>
          <w:lang w:val="en-US" w:eastAsia="zh-CN"/>
        </w:rPr>
        <w:t>11.1</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完成</w:t>
      </w:r>
      <w:r>
        <w:rPr>
          <w:rFonts w:hint="eastAsia" w:ascii="仿宋_GB2312" w:hAnsi="仿宋_GB2312" w:eastAsia="仿宋_GB2312" w:cs="仿宋_GB2312"/>
          <w:color w:val="000000"/>
          <w:sz w:val="32"/>
          <w:szCs w:val="32"/>
        </w:rPr>
        <w:t>林木良种苗木培育</w:t>
      </w:r>
      <w:r>
        <w:rPr>
          <w:rFonts w:hint="eastAsia" w:ascii="仿宋_GB2312" w:hAnsi="仿宋_GB2312" w:eastAsia="仿宋_GB2312" w:cs="仿宋_GB2312"/>
          <w:color w:val="000000"/>
          <w:sz w:val="32"/>
          <w:szCs w:val="32"/>
          <w:lang w:val="en-US" w:eastAsia="zh-CN"/>
        </w:rPr>
        <w:t>20</w:t>
      </w:r>
      <w:r>
        <w:rPr>
          <w:rFonts w:hint="eastAsia" w:ascii="仿宋_GB2312" w:hAnsi="仿宋_GB2312" w:eastAsia="仿宋_GB2312" w:cs="仿宋_GB2312"/>
          <w:color w:val="000000"/>
          <w:sz w:val="32"/>
          <w:szCs w:val="32"/>
        </w:rPr>
        <w:t>万株</w:t>
      </w:r>
      <w:r>
        <w:rPr>
          <w:rFonts w:hint="eastAsia" w:ascii="仿宋_GB2312" w:hAnsi="仿宋_GB2312" w:eastAsia="仿宋_GB2312" w:cs="仿宋_GB2312"/>
          <w:color w:val="000000"/>
          <w:sz w:val="32"/>
          <w:szCs w:val="32"/>
          <w:lang w:eastAsia="zh-CN"/>
        </w:rPr>
        <w:t>以上。</w:t>
      </w:r>
    </w:p>
    <w:p w14:paraId="7AC9035C">
      <w:pPr>
        <w:spacing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林草湿荒综合监测</w:t>
      </w:r>
      <w:r>
        <w:rPr>
          <w:rFonts w:hint="eastAsia" w:ascii="仿宋_GB2312" w:hAnsi="仿宋_GB2312" w:eastAsia="仿宋_GB2312" w:cs="仿宋_GB2312"/>
          <w:color w:val="000000"/>
          <w:sz w:val="32"/>
          <w:szCs w:val="32"/>
          <w:lang w:val="en-US" w:eastAsia="zh-CN"/>
        </w:rPr>
        <w:t>23</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完成</w:t>
      </w:r>
      <w:r>
        <w:rPr>
          <w:rFonts w:hint="eastAsia" w:ascii="仿宋_GB2312" w:hAnsi="仿宋_GB2312" w:eastAsia="仿宋_GB2312" w:cs="仿宋_GB2312"/>
          <w:color w:val="000000"/>
          <w:sz w:val="32"/>
          <w:szCs w:val="32"/>
          <w:lang w:val="en-US" w:eastAsia="zh-CN"/>
        </w:rPr>
        <w:t>全国性林草湿荒综合监测项目图斑监测数量105个以上。</w:t>
      </w:r>
    </w:p>
    <w:p w14:paraId="3C852B3D">
      <w:pPr>
        <w:spacing w:line="540" w:lineRule="exact"/>
        <w:ind w:firstLine="309" w:firstLineChars="100"/>
        <w:rPr>
          <w:rFonts w:hint="eastAsia" w:ascii="仿宋_GB2312" w:hAnsi="仿宋_GB2312" w:eastAsia="仿宋_GB2312" w:cs="仿宋_GB2312"/>
          <w:b/>
          <w:bCs w:val="0"/>
          <w:color w:val="000000"/>
          <w:spacing w:val="-6"/>
          <w:sz w:val="32"/>
          <w:szCs w:val="32"/>
        </w:rPr>
      </w:pPr>
      <w:r>
        <w:rPr>
          <w:rFonts w:hint="eastAsia" w:ascii="仿宋_GB2312" w:hAnsi="仿宋_GB2312" w:eastAsia="仿宋_GB2312" w:cs="仿宋_GB2312"/>
          <w:b/>
          <w:bCs w:val="0"/>
          <w:color w:val="000000"/>
          <w:spacing w:val="-6"/>
          <w:sz w:val="32"/>
          <w:szCs w:val="32"/>
        </w:rPr>
        <w:t>（二）分解下达预算和绩效目标情况</w:t>
      </w:r>
    </w:p>
    <w:p w14:paraId="1958A178">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val="0"/>
          <w:bCs/>
          <w:color w:val="000000"/>
          <w:spacing w:val="-6"/>
          <w:sz w:val="32"/>
          <w:szCs w:val="32"/>
          <w:lang w:eastAsia="zh-CN"/>
        </w:rPr>
        <w:t>我县收到</w:t>
      </w:r>
      <w:r>
        <w:rPr>
          <w:rFonts w:hint="eastAsia" w:ascii="仿宋_GB2312" w:hAnsi="仿宋_GB2312" w:eastAsia="仿宋_GB2312" w:cs="仿宋_GB2312"/>
          <w:color w:val="000000"/>
          <w:sz w:val="32"/>
          <w:szCs w:val="32"/>
        </w:rPr>
        <w:t>中央财政林业</w:t>
      </w:r>
      <w:r>
        <w:rPr>
          <w:rFonts w:hint="eastAsia" w:ascii="仿宋_GB2312" w:hAnsi="仿宋_GB2312" w:eastAsia="仿宋_GB2312" w:cs="仿宋_GB2312"/>
          <w:color w:val="000000"/>
          <w:sz w:val="32"/>
          <w:szCs w:val="32"/>
          <w:lang w:eastAsia="zh-CN"/>
        </w:rPr>
        <w:t>专项</w:t>
      </w:r>
      <w:r>
        <w:rPr>
          <w:rFonts w:hint="eastAsia" w:ascii="仿宋_GB2312" w:hAnsi="仿宋_GB2312" w:eastAsia="仿宋_GB2312" w:cs="仿宋_GB2312"/>
          <w:color w:val="000000"/>
          <w:sz w:val="32"/>
          <w:szCs w:val="32"/>
        </w:rPr>
        <w:t>资金</w:t>
      </w:r>
      <w:r>
        <w:rPr>
          <w:rFonts w:hint="eastAsia" w:ascii="仿宋_GB2312" w:hAnsi="仿宋_GB2312" w:eastAsia="仿宋_GB2312" w:cs="仿宋_GB2312"/>
          <w:color w:val="000000"/>
          <w:sz w:val="32"/>
          <w:szCs w:val="32"/>
          <w:lang w:eastAsia="zh-CN"/>
        </w:rPr>
        <w:t>和绩效目标任务后，县财政局将以上项目资金及时下达给县林业局。</w:t>
      </w:r>
    </w:p>
    <w:p w14:paraId="4719C3E3">
      <w:pPr>
        <w:ind w:firstLine="640" w:firstLineChars="200"/>
        <w:rPr>
          <w:rFonts w:hint="eastAsia" w:ascii="黑体" w:hAnsi="黑体" w:eastAsia="黑体" w:cs="黑体"/>
          <w:sz w:val="32"/>
          <w:szCs w:val="32"/>
        </w:rPr>
      </w:pPr>
      <w:r>
        <w:rPr>
          <w:rFonts w:hint="eastAsia" w:ascii="黑体" w:hAnsi="黑体" w:eastAsia="黑体" w:cs="黑体"/>
          <w:sz w:val="32"/>
          <w:szCs w:val="32"/>
        </w:rPr>
        <w:t>二、绩效情况分析</w:t>
      </w:r>
    </w:p>
    <w:p w14:paraId="4C35D4BE">
      <w:pPr>
        <w:spacing w:line="54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一)资金投入情况</w:t>
      </w:r>
    </w:p>
    <w:p w14:paraId="172AA11E">
      <w:pPr>
        <w:numPr>
          <w:ilvl w:val="0"/>
          <w:numId w:val="0"/>
        </w:numPr>
        <w:spacing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下达我县中央财政林业</w:t>
      </w:r>
      <w:r>
        <w:rPr>
          <w:rFonts w:hint="eastAsia" w:ascii="仿宋_GB2312" w:hAnsi="仿宋_GB2312" w:eastAsia="仿宋_GB2312" w:cs="仿宋_GB2312"/>
          <w:color w:val="000000"/>
          <w:sz w:val="32"/>
          <w:szCs w:val="32"/>
          <w:lang w:eastAsia="zh-CN"/>
        </w:rPr>
        <w:t>改革发展专项</w:t>
      </w:r>
      <w:r>
        <w:rPr>
          <w:rFonts w:hint="eastAsia" w:ascii="仿宋_GB2312" w:hAnsi="仿宋_GB2312" w:eastAsia="仿宋_GB2312" w:cs="仿宋_GB2312"/>
          <w:color w:val="000000"/>
          <w:sz w:val="32"/>
          <w:szCs w:val="32"/>
        </w:rPr>
        <w:t>资金</w:t>
      </w:r>
      <w:r>
        <w:rPr>
          <w:rFonts w:hint="eastAsia" w:ascii="仿宋_GB2312" w:hAnsi="仿宋_GB2312" w:eastAsia="仿宋_GB2312" w:cs="仿宋_GB2312"/>
          <w:color w:val="000000"/>
          <w:sz w:val="32"/>
          <w:szCs w:val="32"/>
          <w:lang w:val="en-US" w:eastAsia="zh-CN"/>
        </w:rPr>
        <w:t>1403.1</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全部</w:t>
      </w:r>
      <w:r>
        <w:rPr>
          <w:rFonts w:hint="eastAsia" w:ascii="仿宋_GB2312" w:hAnsi="仿宋_GB2312" w:eastAsia="仿宋_GB2312" w:cs="仿宋_GB2312"/>
          <w:color w:val="000000"/>
          <w:sz w:val="32"/>
          <w:szCs w:val="32"/>
        </w:rPr>
        <w:t>到位</w:t>
      </w:r>
      <w:r>
        <w:rPr>
          <w:rFonts w:hint="eastAsia" w:ascii="仿宋_GB2312" w:hAnsi="仿宋_GB2312" w:eastAsia="仿宋_GB2312" w:cs="仿宋_GB2312"/>
          <w:color w:val="000000"/>
          <w:sz w:val="32"/>
          <w:szCs w:val="32"/>
          <w:lang w:eastAsia="zh-CN"/>
        </w:rPr>
        <w:t>，目前为止，</w:t>
      </w:r>
      <w:r>
        <w:rPr>
          <w:rFonts w:hint="eastAsia" w:ascii="仿宋_GB2312" w:hAnsi="仿宋_GB2312" w:eastAsia="仿宋_GB2312" w:cs="仿宋_GB2312"/>
          <w:color w:val="000000"/>
          <w:sz w:val="32"/>
          <w:szCs w:val="32"/>
        </w:rPr>
        <w:t>支出</w:t>
      </w:r>
      <w:r>
        <w:rPr>
          <w:rFonts w:hint="eastAsia" w:ascii="仿宋_GB2312" w:hAnsi="仿宋_GB2312" w:eastAsia="仿宋_GB2312" w:cs="仿宋_GB2312"/>
          <w:color w:val="000000"/>
          <w:sz w:val="32"/>
          <w:szCs w:val="32"/>
          <w:lang w:val="en-US" w:eastAsia="zh-CN"/>
        </w:rPr>
        <w:t>549.55</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，执行率</w:t>
      </w:r>
      <w:r>
        <w:rPr>
          <w:rFonts w:hint="eastAsia" w:ascii="仿宋_GB2312" w:hAnsi="仿宋_GB2312" w:eastAsia="仿宋_GB2312" w:cs="仿宋_GB2312"/>
          <w:color w:val="000000"/>
          <w:sz w:val="32"/>
          <w:szCs w:val="32"/>
          <w:lang w:val="en-US" w:eastAsia="zh-CN"/>
        </w:rPr>
        <w:t>39.17%</w:t>
      </w:r>
      <w:r>
        <w:rPr>
          <w:rFonts w:hint="eastAsia" w:ascii="仿宋_GB2312" w:hAnsi="仿宋_GB2312" w:eastAsia="仿宋_GB2312" w:cs="仿宋_GB2312"/>
          <w:color w:val="000000"/>
          <w:sz w:val="32"/>
          <w:szCs w:val="32"/>
        </w:rPr>
        <w:t>。</w:t>
      </w:r>
    </w:p>
    <w:p w14:paraId="3CE6E7F7">
      <w:pPr>
        <w:numPr>
          <w:ilvl w:val="0"/>
          <w:numId w:val="0"/>
        </w:numPr>
        <w:spacing w:line="540" w:lineRule="exact"/>
        <w:ind w:firstLine="643" w:firstLineChars="200"/>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（二）资金管理情况</w:t>
      </w:r>
    </w:p>
    <w:p w14:paraId="25D11167">
      <w:pPr>
        <w:numPr>
          <w:ilvl w:val="0"/>
          <w:numId w:val="0"/>
        </w:num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highlight w:val="none"/>
        </w:rPr>
        <w:t>认真贯彻落实《林业改革发展资金管理办法》（财</w:t>
      </w:r>
      <w:r>
        <w:rPr>
          <w:rFonts w:hint="eastAsia" w:ascii="仿宋_GB2312" w:hAnsi="仿宋_GB2312" w:eastAsia="仿宋_GB2312" w:cs="仿宋_GB2312"/>
          <w:color w:val="000000"/>
          <w:sz w:val="32"/>
          <w:szCs w:val="32"/>
          <w:highlight w:val="none"/>
          <w:lang w:eastAsia="zh-CN"/>
        </w:rPr>
        <w:t>资环</w:t>
      </w:r>
      <w:r>
        <w:rPr>
          <w:rFonts w:hint="eastAsia" w:ascii="仿宋_GB2312" w:hAnsi="仿宋_GB2312" w:eastAsia="仿宋_GB2312" w:cs="仿宋_GB2312"/>
          <w:color w:val="000000"/>
          <w:sz w:val="32"/>
          <w:szCs w:val="32"/>
          <w:highlight w:val="none"/>
        </w:rPr>
        <w:t>〔20</w:t>
      </w:r>
      <w:r>
        <w:rPr>
          <w:rFonts w:hint="eastAsia" w:ascii="仿宋_GB2312" w:hAnsi="仿宋_GB2312" w:eastAsia="仿宋_GB2312" w:cs="仿宋_GB2312"/>
          <w:color w:val="000000"/>
          <w:sz w:val="32"/>
          <w:szCs w:val="32"/>
          <w:highlight w:val="none"/>
          <w:lang w:val="en-US" w:eastAsia="zh-CN"/>
        </w:rPr>
        <w:t>21</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val="en-US" w:eastAsia="zh-CN"/>
        </w:rPr>
        <w:t>39</w:t>
      </w:r>
      <w:r>
        <w:rPr>
          <w:rFonts w:hint="eastAsia" w:ascii="仿宋_GB2312" w:hAnsi="仿宋_GB2312" w:eastAsia="仿宋_GB2312" w:cs="仿宋_GB2312"/>
          <w:color w:val="000000"/>
          <w:sz w:val="32"/>
          <w:szCs w:val="32"/>
          <w:highlight w:val="none"/>
        </w:rPr>
        <w:t>号文件精神，规范林业</w:t>
      </w:r>
      <w:r>
        <w:rPr>
          <w:rFonts w:hint="eastAsia" w:ascii="仿宋_GB2312" w:hAnsi="仿宋_GB2312" w:eastAsia="仿宋_GB2312" w:cs="仿宋_GB2312"/>
          <w:color w:val="000000"/>
          <w:sz w:val="32"/>
          <w:szCs w:val="32"/>
          <w:highlight w:val="none"/>
          <w:lang w:eastAsia="zh-CN"/>
        </w:rPr>
        <w:t>专项</w:t>
      </w:r>
      <w:r>
        <w:rPr>
          <w:rFonts w:hint="eastAsia" w:ascii="仿宋_GB2312" w:hAnsi="仿宋_GB2312" w:eastAsia="仿宋_GB2312" w:cs="仿宋_GB2312"/>
          <w:color w:val="000000"/>
          <w:sz w:val="32"/>
          <w:szCs w:val="32"/>
          <w:highlight w:val="none"/>
        </w:rPr>
        <w:t>资金管理，资金使用符合上级文件及政府采购、招标等有关规定，专款专用</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各项目资金到位、使用、</w:t>
      </w:r>
      <w:r>
        <w:rPr>
          <w:rFonts w:hint="eastAsia" w:ascii="仿宋_GB2312" w:hAnsi="仿宋_GB2312" w:eastAsia="仿宋_GB2312" w:cs="仿宋_GB2312"/>
          <w:color w:val="000000"/>
          <w:sz w:val="32"/>
          <w:szCs w:val="32"/>
        </w:rPr>
        <w:t>结余情况账目清楚，不存在截留、挤占和挪用等违规现象</w:t>
      </w:r>
      <w:r>
        <w:rPr>
          <w:rFonts w:hint="eastAsia" w:ascii="仿宋_GB2312" w:hAnsi="仿宋_GB2312" w:eastAsia="仿宋_GB2312" w:cs="仿宋_GB2312"/>
          <w:color w:val="000000"/>
          <w:sz w:val="32"/>
          <w:szCs w:val="32"/>
          <w:lang w:eastAsia="zh-CN"/>
        </w:rPr>
        <w:t>。</w:t>
      </w:r>
    </w:p>
    <w:p w14:paraId="555746B7">
      <w:pPr>
        <w:numPr>
          <w:ilvl w:val="0"/>
          <w:numId w:val="0"/>
        </w:numPr>
        <w:ind w:leftChars="200" w:firstLine="321" w:firstLineChars="1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总体绩效目标完成情况分析。</w:t>
      </w:r>
    </w:p>
    <w:p w14:paraId="6F3020DC">
      <w:pPr>
        <w:numPr>
          <w:ilvl w:val="0"/>
          <w:numId w:val="0"/>
        </w:numPr>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造林面积0.785万亩，森林质量提升面积0.872万亩，林木良种苗木培育55万株，全国性林草湿荒综合监测项目图斑监测244个。2.造林面积合格率95%，森林质量提升面积合格率95%，松材线虫病防控目标任务完成率70%，造林当期任务完成率100.25%，森林质量提升当期任务完成率100.02%，林业有害生物无公害防治成效明显。</w:t>
      </w:r>
    </w:p>
    <w:p w14:paraId="21947CA6">
      <w:pPr>
        <w:numPr>
          <w:ilvl w:val="0"/>
          <w:numId w:val="0"/>
        </w:numPr>
        <w:spacing w:line="54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绩效指标完成情况分析</w:t>
      </w:r>
    </w:p>
    <w:p w14:paraId="331E6F08">
      <w:pPr>
        <w:numPr>
          <w:ilvl w:val="0"/>
          <w:numId w:val="0"/>
        </w:numPr>
        <w:spacing w:line="540" w:lineRule="exact"/>
        <w:ind w:leftChars="200" w:firstLine="320" w:firstLineChars="10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1.产出指标完成情况</w:t>
      </w:r>
    </w:p>
    <w:p w14:paraId="4F77E33C">
      <w:p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项目完成</w:t>
      </w:r>
      <w:r>
        <w:rPr>
          <w:rFonts w:hint="eastAsia" w:ascii="仿宋_GB2312" w:hAnsi="仿宋_GB2312" w:eastAsia="仿宋_GB2312" w:cs="仿宋_GB2312"/>
          <w:color w:val="000000"/>
          <w:sz w:val="32"/>
          <w:szCs w:val="32"/>
        </w:rPr>
        <w:t>数量</w:t>
      </w:r>
    </w:p>
    <w:p w14:paraId="36ED02BF">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造林面积0.785万亩，森林质量提升面积0.872万亩，林木良种苗木培育55万株，全国性林草湿荒综合监测项目图斑监测244个</w:t>
      </w:r>
      <w:r>
        <w:rPr>
          <w:rFonts w:hint="eastAsia" w:ascii="仿宋_GB2312" w:hAnsi="仿宋_GB2312" w:eastAsia="仿宋_GB2312" w:cs="仿宋_GB2312"/>
          <w:color w:val="000000"/>
          <w:sz w:val="32"/>
          <w:szCs w:val="32"/>
          <w:lang w:eastAsia="zh-CN"/>
        </w:rPr>
        <w:t>。</w:t>
      </w:r>
    </w:p>
    <w:p w14:paraId="3EB9A7CE">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项目完成</w:t>
      </w:r>
      <w:r>
        <w:rPr>
          <w:rFonts w:hint="eastAsia" w:ascii="仿宋_GB2312" w:hAnsi="仿宋_GB2312" w:eastAsia="仿宋_GB2312" w:cs="仿宋_GB2312"/>
          <w:color w:val="000000"/>
          <w:sz w:val="32"/>
          <w:szCs w:val="32"/>
        </w:rPr>
        <w:t>质量</w:t>
      </w:r>
    </w:p>
    <w:p w14:paraId="4D431219">
      <w:pPr>
        <w:numPr>
          <w:ilvl w:val="0"/>
          <w:numId w:val="0"/>
        </w:num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造林面积合格率</w:t>
      </w:r>
      <w:r>
        <w:rPr>
          <w:rFonts w:hint="eastAsia" w:ascii="仿宋_GB2312" w:hAnsi="仿宋_GB2312" w:eastAsia="仿宋_GB2312" w:cs="仿宋_GB2312"/>
          <w:color w:val="000000"/>
          <w:sz w:val="32"/>
          <w:szCs w:val="32"/>
          <w:lang w:val="en-US" w:eastAsia="zh-CN"/>
        </w:rPr>
        <w:t>95</w:t>
      </w:r>
      <w:r>
        <w:rPr>
          <w:rFonts w:hint="eastAsia" w:ascii="仿宋_GB2312" w:hAnsi="仿宋_GB2312" w:eastAsia="仿宋_GB2312" w:cs="仿宋_GB2312"/>
          <w:color w:val="000000"/>
          <w:sz w:val="32"/>
          <w:szCs w:val="32"/>
        </w:rPr>
        <w:t>%，森林质量提升面积合格率</w:t>
      </w:r>
      <w:r>
        <w:rPr>
          <w:rFonts w:hint="eastAsia" w:ascii="仿宋_GB2312" w:hAnsi="仿宋_GB2312" w:eastAsia="仿宋_GB2312" w:cs="仿宋_GB2312"/>
          <w:color w:val="000000"/>
          <w:sz w:val="32"/>
          <w:szCs w:val="32"/>
          <w:lang w:val="en-US" w:eastAsia="zh-CN"/>
        </w:rPr>
        <w:t>95</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松材线虫病防控目标任务完成率</w:t>
      </w:r>
      <w:r>
        <w:rPr>
          <w:rFonts w:hint="eastAsia" w:ascii="仿宋_GB2312" w:hAnsi="仿宋_GB2312" w:eastAsia="仿宋_GB2312" w:cs="仿宋_GB2312"/>
          <w:color w:val="000000"/>
          <w:sz w:val="32"/>
          <w:szCs w:val="32"/>
          <w:lang w:val="en-US" w:eastAsia="zh-CN"/>
        </w:rPr>
        <w:t>70</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均达到绩效目标。</w:t>
      </w:r>
    </w:p>
    <w:p w14:paraId="74D39B66">
      <w:pPr>
        <w:numPr>
          <w:ilvl w:val="0"/>
          <w:numId w:val="1"/>
        </w:numPr>
        <w:spacing w:line="540" w:lineRule="exact"/>
        <w:ind w:firstLine="640" w:firstLineChars="200"/>
        <w:jc w:val="left"/>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项目实施进度</w:t>
      </w:r>
    </w:p>
    <w:p w14:paraId="0B4D28C6">
      <w:pPr>
        <w:numPr>
          <w:ilvl w:val="0"/>
          <w:numId w:val="0"/>
        </w:numPr>
        <w:spacing w:line="540" w:lineRule="exact"/>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造林当期任务完成率100.25%</w:t>
      </w:r>
      <w:r>
        <w:rPr>
          <w:rFonts w:hint="eastAsia" w:ascii="仿宋_GB2312" w:hAnsi="仿宋_GB2312" w:eastAsia="仿宋_GB2312" w:cs="仿宋_GB2312"/>
          <w:color w:val="000000"/>
          <w:sz w:val="32"/>
          <w:szCs w:val="32"/>
          <w:lang w:val="en-US" w:eastAsia="zh-CN"/>
        </w:rPr>
        <w:t>超出85%的目标</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森林质量提升当期任务完成率</w:t>
      </w:r>
      <w:r>
        <w:rPr>
          <w:rFonts w:hint="eastAsia" w:ascii="仿宋_GB2312" w:hAnsi="仿宋_GB2312" w:eastAsia="仿宋_GB2312" w:cs="仿宋_GB2312"/>
          <w:color w:val="000000"/>
          <w:sz w:val="32"/>
          <w:szCs w:val="32"/>
        </w:rPr>
        <w:t>100.02%</w:t>
      </w:r>
      <w:r>
        <w:rPr>
          <w:rFonts w:hint="eastAsia" w:ascii="仿宋_GB2312" w:hAnsi="仿宋_GB2312" w:eastAsia="仿宋_GB2312" w:cs="仿宋_GB2312"/>
          <w:color w:val="000000"/>
          <w:sz w:val="32"/>
          <w:szCs w:val="32"/>
          <w:lang w:val="en-US" w:eastAsia="zh-CN"/>
        </w:rPr>
        <w:t>超出85%的目标。</w:t>
      </w:r>
    </w:p>
    <w:p w14:paraId="33D7AADC">
      <w:pPr>
        <w:spacing w:line="540" w:lineRule="exact"/>
        <w:ind w:firstLine="640" w:firstLineChars="200"/>
        <w:jc w:val="left"/>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2.效益指标完成情况分析</w:t>
      </w:r>
    </w:p>
    <w:p w14:paraId="3D2B7E1B">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项目实施的</w:t>
      </w:r>
      <w:r>
        <w:rPr>
          <w:rFonts w:hint="eastAsia" w:ascii="仿宋_GB2312" w:hAnsi="仿宋_GB2312" w:eastAsia="仿宋_GB2312" w:cs="仿宋_GB2312"/>
          <w:color w:val="000000"/>
          <w:sz w:val="32"/>
          <w:szCs w:val="32"/>
          <w:lang w:val="en-US" w:eastAsia="zh-CN"/>
        </w:rPr>
        <w:t>生态效益</w:t>
      </w:r>
      <w:bookmarkStart w:id="0" w:name="_GoBack"/>
      <w:bookmarkEnd w:id="0"/>
    </w:p>
    <w:p w14:paraId="2EECFAD2">
      <w:pPr>
        <w:spacing w:line="540" w:lineRule="exact"/>
        <w:ind w:firstLine="640" w:firstLineChars="200"/>
        <w:jc w:val="left"/>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林业有害生物无公害防治成效明显，对地区森林生态系统生态效益发挥明显。</w:t>
      </w:r>
    </w:p>
    <w:p w14:paraId="7556555A">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（2）项目实施的可持续影响</w:t>
      </w:r>
    </w:p>
    <w:p w14:paraId="3CD779C0">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项目实施后，我县</w:t>
      </w:r>
      <w:r>
        <w:rPr>
          <w:rFonts w:hint="eastAsia" w:ascii="仿宋_GB2312" w:hAnsi="仿宋_GB2312" w:eastAsia="仿宋_GB2312" w:cs="仿宋_GB2312"/>
          <w:color w:val="000000"/>
          <w:sz w:val="32"/>
          <w:szCs w:val="32"/>
          <w:lang w:eastAsia="zh-CN"/>
        </w:rPr>
        <w:t>森林、草原、荒漠生态系统功能改善可持续影响明显，</w:t>
      </w:r>
      <w:r>
        <w:rPr>
          <w:rFonts w:hint="eastAsia" w:ascii="仿宋_GB2312" w:hAnsi="仿宋_GB2312" w:eastAsia="仿宋_GB2312" w:cs="仿宋_GB2312"/>
          <w:color w:val="000000"/>
          <w:sz w:val="32"/>
          <w:szCs w:val="32"/>
          <w:lang w:val="en-US" w:eastAsia="zh-CN"/>
        </w:rPr>
        <w:t>国土绿化水平进一步提升，树种结构有效优化，林分质量逐年提高，生物多样性更加丰富，林区秩序更加稳定和谐，为全县经济社会可持续发展提供了的强有力的生态保障，为实现“绿水青山就是金山银山”奠定坚实基础。</w:t>
      </w:r>
    </w:p>
    <w:p w14:paraId="0E2D6133">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3.满意度指标完成情况分析</w:t>
      </w:r>
    </w:p>
    <w:p w14:paraId="70ED97D7">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实施中央财政林业改革发展专项资金项目，林业生态得到改善，受到广大林农和社会有关各界认可，项目涉及职工、周边群众满意度95%，超出预期指标。</w:t>
      </w:r>
    </w:p>
    <w:p w14:paraId="553B48E2">
      <w:pPr>
        <w:ind w:left="0" w:leftChars="0" w:firstLine="640" w:firstLineChars="200"/>
        <w:rPr>
          <w:rFonts w:hint="eastAsia" w:ascii="黑体" w:hAnsi="黑体" w:eastAsia="黑体" w:cs="黑体"/>
          <w:sz w:val="32"/>
          <w:szCs w:val="32"/>
        </w:rPr>
      </w:pPr>
      <w:r>
        <w:rPr>
          <w:rFonts w:hint="eastAsia" w:ascii="黑体" w:hAnsi="黑体" w:eastAsia="黑体" w:cs="黑体"/>
          <w:sz w:val="32"/>
          <w:szCs w:val="32"/>
        </w:rPr>
        <w:t>三、偏离绩效目标的原因和下一步改进措施</w:t>
      </w:r>
    </w:p>
    <w:p w14:paraId="544E937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textAlignment w:val="auto"/>
        <w:outlineLvl w:val="9"/>
        <w:rPr>
          <w:rFonts w:hint="eastAsia" w:ascii="仿宋_GB2312" w:hAnsi="宋体" w:eastAsia="仿宋_GB2312" w:cs="宋体"/>
          <w:kern w:val="0"/>
          <w:sz w:val="32"/>
          <w:szCs w:val="32"/>
          <w:lang w:val="en-US" w:eastAsia="zh-CN"/>
        </w:rPr>
      </w:pPr>
      <w:r>
        <w:rPr>
          <w:rFonts w:hint="eastAsia" w:ascii="仿宋_GB2312" w:hAnsi="仿宋_GB2312" w:eastAsia="仿宋_GB2312" w:cs="仿宋_GB2312"/>
          <w:color w:val="000000"/>
          <w:sz w:val="32"/>
          <w:szCs w:val="32"/>
          <w:lang w:val="en-US" w:eastAsia="zh-CN"/>
        </w:rPr>
        <w:t>2025年中央财政林业改革发展专项资金还有造林补助853.41</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尚未拨付，原因为项目正在实施未验收。本次</w:t>
      </w:r>
      <w:r>
        <w:rPr>
          <w:rFonts w:hint="eastAsia" w:ascii="仿宋_GB2312" w:hAnsi="宋体" w:eastAsia="仿宋_GB2312" w:cs="宋体"/>
          <w:kern w:val="0"/>
          <w:sz w:val="32"/>
          <w:szCs w:val="32"/>
        </w:rPr>
        <w:t>自评分为</w:t>
      </w:r>
      <w:r>
        <w:rPr>
          <w:rFonts w:hint="eastAsia" w:ascii="仿宋_GB2312" w:hAnsi="宋体" w:eastAsia="仿宋_GB2312" w:cs="宋体"/>
          <w:kern w:val="0"/>
          <w:sz w:val="32"/>
          <w:szCs w:val="32"/>
          <w:lang w:val="en-US" w:eastAsia="zh-CN"/>
        </w:rPr>
        <w:t>94</w:t>
      </w:r>
      <w:r>
        <w:rPr>
          <w:rFonts w:hint="eastAsia" w:ascii="仿宋_GB2312" w:hAnsi="宋体" w:eastAsia="仿宋_GB2312" w:cs="宋体"/>
          <w:kern w:val="0"/>
          <w:sz w:val="32"/>
          <w:szCs w:val="32"/>
        </w:rPr>
        <w:t>分，项目</w:t>
      </w:r>
      <w:r>
        <w:rPr>
          <w:rFonts w:hint="eastAsia" w:ascii="仿宋_GB2312" w:hAnsi="宋体" w:eastAsia="仿宋_GB2312" w:cs="宋体"/>
          <w:kern w:val="0"/>
          <w:sz w:val="32"/>
          <w:szCs w:val="32"/>
          <w:lang w:eastAsia="zh-CN"/>
        </w:rPr>
        <w:t>综合</w:t>
      </w:r>
      <w:r>
        <w:rPr>
          <w:rFonts w:hint="eastAsia" w:ascii="仿宋_GB2312" w:hAnsi="宋体" w:eastAsia="仿宋_GB2312" w:cs="宋体"/>
          <w:kern w:val="0"/>
          <w:sz w:val="32"/>
          <w:szCs w:val="32"/>
        </w:rPr>
        <w:t>评价等级</w:t>
      </w:r>
      <w:r>
        <w:rPr>
          <w:rFonts w:hint="eastAsia" w:ascii="仿宋_GB2312" w:hAnsi="宋体" w:eastAsia="仿宋_GB2312" w:cs="宋体"/>
          <w:kern w:val="0"/>
          <w:sz w:val="32"/>
          <w:szCs w:val="32"/>
          <w:lang w:eastAsia="zh-CN"/>
        </w:rPr>
        <w:t>为良好</w:t>
      </w:r>
      <w:r>
        <w:rPr>
          <w:rFonts w:hint="eastAsia" w:ascii="仿宋_GB2312" w:hAnsi="宋体" w:eastAsia="仿宋_GB2312" w:cs="宋体"/>
          <w:kern w:val="0"/>
          <w:sz w:val="32"/>
          <w:szCs w:val="32"/>
          <w:lang w:val="en-US" w:eastAsia="zh-CN"/>
        </w:rPr>
        <w:t>。</w:t>
      </w:r>
    </w:p>
    <w:p w14:paraId="0F2CC3D5">
      <w:pPr>
        <w:pStyle w:val="2"/>
        <w:rPr>
          <w:rFonts w:hint="default" w:ascii="仿宋_GB2312" w:hAnsi="仿宋_GB2312" w:eastAsia="仿宋_GB2312" w:cs="仿宋_GB2312"/>
          <w:b w:val="0"/>
          <w:bCs w:val="0"/>
          <w:color w:val="000000"/>
          <w:kern w:val="2"/>
          <w:sz w:val="32"/>
          <w:szCs w:val="32"/>
          <w:lang w:val="en-US" w:eastAsia="zh-CN" w:bidi="ar-SA"/>
        </w:rPr>
      </w:pPr>
      <w:r>
        <w:rPr>
          <w:rFonts w:hint="eastAsia" w:hAnsi="宋体" w:cs="宋体"/>
          <w:kern w:val="0"/>
          <w:sz w:val="32"/>
          <w:szCs w:val="32"/>
          <w:lang w:val="en-US" w:eastAsia="zh-CN"/>
        </w:rPr>
        <w:t xml:space="preserve">    </w:t>
      </w:r>
      <w:r>
        <w:rPr>
          <w:rFonts w:hint="eastAsia" w:ascii="仿宋_GB2312" w:hAnsi="仿宋_GB2312" w:eastAsia="仿宋_GB2312" w:cs="仿宋_GB2312"/>
          <w:b w:val="0"/>
          <w:bCs w:val="0"/>
          <w:color w:val="000000"/>
          <w:kern w:val="2"/>
          <w:sz w:val="32"/>
          <w:szCs w:val="32"/>
          <w:lang w:val="en-US" w:eastAsia="zh-CN" w:bidi="ar-SA"/>
        </w:rPr>
        <w:t>下一步</w:t>
      </w:r>
      <w:r>
        <w:rPr>
          <w:rFonts w:hint="eastAsia" w:cs="仿宋_GB2312"/>
          <w:b w:val="0"/>
          <w:bCs w:val="0"/>
          <w:color w:val="000000"/>
          <w:kern w:val="2"/>
          <w:sz w:val="32"/>
          <w:szCs w:val="32"/>
          <w:lang w:val="en-US" w:eastAsia="zh-CN" w:bidi="ar-SA"/>
        </w:rPr>
        <w:t>对尚未验收的项目抓紧进行验收，以此加快资金拨付进度，完成各项绩效目标。</w:t>
      </w:r>
    </w:p>
    <w:p w14:paraId="15AD8763">
      <w:pPr>
        <w:numPr>
          <w:ilvl w:val="0"/>
          <w:numId w:val="2"/>
        </w:numPr>
        <w:spacing w:line="54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绩效自评结果拟应用和公开情况</w:t>
      </w:r>
    </w:p>
    <w:p w14:paraId="1D02E98C">
      <w:pPr>
        <w:numPr>
          <w:ilvl w:val="0"/>
          <w:numId w:val="0"/>
        </w:num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2025年中央财政林业草原改革发展资金绩效自评结果作为林业系统内部有关业务股室及基层单位年度考核主要依据之一。拟将本次绩效评价报告在长汀县人民政府网站公开。</w:t>
      </w:r>
    </w:p>
    <w:p w14:paraId="39B137C3">
      <w:pPr>
        <w:ind w:firstLine="640" w:firstLineChars="200"/>
        <w:rPr>
          <w:rFonts w:hint="eastAsia" w:ascii="黑体" w:hAnsi="黑体" w:eastAsia="黑体" w:cs="黑体"/>
          <w:sz w:val="32"/>
          <w:szCs w:val="32"/>
        </w:rPr>
      </w:pPr>
      <w:r>
        <w:rPr>
          <w:rFonts w:hint="eastAsia" w:ascii="黑体" w:hAnsi="黑体" w:eastAsia="黑体" w:cs="黑体"/>
          <w:sz w:val="32"/>
          <w:szCs w:val="32"/>
        </w:rPr>
        <w:t>五、其他需要说明的问题</w:t>
      </w:r>
    </w:p>
    <w:p w14:paraId="067C1629">
      <w:pPr>
        <w:ind w:firstLine="1600" w:firstLineChars="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w:t>
      </w:r>
    </w:p>
    <w:p w14:paraId="0DE47BAA">
      <w:pPr>
        <w:ind w:left="0" w:leftChars="0" w:firstLine="640" w:firstLineChars="200"/>
        <w:rPr>
          <w:rFonts w:hint="eastAsia" w:ascii="仿宋_GB2312" w:hAnsi="仿宋_GB2312" w:eastAsia="仿宋_GB2312" w:cs="仿宋_GB2312"/>
          <w:sz w:val="32"/>
          <w:szCs w:val="32"/>
        </w:rPr>
      </w:pPr>
    </w:p>
    <w:p w14:paraId="46449CF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附件：长汀县中央财政林业改革发展专项资金绩效自评表</w:t>
      </w:r>
    </w:p>
    <w:p w14:paraId="452B049E">
      <w:pPr>
        <w:keepNext w:val="0"/>
        <w:keepLines w:val="0"/>
        <w:pageBreakBefore w:val="0"/>
        <w:widowControl w:val="0"/>
        <w:kinsoku/>
        <w:wordWrap/>
        <w:overflowPunct/>
        <w:topLinePunct w:val="0"/>
        <w:autoSpaceDE/>
        <w:autoSpaceDN/>
        <w:bidi w:val="0"/>
        <w:adjustRightInd/>
        <w:snapToGrid/>
        <w:spacing w:line="1" w:lineRule="exact"/>
        <w:ind w:firstLine="640" w:firstLineChars="200"/>
        <w:textAlignment w:val="auto"/>
        <w:rPr>
          <w:sz w:val="32"/>
          <w:szCs w:val="32"/>
        </w:rPr>
      </w:pPr>
    </w:p>
    <w:p w14:paraId="3C29B620"/>
    <w:p w14:paraId="4FC16271">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083914B3">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2026年3月10日</w:t>
      </w:r>
    </w:p>
    <w:p w14:paraId="57555649">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长汀县林业局</w:t>
      </w:r>
    </w:p>
    <w:p w14:paraId="4FAC4856">
      <w:pPr>
        <w:ind w:left="0" w:leftChars="0" w:firstLine="420" w:firstLineChars="200"/>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4AD4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5D1F2E">
                          <w:pPr>
                            <w:pStyle w:val="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5D1F2E">
                    <w:pPr>
                      <w:pStyle w:val="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9ED3F"/>
    <w:multiLevelType w:val="singleLevel"/>
    <w:tmpl w:val="9AA9ED3F"/>
    <w:lvl w:ilvl="0" w:tentative="0">
      <w:start w:val="3"/>
      <w:numFmt w:val="decimal"/>
      <w:suff w:val="nothing"/>
      <w:lvlText w:val="（%1）"/>
      <w:lvlJc w:val="left"/>
    </w:lvl>
  </w:abstractNum>
  <w:abstractNum w:abstractNumId="1">
    <w:nsid w:val="B4560BAE"/>
    <w:multiLevelType w:val="singleLevel"/>
    <w:tmpl w:val="B4560BAE"/>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45F87"/>
    <w:rsid w:val="016B7C73"/>
    <w:rsid w:val="0176597C"/>
    <w:rsid w:val="01987FE8"/>
    <w:rsid w:val="029B4F40"/>
    <w:rsid w:val="03112897"/>
    <w:rsid w:val="03237D85"/>
    <w:rsid w:val="033F6241"/>
    <w:rsid w:val="03B10EED"/>
    <w:rsid w:val="04AC7907"/>
    <w:rsid w:val="05BB24F7"/>
    <w:rsid w:val="05F75BFD"/>
    <w:rsid w:val="063E0A32"/>
    <w:rsid w:val="07AA2823"/>
    <w:rsid w:val="07B436A2"/>
    <w:rsid w:val="082F0F7A"/>
    <w:rsid w:val="08674270"/>
    <w:rsid w:val="09C6146A"/>
    <w:rsid w:val="09C73632"/>
    <w:rsid w:val="09DE1F31"/>
    <w:rsid w:val="09EA0DE4"/>
    <w:rsid w:val="09F9539C"/>
    <w:rsid w:val="0BBE064B"/>
    <w:rsid w:val="0C300E1D"/>
    <w:rsid w:val="0C7E427E"/>
    <w:rsid w:val="0DB31D06"/>
    <w:rsid w:val="0DFC388A"/>
    <w:rsid w:val="0E7238D9"/>
    <w:rsid w:val="0EB83A78"/>
    <w:rsid w:val="0ECB4DA0"/>
    <w:rsid w:val="0EDA1D2A"/>
    <w:rsid w:val="0F330D6D"/>
    <w:rsid w:val="0F803E6A"/>
    <w:rsid w:val="0FFD3A33"/>
    <w:rsid w:val="100D7DF3"/>
    <w:rsid w:val="10783D49"/>
    <w:rsid w:val="107E33DE"/>
    <w:rsid w:val="1090632E"/>
    <w:rsid w:val="10CB6ACA"/>
    <w:rsid w:val="110034B4"/>
    <w:rsid w:val="11050ACA"/>
    <w:rsid w:val="126F0F4F"/>
    <w:rsid w:val="13391C7D"/>
    <w:rsid w:val="13924484"/>
    <w:rsid w:val="139879D4"/>
    <w:rsid w:val="13A43626"/>
    <w:rsid w:val="13CF0E49"/>
    <w:rsid w:val="14180BB8"/>
    <w:rsid w:val="141F6347"/>
    <w:rsid w:val="148B67E4"/>
    <w:rsid w:val="148B7538"/>
    <w:rsid w:val="16096967"/>
    <w:rsid w:val="161F3D65"/>
    <w:rsid w:val="165E4441"/>
    <w:rsid w:val="16917473"/>
    <w:rsid w:val="16C41CDE"/>
    <w:rsid w:val="16E03065"/>
    <w:rsid w:val="17190E2C"/>
    <w:rsid w:val="17547C73"/>
    <w:rsid w:val="17C074F9"/>
    <w:rsid w:val="17EC074D"/>
    <w:rsid w:val="184E0FA9"/>
    <w:rsid w:val="18CB4777"/>
    <w:rsid w:val="199B30F6"/>
    <w:rsid w:val="19D90D46"/>
    <w:rsid w:val="1A122808"/>
    <w:rsid w:val="1A2B6B68"/>
    <w:rsid w:val="1ABC48F0"/>
    <w:rsid w:val="1BE649E3"/>
    <w:rsid w:val="1BF1246E"/>
    <w:rsid w:val="1C273FEB"/>
    <w:rsid w:val="1C4B6E37"/>
    <w:rsid w:val="1C5268FF"/>
    <w:rsid w:val="1C5A43C0"/>
    <w:rsid w:val="1CA7399C"/>
    <w:rsid w:val="1CB3762C"/>
    <w:rsid w:val="1CCC6940"/>
    <w:rsid w:val="1CF87735"/>
    <w:rsid w:val="1D1818EE"/>
    <w:rsid w:val="1D5C5F16"/>
    <w:rsid w:val="1D954F84"/>
    <w:rsid w:val="1DF148B0"/>
    <w:rsid w:val="1DFF55A1"/>
    <w:rsid w:val="1E7828DC"/>
    <w:rsid w:val="1EB4180B"/>
    <w:rsid w:val="1ECF44C6"/>
    <w:rsid w:val="1F38206B"/>
    <w:rsid w:val="2000497E"/>
    <w:rsid w:val="203942EC"/>
    <w:rsid w:val="20E2278B"/>
    <w:rsid w:val="20F3093F"/>
    <w:rsid w:val="214C004F"/>
    <w:rsid w:val="21871088"/>
    <w:rsid w:val="22730E9D"/>
    <w:rsid w:val="2274785E"/>
    <w:rsid w:val="229972C4"/>
    <w:rsid w:val="22B83BEE"/>
    <w:rsid w:val="230010F2"/>
    <w:rsid w:val="23047A11"/>
    <w:rsid w:val="231A6657"/>
    <w:rsid w:val="23633786"/>
    <w:rsid w:val="23C75CC4"/>
    <w:rsid w:val="24885842"/>
    <w:rsid w:val="24BF6A32"/>
    <w:rsid w:val="251175E6"/>
    <w:rsid w:val="253E2F94"/>
    <w:rsid w:val="256E2C8A"/>
    <w:rsid w:val="25C97EC1"/>
    <w:rsid w:val="26661BB3"/>
    <w:rsid w:val="26BB3CAD"/>
    <w:rsid w:val="26DE174A"/>
    <w:rsid w:val="27716366"/>
    <w:rsid w:val="27F3168D"/>
    <w:rsid w:val="290B2F43"/>
    <w:rsid w:val="29883BEF"/>
    <w:rsid w:val="299B4E03"/>
    <w:rsid w:val="2A4B4090"/>
    <w:rsid w:val="2B0025D7"/>
    <w:rsid w:val="2B230073"/>
    <w:rsid w:val="2B496997"/>
    <w:rsid w:val="2BAA0794"/>
    <w:rsid w:val="2BFC5AF1"/>
    <w:rsid w:val="2C8114F5"/>
    <w:rsid w:val="2C813843"/>
    <w:rsid w:val="2C8A4B5A"/>
    <w:rsid w:val="2C8C39F6"/>
    <w:rsid w:val="2D643E4E"/>
    <w:rsid w:val="2D915768"/>
    <w:rsid w:val="2DE0049D"/>
    <w:rsid w:val="2DEA4E78"/>
    <w:rsid w:val="2E1B2F36"/>
    <w:rsid w:val="2EFE3DD4"/>
    <w:rsid w:val="2FB35E69"/>
    <w:rsid w:val="2FE37DD1"/>
    <w:rsid w:val="303048FE"/>
    <w:rsid w:val="30915A7F"/>
    <w:rsid w:val="309622B2"/>
    <w:rsid w:val="3097007B"/>
    <w:rsid w:val="31F527CE"/>
    <w:rsid w:val="3200110E"/>
    <w:rsid w:val="32AE744F"/>
    <w:rsid w:val="32DB1E03"/>
    <w:rsid w:val="334358FC"/>
    <w:rsid w:val="33B757FC"/>
    <w:rsid w:val="33BE4DDD"/>
    <w:rsid w:val="33F4664C"/>
    <w:rsid w:val="343A3FBE"/>
    <w:rsid w:val="34E46AC5"/>
    <w:rsid w:val="34FE626A"/>
    <w:rsid w:val="35E76EBD"/>
    <w:rsid w:val="370E0C95"/>
    <w:rsid w:val="370E5339"/>
    <w:rsid w:val="381712F0"/>
    <w:rsid w:val="383A69FC"/>
    <w:rsid w:val="386305DF"/>
    <w:rsid w:val="38AD71CE"/>
    <w:rsid w:val="391803FF"/>
    <w:rsid w:val="39365415"/>
    <w:rsid w:val="399E5685"/>
    <w:rsid w:val="3A1219DE"/>
    <w:rsid w:val="3A8723CC"/>
    <w:rsid w:val="3C011D0B"/>
    <w:rsid w:val="3C1C01F5"/>
    <w:rsid w:val="3C5C1637"/>
    <w:rsid w:val="3C643FCF"/>
    <w:rsid w:val="3C9F69E7"/>
    <w:rsid w:val="3CF773E9"/>
    <w:rsid w:val="3E5E5B63"/>
    <w:rsid w:val="3E8B5A9B"/>
    <w:rsid w:val="3EBC460F"/>
    <w:rsid w:val="3EBE3EE3"/>
    <w:rsid w:val="3FD17C46"/>
    <w:rsid w:val="40063339"/>
    <w:rsid w:val="401D167F"/>
    <w:rsid w:val="40D703D8"/>
    <w:rsid w:val="410A78B3"/>
    <w:rsid w:val="41612CFB"/>
    <w:rsid w:val="42957651"/>
    <w:rsid w:val="43CA332A"/>
    <w:rsid w:val="445B2997"/>
    <w:rsid w:val="44C24001"/>
    <w:rsid w:val="45A71B75"/>
    <w:rsid w:val="45BD3146"/>
    <w:rsid w:val="465914A9"/>
    <w:rsid w:val="46AC6D17"/>
    <w:rsid w:val="46B502C1"/>
    <w:rsid w:val="46E75FA1"/>
    <w:rsid w:val="46FE2B7C"/>
    <w:rsid w:val="472D60AA"/>
    <w:rsid w:val="47644741"/>
    <w:rsid w:val="47857C94"/>
    <w:rsid w:val="47862CFA"/>
    <w:rsid w:val="479E6FA7"/>
    <w:rsid w:val="47EA2E9A"/>
    <w:rsid w:val="48D507A7"/>
    <w:rsid w:val="48DD765B"/>
    <w:rsid w:val="49F963E8"/>
    <w:rsid w:val="4A192915"/>
    <w:rsid w:val="4A9B6A47"/>
    <w:rsid w:val="4AE86334"/>
    <w:rsid w:val="4AF173EE"/>
    <w:rsid w:val="4AF62B3F"/>
    <w:rsid w:val="4AF673DB"/>
    <w:rsid w:val="4B655C82"/>
    <w:rsid w:val="4BB46D99"/>
    <w:rsid w:val="4C6702DB"/>
    <w:rsid w:val="4D120CEB"/>
    <w:rsid w:val="4D3A4F19"/>
    <w:rsid w:val="4DB7228F"/>
    <w:rsid w:val="4DD3168B"/>
    <w:rsid w:val="4EBF6FC0"/>
    <w:rsid w:val="4F5A0CD3"/>
    <w:rsid w:val="4F9C5928"/>
    <w:rsid w:val="4F9D5D96"/>
    <w:rsid w:val="4F9D7B44"/>
    <w:rsid w:val="501716A5"/>
    <w:rsid w:val="5078683B"/>
    <w:rsid w:val="50C63130"/>
    <w:rsid w:val="50FD4D3F"/>
    <w:rsid w:val="514C537E"/>
    <w:rsid w:val="51B51175"/>
    <w:rsid w:val="51FF6894"/>
    <w:rsid w:val="538452A3"/>
    <w:rsid w:val="53D81BF5"/>
    <w:rsid w:val="54FE4BE1"/>
    <w:rsid w:val="55780E38"/>
    <w:rsid w:val="559E15BE"/>
    <w:rsid w:val="561F04E5"/>
    <w:rsid w:val="56F02C50"/>
    <w:rsid w:val="57BC5AB4"/>
    <w:rsid w:val="57C00874"/>
    <w:rsid w:val="584B1D07"/>
    <w:rsid w:val="585D4315"/>
    <w:rsid w:val="587873A1"/>
    <w:rsid w:val="58A35505"/>
    <w:rsid w:val="58AE2DC2"/>
    <w:rsid w:val="58AE691E"/>
    <w:rsid w:val="59162E41"/>
    <w:rsid w:val="59CD1026"/>
    <w:rsid w:val="5A0F163F"/>
    <w:rsid w:val="5A1D0200"/>
    <w:rsid w:val="5A430CE9"/>
    <w:rsid w:val="5A596039"/>
    <w:rsid w:val="5B7F6104"/>
    <w:rsid w:val="5B97061F"/>
    <w:rsid w:val="5BDE751B"/>
    <w:rsid w:val="5C2A09B2"/>
    <w:rsid w:val="5C4F0418"/>
    <w:rsid w:val="5CCE3A33"/>
    <w:rsid w:val="5D0915CF"/>
    <w:rsid w:val="5DB605EE"/>
    <w:rsid w:val="5E5645CE"/>
    <w:rsid w:val="5E5F29BD"/>
    <w:rsid w:val="5EAB402C"/>
    <w:rsid w:val="5ED13367"/>
    <w:rsid w:val="5F1A4D0E"/>
    <w:rsid w:val="605129B1"/>
    <w:rsid w:val="6054424F"/>
    <w:rsid w:val="608A30C8"/>
    <w:rsid w:val="60901FE2"/>
    <w:rsid w:val="60AA645C"/>
    <w:rsid w:val="60B3541A"/>
    <w:rsid w:val="60B847DE"/>
    <w:rsid w:val="60B85F77"/>
    <w:rsid w:val="60BD3E94"/>
    <w:rsid w:val="624C78D4"/>
    <w:rsid w:val="62B77D6F"/>
    <w:rsid w:val="62D20B32"/>
    <w:rsid w:val="63604317"/>
    <w:rsid w:val="638A0045"/>
    <w:rsid w:val="6393508F"/>
    <w:rsid w:val="63BD210C"/>
    <w:rsid w:val="63DA0F0F"/>
    <w:rsid w:val="65770AB4"/>
    <w:rsid w:val="65841133"/>
    <w:rsid w:val="659C092C"/>
    <w:rsid w:val="65C95584"/>
    <w:rsid w:val="66081D64"/>
    <w:rsid w:val="668735C1"/>
    <w:rsid w:val="66F178C0"/>
    <w:rsid w:val="68356714"/>
    <w:rsid w:val="68EC06AA"/>
    <w:rsid w:val="696E0130"/>
    <w:rsid w:val="69FA5E67"/>
    <w:rsid w:val="6B2D5DC9"/>
    <w:rsid w:val="6B54608E"/>
    <w:rsid w:val="6B761553"/>
    <w:rsid w:val="6BB107A8"/>
    <w:rsid w:val="6BDE182E"/>
    <w:rsid w:val="6BF1329A"/>
    <w:rsid w:val="6C2F296E"/>
    <w:rsid w:val="6C4433CA"/>
    <w:rsid w:val="6C4B203A"/>
    <w:rsid w:val="6CA5567A"/>
    <w:rsid w:val="6CB7427B"/>
    <w:rsid w:val="6CC85DA9"/>
    <w:rsid w:val="6D3B47CD"/>
    <w:rsid w:val="6D4F2026"/>
    <w:rsid w:val="6D611D5A"/>
    <w:rsid w:val="6DF4518D"/>
    <w:rsid w:val="6EA0184F"/>
    <w:rsid w:val="6EEE3AC1"/>
    <w:rsid w:val="6FEC5674"/>
    <w:rsid w:val="70594973"/>
    <w:rsid w:val="7060279C"/>
    <w:rsid w:val="7060454A"/>
    <w:rsid w:val="71E52440"/>
    <w:rsid w:val="71F633B8"/>
    <w:rsid w:val="7220374A"/>
    <w:rsid w:val="72227D09"/>
    <w:rsid w:val="72282783"/>
    <w:rsid w:val="72842F53"/>
    <w:rsid w:val="72CA31E0"/>
    <w:rsid w:val="733D0B73"/>
    <w:rsid w:val="743B3F87"/>
    <w:rsid w:val="74DD43BC"/>
    <w:rsid w:val="76065935"/>
    <w:rsid w:val="76A258BD"/>
    <w:rsid w:val="774D65F3"/>
    <w:rsid w:val="778B6351"/>
    <w:rsid w:val="78454752"/>
    <w:rsid w:val="78866B18"/>
    <w:rsid w:val="78E51A91"/>
    <w:rsid w:val="79213AFC"/>
    <w:rsid w:val="792D62BA"/>
    <w:rsid w:val="794B40FD"/>
    <w:rsid w:val="79E06C03"/>
    <w:rsid w:val="7A3644D3"/>
    <w:rsid w:val="7A775577"/>
    <w:rsid w:val="7B267072"/>
    <w:rsid w:val="7C077739"/>
    <w:rsid w:val="7CAD0B17"/>
    <w:rsid w:val="7D603DDC"/>
    <w:rsid w:val="7DB639FC"/>
    <w:rsid w:val="7DEE3196"/>
    <w:rsid w:val="7E231924"/>
    <w:rsid w:val="7E4B05E8"/>
    <w:rsid w:val="7EF0118F"/>
    <w:rsid w:val="7F2E23E3"/>
    <w:rsid w:val="7F340F6B"/>
    <w:rsid w:val="7F345520"/>
    <w:rsid w:val="7F430AAB"/>
    <w:rsid w:val="7F475253"/>
    <w:rsid w:val="7FB83A5B"/>
    <w:rsid w:val="7FF22577"/>
    <w:rsid w:val="7FF52F01"/>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6"/>
    <w:basedOn w:val="1"/>
    <w:next w:val="1"/>
    <w:unhideWhenUsed/>
    <w:qFormat/>
    <w:uiPriority w:val="9"/>
    <w:pPr>
      <w:keepNext/>
      <w:keepLines/>
      <w:spacing w:line="360" w:lineRule="auto"/>
      <w:outlineLvl w:val="5"/>
    </w:pPr>
    <w:rPr>
      <w:rFonts w:ascii="仿宋_GB2312" w:hAnsi="仿宋_GB2312" w:eastAsia="仿宋_GB2312" w:cs="Times New Roman"/>
      <w:b/>
      <w:bCs/>
      <w:szCs w:val="2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1363</Words>
  <Characters>1517</Characters>
  <Lines>0</Lines>
  <Paragraphs>0</Paragraphs>
  <TotalTime>18</TotalTime>
  <ScaleCrop>false</ScaleCrop>
  <LinksUpToDate>false</LinksUpToDate>
  <CharactersWithSpaces>1618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我</cp:lastModifiedBy>
  <cp:lastPrinted>2022-02-28T09:35:00Z</cp:lastPrinted>
  <dcterms:modified xsi:type="dcterms:W3CDTF">2026-03-17T08:32:33Z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2E8E29920C9D411BA093B376026B8834</vt:lpwstr>
  </property>
  <property fmtid="{D5CDD505-2E9C-101B-9397-08002B2CF9AE}" pid="4" name="KSOTemplateDocerSaveRecord">
    <vt:lpwstr>eyJoZGlkIjoiOTBiZGY2ZTlkMGI1NGFlMGQxZGY0NjkwYTgzY2NmZTkiLCJ1c2VySWQiOiI0MTkxMjY4MjgifQ==</vt:lpwstr>
  </property>
</Properties>
</file>