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6795"/>
        <w:gridCol w:w="751"/>
        <w:gridCol w:w="1000"/>
        <w:gridCol w:w="1740"/>
        <w:gridCol w:w="1258"/>
        <w:gridCol w:w="16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35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顺序号</w:t>
            </w:r>
          </w:p>
        </w:tc>
        <w:tc>
          <w:tcPr>
            <w:tcW w:w="239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   程   或   费   用   名   称</w:t>
            </w:r>
          </w:p>
        </w:tc>
        <w:tc>
          <w:tcPr>
            <w:tcW w:w="123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技术经济指标</w:t>
            </w:r>
          </w:p>
        </w:tc>
        <w:tc>
          <w:tcPr>
            <w:tcW w:w="44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概算金额（万元）</w:t>
            </w:r>
          </w:p>
        </w:tc>
        <w:tc>
          <w:tcPr>
            <w:tcW w:w="57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tblHeader/>
        </w:trPr>
        <w:tc>
          <w:tcPr>
            <w:tcW w:w="35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39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指标元/(单位)</w:t>
            </w:r>
          </w:p>
        </w:tc>
        <w:tc>
          <w:tcPr>
            <w:tcW w:w="44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7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第一部分  工程费用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21176.89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第一阶段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7261.43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长汀填埋场垃圾处理费用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好氧稳定化处理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391.95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好氧稳定化除臭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4800.00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43.20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好氧稳定化土建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98.33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好氧稳定化设备（抽气风机、注气风机和除臭设备）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2500000.00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250.00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好氧稳定化后膜的修补</w:t>
            </w:r>
            <w:bookmarkStart w:id="0" w:name="_GoBack"/>
            <w:bookmarkEnd w:id="0"/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垃圾开挖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318.81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洗车台（设备以及基础）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245.58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洗车台设备费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1370000.00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137.00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洗车台工程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81.20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洗车台运行费用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1825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150.00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27.38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除臭降尘(场区高压喷雾风炮)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445.00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运行费用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1825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2000.00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365.00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高压喷雾风炮（固定）设备费用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50000.00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20.00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高压喷雾风炮（车载）设备费用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辆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600000.00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60.00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临时道路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98.75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道路及场地硬化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27.36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变配电间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44.44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配套水、电设施(含电源外线接入，装机容量1250kVA)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336.61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新鲜垃圾运往长汀垃圾焚烧发电厂（单程运距15公里）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360000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37.00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1332.00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新鲜垃圾焚烧处理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360000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3600.00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临时覆盖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420.93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第二阶段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13915.46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长汀填埋场垃圾筛分处理费用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好氧稳定化处理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422.14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好氧稳定化除臭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4800.00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86.40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好氧稳定化土建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85.37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好氧稳定化后膜的修补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好氧稳定化设备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2500000.00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250.00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垃圾开挖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430.62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垃圾场内输送（1公里以内）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517500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17.25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892.69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垃圾筛分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517500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65.00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3363.75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无机骨料场内转运（1公里以内）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77625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17.25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133.90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无机骨料原填埋场回填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31.85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筛分处理场所（钢结构+安装工程）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550.60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污染土场内运输（1公里以内）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Style w:val="16"/>
                <w:lang w:val="en-US" w:eastAsia="zh-CN" w:bidi="ar"/>
              </w:rPr>
              <w:t>3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86200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17.25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148.70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污染土的开挖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72.78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腐殖土和污染土运输（1公里以内）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482870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17.25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832.95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腐殖土和污染土回填到腐殖土库区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198.55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轻质物暂存场（筛分及堆放场里）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34.71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两个腐殖土暂存场(投影面积分别为5200m2和23700m2)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1294.63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骨料临时堆放区（地面硬化）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22.87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临时覆盖（1.0mmHDPE膜），按1次置换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73200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181.55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洗车台运行费用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1095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150.00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16.43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除臭降尘(场区高压喷雾风炮、厂房植物液喷淋及末端除臭)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516.98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基坑和边坡的支护及其他费用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1530.21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腐殖土临时堆放区和暂存场进场道路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57.49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道路及地面硬化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94.08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调节池的拆除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54.70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消防水池及泵房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273.50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3#库区垃圾坝的拆除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85.79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2#库区垃圾坝的修复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72.86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筛上轻质物运往长汀垃圾焚烧发电厂（单程运距15公里）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181125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37.00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670.16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筛上轻质物焚烧处理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181125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1811.25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金属堆放场（参照轻质物堆放场做法）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3.65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室外其他工程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116.08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第一部分  工程费用合计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21176.89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第二部分  工程建设其它费用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建设单位管理费    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251.77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基本设计费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595.47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施工图及勘察文件审核费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20.26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招标代理费用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81.63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前期工作费用(含建议书.可研等)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31.52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环评费用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14.68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水土保持方案编制费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72.82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场地准备及临时设施费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254.12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工程保险费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（含工伤保险费）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63.53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全过程工程咨询费（包括勘察费、监理费、造价咨询费）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435.00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第三方检测、监测费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185.00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第二部分费用合计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2005.81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第一、二部分费用合计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23182.70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基本预备费  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1159.13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(一+二)×5%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静态工程投资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24341.83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工程总投资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24341.83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铺底流动资金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建设项目总投资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24342.78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head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rFonts w:hint="eastAsia" w:ascii="仿宋" w:hAnsi="仿宋" w:eastAsia="仿宋" w:cs="仿宋"/>
        <w:color w:val="auto"/>
        <w:w w:val="95"/>
        <w:kern w:val="2"/>
        <w:sz w:val="32"/>
        <w:szCs w:val="32"/>
        <w:lang w:val="en-US" w:eastAsia="zh-CN"/>
      </w:rPr>
      <w:t>附件：长汀县生活垃圾无害化处理场生态修复工程概算汇总表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2F3F2"/>
    <w:multiLevelType w:val="multilevel"/>
    <w:tmpl w:val="6512F3F2"/>
    <w:lvl w:ilvl="0" w:tentative="0">
      <w:start w:val="1"/>
      <w:numFmt w:val="decimal"/>
      <w:pStyle w:val="2"/>
      <w:lvlText w:val="%1."/>
      <w:lvlJc w:val="left"/>
      <w:pPr>
        <w:ind w:left="283" w:leftChars="0" w:hanging="283" w:firstLineChars="0"/>
      </w:pPr>
      <w:rPr>
        <w:rFonts w:hint="default"/>
      </w:rPr>
    </w:lvl>
    <w:lvl w:ilvl="1" w:tentative="0">
      <w:start w:val="1"/>
      <w:numFmt w:val="decimal"/>
      <w:pStyle w:val="3"/>
      <w:suff w:val="nothing"/>
      <w:lvlText w:val="%1.%2."/>
      <w:lvlJc w:val="left"/>
      <w:pPr>
        <w:ind w:left="340" w:leftChars="0" w:hanging="340" w:firstLineChars="0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E57BB0"/>
    <w:rsid w:val="025E1CAF"/>
    <w:rsid w:val="0D7356D6"/>
    <w:rsid w:val="1001769F"/>
    <w:rsid w:val="110E048A"/>
    <w:rsid w:val="191F56A4"/>
    <w:rsid w:val="1AE57BB0"/>
    <w:rsid w:val="1BB44598"/>
    <w:rsid w:val="24456815"/>
    <w:rsid w:val="2812143D"/>
    <w:rsid w:val="303511AD"/>
    <w:rsid w:val="37505570"/>
    <w:rsid w:val="4AF82FEC"/>
    <w:rsid w:val="50384C51"/>
    <w:rsid w:val="55FF5066"/>
    <w:rsid w:val="56495DC9"/>
    <w:rsid w:val="5FEA46EB"/>
    <w:rsid w:val="649A719B"/>
    <w:rsid w:val="742A4D97"/>
    <w:rsid w:val="7CBC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="10" w:afterLines="0" w:afterAutospacing="0" w:line="576" w:lineRule="auto"/>
      <w:ind w:left="283" w:hanging="283"/>
      <w:outlineLvl w:val="0"/>
    </w:pPr>
    <w:rPr>
      <w:rFonts w:ascii="Times New Roman" w:hAnsi="Times New Roman" w:eastAsia="黑体" w:cs="Times New Roman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Lines="0" w:beforeAutospacing="0" w:afterLines="0" w:afterAutospacing="0" w:line="360" w:lineRule="auto"/>
      <w:ind w:left="340" w:hanging="340" w:firstLineChars="0"/>
      <w:outlineLvl w:val="1"/>
    </w:pPr>
    <w:rPr>
      <w:rFonts w:ascii="Times New Roman" w:hAnsi="Times New Roman" w:eastAsia="黑体" w:cs="Times New Roman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Lines="0" w:beforeAutospacing="0" w:after="10" w:afterLines="0" w:afterAutospacing="0" w:line="360" w:lineRule="auto"/>
      <w:ind w:left="720" w:hanging="720" w:firstLineChars="0"/>
      <w:outlineLvl w:val="2"/>
    </w:pPr>
    <w:rPr>
      <w:rFonts w:ascii="Times New Roman" w:hAnsi="Times New Roman" w:eastAsia="宋体" w:cs="Times New Roman"/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Lines="0" w:beforeAutospacing="0" w:afterLines="0" w:afterAutospacing="0" w:line="360" w:lineRule="auto"/>
      <w:ind w:left="864" w:hanging="864" w:firstLineChars="0"/>
      <w:outlineLvl w:val="3"/>
    </w:pPr>
    <w:rPr>
      <w:rFonts w:ascii="Arial" w:hAnsi="Arial" w:eastAsia="黑体" w:cs="Times New Roman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Lines="0" w:beforeAutospacing="0" w:afterLines="0" w:afterAutospacing="0" w:line="360" w:lineRule="auto"/>
      <w:ind w:left="1008" w:hanging="1008" w:firstLineChars="0"/>
      <w:outlineLvl w:val="4"/>
    </w:pPr>
    <w:rPr>
      <w:rFonts w:ascii="Times New Roman" w:hAnsi="Times New Roman" w:eastAsia="宋体" w:cs="Times New Roman"/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beforeLines="0" w:afterLines="0" w:line="360" w:lineRule="auto"/>
      <w:ind w:left="0"/>
    </w:pPr>
    <w:rPr>
      <w:rFonts w:hint="eastAsia" w:ascii="宋体" w:hAnsi="宋体" w:eastAsia="宋体"/>
      <w:sz w:val="24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6">
    <w:name w:val="font15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Manager>Abu设计</Manager>
  <Company>Abu设计</Company>
  <Pages>1</Pages>
  <Words>21</Words>
  <Characters>21</Characters>
  <Lines>0</Lines>
  <Paragraphs>0</Paragraphs>
  <TotalTime>6</TotalTime>
  <ScaleCrop>false</ScaleCrop>
  <LinksUpToDate>false</LinksUpToDate>
  <CharactersWithSpaces>21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信纸</cp:category>
  <dcterms:created xsi:type="dcterms:W3CDTF">2018-02-20T15:36:00Z</dcterms:created>
  <dc:creator>Abu设计</dc:creator>
  <dc:description>更多Abu设计的信纸请访问
http://chn.docer.com/works?userid=415014680
谢谢支持</dc:description>
  <cp:keywords>信纸 信笺背景</cp:keywords>
  <cp:lastModifiedBy>Administrator</cp:lastModifiedBy>
  <dcterms:modified xsi:type="dcterms:W3CDTF">2025-03-19T06:42:22Z</dcterms:modified>
  <dc:subject>信纸</dc:subject>
  <dc:title>信纸-Abu设计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D586002D1CB742B69B4774B1CE37DF8D_11</vt:lpwstr>
  </property>
  <property fmtid="{D5CDD505-2E9C-101B-9397-08002B2CF9AE}" pid="4" name="KSOTemplateDocerSaveRecord">
    <vt:lpwstr>eyJoZGlkIjoiZmY4M2NhZjc4MzM4YWNhMmNiYTQ3ZjliYjM1YjYzZmQiLCJ1c2VySWQiOiIyNTMxODgxMzMifQ==</vt:lpwstr>
  </property>
</Properties>
</file>