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7841F">
      <w:pPr>
        <w:spacing w:line="600" w:lineRule="exact"/>
        <w:jc w:val="center"/>
        <w:rPr>
          <w:rFonts w:hint="eastAsia" w:ascii="方正小标宋简体" w:hAnsi="方正小标宋简体" w:eastAsia="方正小标宋简体" w:cs="方正小标宋简体"/>
          <w:sz w:val="44"/>
          <w:szCs w:val="44"/>
        </w:rPr>
      </w:pPr>
    </w:p>
    <w:p w14:paraId="717455A7">
      <w:pPr>
        <w:spacing w:line="600" w:lineRule="exact"/>
        <w:jc w:val="center"/>
        <w:rPr>
          <w:rFonts w:hint="eastAsia" w:ascii="方正小标宋简体" w:hAnsi="方正小标宋简体" w:eastAsia="方正小标宋简体" w:cs="方正小标宋简体"/>
          <w:sz w:val="44"/>
          <w:szCs w:val="44"/>
        </w:rPr>
      </w:pPr>
    </w:p>
    <w:p w14:paraId="1706D0F2">
      <w:pPr>
        <w:spacing w:line="600" w:lineRule="exact"/>
        <w:jc w:val="center"/>
        <w:rPr>
          <w:rFonts w:hint="eastAsia" w:ascii="方正小标宋简体" w:hAnsi="方正小标宋简体" w:eastAsia="方正小标宋简体" w:cs="方正小标宋简体"/>
          <w:sz w:val="44"/>
          <w:szCs w:val="44"/>
        </w:rPr>
      </w:pPr>
    </w:p>
    <w:p w14:paraId="7B8A8F54">
      <w:pPr>
        <w:spacing w:line="600" w:lineRule="exact"/>
        <w:rPr>
          <w:rFonts w:hint="eastAsia" w:ascii="方正小标宋简体" w:hAnsi="方正小标宋简体" w:eastAsia="方正小标宋简体" w:cs="方正小标宋简体"/>
          <w:sz w:val="44"/>
          <w:szCs w:val="44"/>
        </w:rPr>
      </w:pPr>
    </w:p>
    <w:p w14:paraId="0DA98B4B">
      <w:pPr>
        <w:spacing w:line="600" w:lineRule="exact"/>
        <w:jc w:val="center"/>
        <w:rPr>
          <w:rFonts w:hint="eastAsia" w:ascii="方正小标宋简体" w:hAnsi="方正小标宋简体" w:eastAsia="方正小标宋简体" w:cs="方正小标宋简体"/>
          <w:sz w:val="44"/>
          <w:szCs w:val="44"/>
        </w:rPr>
      </w:pPr>
    </w:p>
    <w:p w14:paraId="3C5186CD">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中共庵杰乡委员会  庵杰乡人民政府</w:t>
      </w:r>
    </w:p>
    <w:p w14:paraId="1EAD360D">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关于2024年法治政府建设工作情况报告 </w:t>
      </w:r>
    </w:p>
    <w:p w14:paraId="75FF4073">
      <w:pPr>
        <w:spacing w:line="600" w:lineRule="exact"/>
      </w:pPr>
    </w:p>
    <w:p w14:paraId="5C5870AA">
      <w:pPr>
        <w:spacing w:line="600" w:lineRule="exact"/>
        <w:rPr>
          <w:rFonts w:hint="eastAsia" w:ascii="仿宋_GB2312" w:hAnsi="仿宋" w:eastAsia="仿宋_GB2312"/>
          <w:sz w:val="32"/>
          <w:szCs w:val="36"/>
        </w:rPr>
      </w:pPr>
      <w:r>
        <w:rPr>
          <w:rFonts w:hint="eastAsia" w:ascii="仿宋_GB2312" w:hAnsi="仿宋" w:eastAsia="仿宋_GB2312"/>
          <w:sz w:val="32"/>
          <w:szCs w:val="36"/>
        </w:rPr>
        <w:t>中共长汀县委</w:t>
      </w:r>
      <w:r>
        <w:rPr>
          <w:rFonts w:hint="eastAsia" w:ascii="仿宋_GB2312" w:hAnsi="仿宋" w:eastAsia="仿宋_GB2312"/>
          <w:sz w:val="32"/>
          <w:szCs w:val="36"/>
          <w:lang w:eastAsia="zh-CN"/>
        </w:rPr>
        <w:t>，</w:t>
      </w:r>
      <w:r>
        <w:rPr>
          <w:rFonts w:hint="eastAsia" w:ascii="仿宋_GB2312" w:hAnsi="仿宋" w:eastAsia="仿宋_GB2312"/>
          <w:sz w:val="32"/>
          <w:szCs w:val="36"/>
        </w:rPr>
        <w:t>县政府：</w:t>
      </w:r>
    </w:p>
    <w:p w14:paraId="47E71162">
      <w:pPr>
        <w:pStyle w:val="7"/>
        <w:spacing w:line="600" w:lineRule="exact"/>
        <w:ind w:firstLine="640" w:firstLineChars="200"/>
        <w:jc w:val="left"/>
        <w:rPr>
          <w:rFonts w:hint="eastAsia" w:ascii="仿宋_GB2312" w:hAnsi="仿宋_GB2312" w:cs="仿宋_GB2312"/>
          <w:szCs w:val="32"/>
        </w:rPr>
      </w:pPr>
      <w:r>
        <w:rPr>
          <w:rFonts w:ascii="仿宋_GB2312" w:hAnsi="仿宋_GB2312" w:cs="仿宋_GB2312"/>
          <w:szCs w:val="32"/>
        </w:rPr>
        <w:t>2024年，在县委、县政府的坚强领导下，</w:t>
      </w:r>
      <w:r>
        <w:rPr>
          <w:rFonts w:hint="eastAsia" w:ascii="仿宋_GB2312" w:hAnsi="仿宋_GB2312" w:cs="仿宋_GB2312"/>
          <w:szCs w:val="32"/>
        </w:rPr>
        <w:t>庵杰</w:t>
      </w:r>
      <w:r>
        <w:rPr>
          <w:rFonts w:ascii="仿宋_GB2312" w:hAnsi="仿宋_GB2312" w:cs="仿宋_GB2312"/>
          <w:szCs w:val="32"/>
        </w:rPr>
        <w:t>乡坚持以习近平新时代中国特色社会主义思想为指导，全面贯彻落实习近平法治思想和中央、省、市、县关于法治政府建设的重大决策部署</w:t>
      </w:r>
      <w:r>
        <w:rPr>
          <w:rFonts w:hint="eastAsia" w:ascii="仿宋_GB2312" w:hAnsi="仿宋_GB2312" w:cs="仿宋_GB2312"/>
          <w:szCs w:val="32"/>
        </w:rPr>
        <w:t>，根据《法治政府建设实施纲要（2021—2025年）》工作安排，</w:t>
      </w:r>
      <w:r>
        <w:rPr>
          <w:rFonts w:ascii="仿宋_GB2312" w:hAnsi="仿宋_GB2312" w:cs="仿宋_GB2312"/>
          <w:szCs w:val="32"/>
        </w:rPr>
        <w:t>全乡上下立足工作职能，统筹推进权责一致、严格执法、公正司法、全民守法，</w:t>
      </w:r>
      <w:r>
        <w:rPr>
          <w:rFonts w:hint="eastAsia" w:ascii="仿宋_GB2312" w:hAnsi="仿宋_GB2312" w:cs="仿宋_GB2312"/>
          <w:szCs w:val="32"/>
        </w:rPr>
        <w:t>推动</w:t>
      </w:r>
      <w:r>
        <w:rPr>
          <w:rFonts w:ascii="仿宋_GB2312" w:hAnsi="仿宋_GB2312" w:cs="仿宋_GB2312"/>
          <w:szCs w:val="32"/>
        </w:rPr>
        <w:t>法治政府建设</w:t>
      </w:r>
      <w:r>
        <w:rPr>
          <w:rFonts w:hint="eastAsia" w:ascii="仿宋_GB2312" w:hAnsi="仿宋_GB2312" w:cs="仿宋_GB2312"/>
          <w:szCs w:val="32"/>
        </w:rPr>
        <w:t>提质增效</w:t>
      </w:r>
      <w:r>
        <w:rPr>
          <w:rFonts w:ascii="仿宋_GB2312" w:hAnsi="仿宋_GB2312" w:cs="仿宋_GB2312"/>
          <w:szCs w:val="32"/>
        </w:rPr>
        <w:t>。现将</w:t>
      </w:r>
      <w:r>
        <w:rPr>
          <w:rFonts w:hint="eastAsia" w:ascii="仿宋_GB2312" w:hAnsi="仿宋_GB2312" w:cs="仿宋_GB2312"/>
          <w:szCs w:val="32"/>
        </w:rPr>
        <w:t>2024年</w:t>
      </w:r>
      <w:r>
        <w:rPr>
          <w:rFonts w:ascii="仿宋_GB2312" w:hAnsi="仿宋_GB2312" w:cs="仿宋_GB2312"/>
          <w:szCs w:val="32"/>
        </w:rPr>
        <w:t>法治政府建设工作情况报告如下：</w:t>
      </w:r>
    </w:p>
    <w:p w14:paraId="0692BE76">
      <w:pPr>
        <w:pStyle w:val="7"/>
        <w:spacing w:line="600" w:lineRule="exact"/>
        <w:ind w:firstLine="640" w:firstLineChars="200"/>
        <w:jc w:val="left"/>
        <w:rPr>
          <w:rFonts w:hint="eastAsia" w:ascii="黑体" w:hAnsi="黑体" w:eastAsia="黑体" w:cs="黑体"/>
          <w:szCs w:val="32"/>
        </w:rPr>
      </w:pPr>
      <w:r>
        <w:rPr>
          <w:rFonts w:hint="eastAsia" w:ascii="黑体" w:hAnsi="黑体" w:eastAsia="黑体" w:cs="黑体"/>
          <w:szCs w:val="32"/>
        </w:rPr>
        <w:t>一、2024年法治政府建设第一责任人履行职责情况</w:t>
      </w:r>
    </w:p>
    <w:p w14:paraId="46A170E2">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（一）高度重视，亲抓法治建设</w:t>
      </w:r>
      <w:r>
        <w:rPr>
          <w:rFonts w:hint="eastAsia" w:ascii="楷体" w:hAnsi="楷体" w:eastAsia="楷体" w:cs="楷体"/>
          <w:szCs w:val="32"/>
        </w:rPr>
        <w:t>。</w:t>
      </w:r>
      <w:r>
        <w:rPr>
          <w:rFonts w:ascii="仿宋_GB2312" w:hAnsi="仿宋_GB2312" w:cs="仿宋_GB2312"/>
          <w:szCs w:val="32"/>
        </w:rPr>
        <w:t>党委书记作为法治政府建设的第一责任人，高度重视法治建设工作，将其纳入重要议事日程。</w:t>
      </w:r>
      <w:r>
        <w:rPr>
          <w:rFonts w:hint="eastAsia" w:ascii="仿宋_GB2312" w:hAnsi="仿宋_GB2312" w:cs="仿宋_GB2312"/>
          <w:szCs w:val="32"/>
        </w:rPr>
        <w:t>全年共</w:t>
      </w:r>
      <w:r>
        <w:rPr>
          <w:rFonts w:ascii="仿宋_GB2312" w:hAnsi="仿宋_GB2312" w:cs="仿宋_GB2312"/>
          <w:szCs w:val="32"/>
        </w:rPr>
        <w:t>召开8场次领导小组工作会议，专题研究法治政府建设工作中存在的问题和困难，安排部署相关依法行政工作任务。党委书记亲自抓、亲自管，确保法治政府建设各项任务落到实处。</w:t>
      </w:r>
    </w:p>
    <w:p w14:paraId="3A747AE6">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（二）完善机制，强化组织领导</w:t>
      </w:r>
      <w:r>
        <w:rPr>
          <w:rFonts w:hint="eastAsia" w:ascii="仿宋_GB2312" w:hAnsi="仿宋_GB2312" w:cs="仿宋_GB2312"/>
          <w:szCs w:val="32"/>
        </w:rPr>
        <w:t>。</w:t>
      </w:r>
      <w:r>
        <w:rPr>
          <w:rFonts w:ascii="仿宋_GB2312" w:hAnsi="仿宋_GB2312" w:cs="仿宋_GB2312"/>
          <w:szCs w:val="32"/>
        </w:rPr>
        <w:t>乡党委调整完善了法治建设领导小组，形成了由党委书记、乡长亲自抓，分管领导具体负责，副职领导相互配合，各有关站所负责人、各村</w:t>
      </w:r>
      <w:r>
        <w:rPr>
          <w:rFonts w:hint="eastAsia" w:ascii="仿宋_GB2312" w:hAnsi="仿宋_GB2312" w:cs="仿宋_GB2312"/>
          <w:szCs w:val="32"/>
        </w:rPr>
        <w:t>支部</w:t>
      </w:r>
      <w:r>
        <w:rPr>
          <w:rFonts w:ascii="仿宋_GB2312" w:hAnsi="仿宋_GB2312" w:cs="仿宋_GB2312"/>
          <w:szCs w:val="32"/>
        </w:rPr>
        <w:t>书记共同参与的新格局。领导小组定期召开会议，研究解决法治政府建设中的重大问题，形成了齐抓共管的工作格局。</w:t>
      </w:r>
    </w:p>
    <w:p w14:paraId="219B9981">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（三）以身作则，带头学法用法</w:t>
      </w:r>
      <w:r>
        <w:rPr>
          <w:rFonts w:hint="eastAsia" w:ascii="仿宋_GB2312" w:hAnsi="仿宋_GB2312" w:cs="仿宋_GB2312"/>
          <w:szCs w:val="32"/>
        </w:rPr>
        <w:t>。</w:t>
      </w:r>
      <w:r>
        <w:rPr>
          <w:rFonts w:ascii="仿宋_GB2312" w:hAnsi="仿宋_GB2312" w:cs="仿宋_GB2312"/>
          <w:szCs w:val="32"/>
        </w:rPr>
        <w:t>党委书记切实履行推进法治建设第一责任人职责，以身作则，带头学习习近平法治思想和中央全面依法治国精神。通过党委（扩大）会、党委中心组理论学习会以及“三会一课”等形式，深入学习相关法律法规，自觉运用法治思维和法治方式深化改革、推动发展、化解矛盾、维护稳定、应对风险。</w:t>
      </w:r>
    </w:p>
    <w:p w14:paraId="695CBC6F">
      <w:pPr>
        <w:pStyle w:val="7"/>
        <w:spacing w:line="600" w:lineRule="exact"/>
        <w:ind w:firstLine="640" w:firstLineChars="200"/>
        <w:jc w:val="left"/>
        <w:rPr>
          <w:rFonts w:hint="eastAsia" w:ascii="黑体" w:hAnsi="黑体" w:eastAsia="黑体" w:cs="黑体"/>
          <w:szCs w:val="32"/>
        </w:rPr>
      </w:pPr>
      <w:r>
        <w:rPr>
          <w:rFonts w:ascii="黑体" w:hAnsi="黑体" w:eastAsia="黑体" w:cs="黑体"/>
          <w:szCs w:val="32"/>
        </w:rPr>
        <w:t>二、2024法治政府建设主要举措和成效</w:t>
      </w:r>
    </w:p>
    <w:p w14:paraId="25B5CE9C">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（一）依法行政水平全面提高</w:t>
      </w:r>
      <w:r>
        <w:rPr>
          <w:rFonts w:hint="eastAsia" w:ascii="楷体" w:hAnsi="楷体" w:eastAsia="楷体" w:cs="楷体"/>
          <w:szCs w:val="32"/>
        </w:rPr>
        <w:t>。</w:t>
      </w:r>
      <w:r>
        <w:rPr>
          <w:rFonts w:ascii="仿宋_GB2312" w:hAnsi="仿宋_GB2312" w:cs="仿宋_GB2312"/>
          <w:szCs w:val="32"/>
        </w:rPr>
        <w:t>全面落实党委（扩大）会、党委中心组理论学习会以及“三会一课”，通过主要领导带头学，乡村干部主动学，深入学习习近平新时代中国特色社会主义思想以及相关法律法规。</w:t>
      </w:r>
      <w:r>
        <w:rPr>
          <w:rFonts w:hint="eastAsia" w:ascii="仿宋_GB2312" w:hAnsi="仿宋_GB2312" w:cs="仿宋_GB2312"/>
          <w:szCs w:val="32"/>
        </w:rPr>
        <w:t>全年</w:t>
      </w:r>
      <w:r>
        <w:rPr>
          <w:rFonts w:ascii="仿宋_GB2312" w:hAnsi="仿宋_GB2312" w:cs="仿宋_GB2312"/>
          <w:szCs w:val="32"/>
        </w:rPr>
        <w:t>共开展习近平法治思想专题研讨会2场次，集中学法6场次，组织</w:t>
      </w:r>
      <w:r>
        <w:rPr>
          <w:rFonts w:hint="eastAsia" w:ascii="仿宋_GB2312" w:hAnsi="仿宋_GB2312" w:cs="仿宋_GB2312"/>
          <w:szCs w:val="32"/>
        </w:rPr>
        <w:t>3</w:t>
      </w:r>
      <w:r>
        <w:rPr>
          <w:rFonts w:ascii="仿宋_GB2312" w:hAnsi="仿宋_GB2312" w:cs="仿宋_GB2312"/>
          <w:szCs w:val="32"/>
        </w:rPr>
        <w:t>人次领导干部旁听人民法院庭审，有效提高了干部职工的法治素养和依法行政能力。坚持“党建引领、崇法善治”理念，组建以党政办、司法所、法律顾问为成员的合法性审核保障团队，严格落实《重大行政决策程序暂行条例》，积极为</w:t>
      </w:r>
      <w:r>
        <w:rPr>
          <w:rFonts w:hint="eastAsia" w:ascii="仿宋_GB2312" w:hAnsi="仿宋_GB2312" w:cs="仿宋_GB2312"/>
          <w:szCs w:val="32"/>
        </w:rPr>
        <w:t>庵杰</w:t>
      </w:r>
      <w:r>
        <w:rPr>
          <w:rFonts w:ascii="仿宋_GB2312" w:hAnsi="仿宋_GB2312" w:cs="仿宋_GB2312"/>
          <w:szCs w:val="32"/>
        </w:rPr>
        <w:t>乡重大决策过程把好“法律关”、当好“参谋员”。</w:t>
      </w:r>
      <w:r>
        <w:rPr>
          <w:rFonts w:hint="eastAsia" w:ascii="仿宋_GB2312" w:hAnsi="仿宋_GB2312" w:cs="仿宋_GB2312"/>
          <w:szCs w:val="32"/>
        </w:rPr>
        <w:t>全年共</w:t>
      </w:r>
      <w:r>
        <w:rPr>
          <w:rFonts w:ascii="仿宋_GB2312" w:hAnsi="仿宋_GB2312" w:cs="仿宋_GB2312"/>
          <w:szCs w:val="32"/>
        </w:rPr>
        <w:t>列席</w:t>
      </w:r>
      <w:r>
        <w:rPr>
          <w:rFonts w:hint="eastAsia" w:ascii="仿宋_GB2312" w:hAnsi="仿宋_GB2312" w:cs="仿宋_GB2312"/>
          <w:szCs w:val="32"/>
        </w:rPr>
        <w:t>16</w:t>
      </w:r>
      <w:r>
        <w:rPr>
          <w:rFonts w:ascii="仿宋_GB2312" w:hAnsi="仿宋_GB2312" w:cs="仿宋_GB2312"/>
          <w:szCs w:val="32"/>
        </w:rPr>
        <w:t>场次党委（扩大）会议，提供了20条法律建议，审核了10份合同，解决了1</w:t>
      </w:r>
      <w:r>
        <w:rPr>
          <w:rFonts w:hint="eastAsia" w:ascii="仿宋_GB2312" w:hAnsi="仿宋_GB2312" w:cs="仿宋_GB2312"/>
          <w:szCs w:val="32"/>
        </w:rPr>
        <w:t>2</w:t>
      </w:r>
      <w:r>
        <w:rPr>
          <w:rFonts w:ascii="仿宋_GB2312" w:hAnsi="仿宋_GB2312" w:cs="仿宋_GB2312"/>
          <w:szCs w:val="32"/>
        </w:rPr>
        <w:t>个重要问题。</w:t>
      </w:r>
    </w:p>
    <w:p w14:paraId="4AC3F9CF">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（二）法治建设组织领导到位</w:t>
      </w:r>
      <w:r>
        <w:rPr>
          <w:rFonts w:hint="eastAsia" w:ascii="仿宋_GB2312" w:hAnsi="仿宋_GB2312" w:cs="仿宋_GB2312"/>
          <w:szCs w:val="32"/>
        </w:rPr>
        <w:t>。</w:t>
      </w:r>
      <w:r>
        <w:rPr>
          <w:rFonts w:ascii="仿宋_GB2312" w:hAnsi="仿宋_GB2312" w:cs="仿宋_GB2312"/>
          <w:szCs w:val="32"/>
        </w:rPr>
        <w:t>乡党委高度重视法治建设，调整完善法治建设领导小组，形成了主要领导亲自抓、分管领导具体抓、干部职工配合抓的齐抓共管工作格局。党委书记切实履行推进法治建设第一责任人职责，将法治政府建设工作纳入重要议事日程，定期召开会议研究部署相关工作，确保各项任务落到实处。</w:t>
      </w:r>
    </w:p>
    <w:p w14:paraId="5B534A72">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（三）全民守法能力得到升华</w:t>
      </w:r>
      <w:r>
        <w:rPr>
          <w:rFonts w:hint="eastAsia" w:ascii="仿宋_GB2312" w:hAnsi="仿宋_GB2312" w:cs="仿宋_GB2312"/>
          <w:szCs w:val="32"/>
        </w:rPr>
        <w:t>。</w:t>
      </w:r>
      <w:r>
        <w:rPr>
          <w:rFonts w:ascii="仿宋_GB2312" w:hAnsi="仿宋_GB2312" w:cs="仿宋_GB2312"/>
          <w:szCs w:val="32"/>
        </w:rPr>
        <w:t>紧扣普法依法治理工作要点，结合“三八”妇女节、“禁毒宣传日”等活动，围绕宪法、民法典、反有组织犯罪法、乡村振兴促进法等内容，常态化开展“法律七进”活动。</w:t>
      </w:r>
      <w:r>
        <w:rPr>
          <w:rFonts w:hint="eastAsia" w:ascii="仿宋_GB2312" w:hAnsi="仿宋_GB2312" w:cs="仿宋_GB2312"/>
          <w:szCs w:val="32"/>
        </w:rPr>
        <w:t>全年</w:t>
      </w:r>
      <w:r>
        <w:rPr>
          <w:rFonts w:ascii="仿宋_GB2312" w:hAnsi="仿宋_GB2312" w:cs="仿宋_GB2312"/>
          <w:szCs w:val="32"/>
        </w:rPr>
        <w:t>共开展3</w:t>
      </w:r>
      <w:r>
        <w:rPr>
          <w:rFonts w:hint="eastAsia" w:ascii="仿宋_GB2312" w:hAnsi="仿宋_GB2312" w:cs="仿宋_GB2312"/>
          <w:szCs w:val="32"/>
        </w:rPr>
        <w:t>2</w:t>
      </w:r>
      <w:r>
        <w:rPr>
          <w:rFonts w:ascii="仿宋_GB2312" w:hAnsi="仿宋_GB2312" w:cs="仿宋_GB2312"/>
          <w:szCs w:val="32"/>
        </w:rPr>
        <w:t>场次普法宣传活动，派发宣传册</w:t>
      </w:r>
      <w:r>
        <w:rPr>
          <w:rFonts w:hint="eastAsia" w:ascii="仿宋_GB2312" w:hAnsi="仿宋_GB2312" w:cs="仿宋_GB2312"/>
          <w:szCs w:val="32"/>
        </w:rPr>
        <w:t>5</w:t>
      </w:r>
      <w:r>
        <w:rPr>
          <w:rFonts w:ascii="仿宋_GB2312" w:hAnsi="仿宋_GB2312" w:cs="仿宋_GB2312"/>
          <w:szCs w:val="32"/>
        </w:rPr>
        <w:t>00余份，受教育人员达2000余人。充分利用电视、网络以及微博、微信等新媒体平台，拓宽宣传渠道，提高宣传效果。通过组织干部群众参加法院的公开审判、集中执行等法治实践活动，向群众进行生动形象的法治宣传教育。</w:t>
      </w:r>
    </w:p>
    <w:p w14:paraId="255BE5DC">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（四）依法决策科学民主有序</w:t>
      </w:r>
      <w:r>
        <w:rPr>
          <w:rFonts w:hint="eastAsia" w:ascii="楷体" w:hAnsi="楷体" w:eastAsia="楷体" w:cs="楷体"/>
          <w:szCs w:val="32"/>
        </w:rPr>
        <w:t>。</w:t>
      </w:r>
      <w:r>
        <w:rPr>
          <w:rFonts w:ascii="仿宋_GB2312" w:hAnsi="仿宋_GB2312" w:cs="仿宋_GB2312"/>
          <w:szCs w:val="32"/>
        </w:rPr>
        <w:t>严格按照《重大行政决策程序暂行条例》规定，对重大行政决策进行合法性审查、风险评估和集体讨论决定。确保决策过程科学民主、合法合规。严格落实“三统一”制度，加强对规范性文件的监管。切实做好规范性文件审查和100%备案工作，加强规范性文件的动态管理，建立清理长效机制。202</w:t>
      </w:r>
      <w:r>
        <w:rPr>
          <w:rFonts w:hint="eastAsia" w:ascii="仿宋_GB2312" w:hAnsi="仿宋_GB2312" w:cs="仿宋_GB2312"/>
          <w:szCs w:val="32"/>
        </w:rPr>
        <w:t>4</w:t>
      </w:r>
      <w:r>
        <w:rPr>
          <w:rFonts w:ascii="仿宋_GB2312" w:hAnsi="仿宋_GB2312" w:cs="仿宋_GB2312"/>
          <w:szCs w:val="32"/>
        </w:rPr>
        <w:t>年以来未制发规范性文件，有效避免了规范性文件的滥用和违法现象。</w:t>
      </w:r>
    </w:p>
    <w:p w14:paraId="518DF8B8">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（五）行政执法规范公正文明</w:t>
      </w:r>
      <w:r>
        <w:rPr>
          <w:rFonts w:hint="eastAsia" w:ascii="仿宋_GB2312" w:hAnsi="仿宋_GB2312" w:cs="仿宋_GB2312"/>
          <w:szCs w:val="32"/>
        </w:rPr>
        <w:t>。</w:t>
      </w:r>
      <w:r>
        <w:rPr>
          <w:rFonts w:ascii="仿宋_GB2312" w:hAnsi="仿宋_GB2312" w:cs="仿宋_GB2312"/>
          <w:szCs w:val="32"/>
        </w:rPr>
        <w:t>紧紧围绕提升行政执法质量三年行动计划和提升行政执法质量工作要点，对执法人员进行全面摸排和培训</w:t>
      </w:r>
      <w:r>
        <w:rPr>
          <w:rFonts w:hint="eastAsia" w:ascii="仿宋_GB2312" w:hAnsi="仿宋_GB2312" w:cs="仿宋_GB2312"/>
          <w:szCs w:val="32"/>
        </w:rPr>
        <w:t>，累计报名参考执法考试17人次，考试通过率100%。同时</w:t>
      </w:r>
      <w:r>
        <w:rPr>
          <w:rFonts w:ascii="仿宋_GB2312" w:hAnsi="仿宋_GB2312" w:cs="仿宋_GB2312"/>
          <w:szCs w:val="32"/>
        </w:rPr>
        <w:t>调配充实综合执法大队力量，配置执法装备，提高执法效率和水平。通过逐项梳理、逐项检查、逐项落实的方式，对执法行为进行全面规范。针对执法人员法律意识薄弱、行政执法平台业务不熟悉等问题，持续推进整改落实。</w:t>
      </w:r>
      <w:r>
        <w:rPr>
          <w:rFonts w:hint="eastAsia" w:ascii="仿宋_GB2312" w:hAnsi="仿宋_GB2312" w:cs="仿宋_GB2312"/>
          <w:szCs w:val="32"/>
        </w:rPr>
        <w:t>全年</w:t>
      </w:r>
      <w:r>
        <w:rPr>
          <w:rFonts w:ascii="仿宋_GB2312" w:hAnsi="仿宋_GB2312" w:cs="仿宋_GB2312"/>
          <w:szCs w:val="32"/>
        </w:rPr>
        <w:t>平台录入行政案件共</w:t>
      </w:r>
      <w:r>
        <w:rPr>
          <w:rFonts w:hint="eastAsia" w:ascii="仿宋_GB2312" w:hAnsi="仿宋_GB2312" w:cs="仿宋_GB2312"/>
          <w:szCs w:val="32"/>
        </w:rPr>
        <w:t>26</w:t>
      </w:r>
      <w:r>
        <w:rPr>
          <w:rFonts w:ascii="仿宋_GB2312" w:hAnsi="仿宋_GB2312" w:cs="仿宋_GB2312"/>
          <w:szCs w:val="32"/>
        </w:rPr>
        <w:t>件，其中行政检查2</w:t>
      </w:r>
      <w:r>
        <w:rPr>
          <w:rFonts w:hint="eastAsia" w:ascii="仿宋_GB2312" w:hAnsi="仿宋_GB2312" w:cs="仿宋_GB2312"/>
          <w:szCs w:val="32"/>
        </w:rPr>
        <w:t>0</w:t>
      </w:r>
      <w:r>
        <w:rPr>
          <w:rFonts w:ascii="仿宋_GB2312" w:hAnsi="仿宋_GB2312" w:cs="仿宋_GB2312"/>
          <w:szCs w:val="32"/>
        </w:rPr>
        <w:t>件，行政处罚</w:t>
      </w:r>
      <w:r>
        <w:rPr>
          <w:rFonts w:hint="eastAsia" w:ascii="仿宋_GB2312" w:hAnsi="仿宋_GB2312" w:cs="仿宋_GB2312"/>
          <w:szCs w:val="32"/>
        </w:rPr>
        <w:t>6</w:t>
      </w:r>
      <w:r>
        <w:rPr>
          <w:rFonts w:ascii="仿宋_GB2312" w:hAnsi="仿宋_GB2312" w:cs="仿宋_GB2312"/>
          <w:szCs w:val="32"/>
        </w:rPr>
        <w:t>件。加强对执法过程的监督和管理，确保执法行为合法合规、公正文明。通过“面对面”现场监督方式，“零距离”深入了解日常执法全流程环节，重点监督检查执法人员的用语、着装以及法定执法程序履行等情况。</w:t>
      </w:r>
    </w:p>
    <w:p w14:paraId="4E8B95D7">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（六）法治宣传教育深入人心</w:t>
      </w:r>
      <w:r>
        <w:rPr>
          <w:rFonts w:hint="eastAsia" w:ascii="仿宋_GB2312" w:hAnsi="仿宋_GB2312" w:cs="仿宋_GB2312"/>
          <w:szCs w:val="32"/>
        </w:rPr>
        <w:t>。</w:t>
      </w:r>
      <w:r>
        <w:rPr>
          <w:rFonts w:ascii="仿宋_GB2312" w:hAnsi="仿宋_GB2312" w:cs="仿宋_GB2312"/>
          <w:szCs w:val="32"/>
        </w:rPr>
        <w:t>结合重要时间节点和热点事件，开展了一系列主题鲜明的法治宣传活动。如“讲好‘平安课’，收获‘安全果’”、“预防校园欺凌，共建和谐校园”、“反诈‘干货’进乡村，守好居民‘钱袋子’”等，有效</w:t>
      </w:r>
      <w:r>
        <w:rPr>
          <w:rFonts w:hint="eastAsia" w:ascii="仿宋_GB2312" w:hAnsi="仿宋_GB2312" w:cs="仿宋_GB2312"/>
          <w:szCs w:val="32"/>
        </w:rPr>
        <w:t>增强</w:t>
      </w:r>
      <w:r>
        <w:rPr>
          <w:rFonts w:ascii="仿宋_GB2312" w:hAnsi="仿宋_GB2312" w:cs="仿宋_GB2312"/>
          <w:szCs w:val="32"/>
        </w:rPr>
        <w:t>了群众的法治意识和法律素养。充分利用乡村文化广场、法治宣传栏等阵地，加强法治文化建设。通过举办</w:t>
      </w:r>
      <w:r>
        <w:rPr>
          <w:rFonts w:hint="eastAsia" w:ascii="仿宋_GB2312" w:hAnsi="仿宋_GB2312" w:cs="仿宋_GB2312"/>
          <w:szCs w:val="32"/>
        </w:rPr>
        <w:t>模拟法庭</w:t>
      </w:r>
      <w:r>
        <w:rPr>
          <w:rFonts w:ascii="仿宋_GB2312" w:hAnsi="仿宋_GB2312" w:cs="仿宋_GB2312"/>
          <w:szCs w:val="32"/>
        </w:rPr>
        <w:t>、法治知识竞赛等活动，营造浓厚的法治文化氛围，让群众在潜移默化中接受法治熏陶。</w:t>
      </w:r>
    </w:p>
    <w:p w14:paraId="5C0041A1">
      <w:pPr>
        <w:pStyle w:val="7"/>
        <w:spacing w:line="600" w:lineRule="exact"/>
        <w:ind w:firstLine="640" w:firstLineChars="200"/>
        <w:jc w:val="left"/>
        <w:rPr>
          <w:rFonts w:hint="eastAsia" w:ascii="黑体" w:hAnsi="黑体" w:eastAsia="黑体" w:cs="黑体"/>
          <w:szCs w:val="32"/>
        </w:rPr>
      </w:pPr>
      <w:r>
        <w:rPr>
          <w:rFonts w:ascii="黑体" w:hAnsi="黑体" w:eastAsia="黑体" w:cs="黑体"/>
          <w:szCs w:val="32"/>
        </w:rPr>
        <w:t>三、存在不足</w:t>
      </w:r>
    </w:p>
    <w:p w14:paraId="10E2A63E">
      <w:pPr>
        <w:pStyle w:val="7"/>
        <w:spacing w:line="600" w:lineRule="exact"/>
        <w:ind w:firstLine="640" w:firstLineChars="200"/>
        <w:jc w:val="left"/>
        <w:rPr>
          <w:rFonts w:hint="eastAsia" w:ascii="仿宋_GB2312" w:hAnsi="仿宋_GB2312" w:cs="仿宋_GB2312"/>
          <w:szCs w:val="32"/>
        </w:rPr>
      </w:pPr>
      <w:r>
        <w:rPr>
          <w:rFonts w:ascii="仿宋_GB2312" w:hAnsi="仿宋_GB2312" w:cs="仿宋_GB2312"/>
          <w:szCs w:val="32"/>
        </w:rPr>
        <w:t>尽管我乡在法治政府建设方面取得了显著成效，但仍存在一些不足和薄弱环节。主要表现在：</w:t>
      </w:r>
    </w:p>
    <w:p w14:paraId="62104973">
      <w:pPr>
        <w:pStyle w:val="7"/>
        <w:spacing w:line="600" w:lineRule="exact"/>
        <w:ind w:firstLine="640" w:firstLineChars="200"/>
        <w:jc w:val="left"/>
        <w:rPr>
          <w:rFonts w:hint="eastAsia" w:ascii="仿宋_GB2312" w:hAnsi="仿宋_GB2312" w:cs="仿宋_GB2312"/>
          <w:szCs w:val="32"/>
        </w:rPr>
      </w:pPr>
      <w:r>
        <w:rPr>
          <w:rFonts w:hint="eastAsia" w:ascii="楷体" w:hAnsi="楷体" w:eastAsia="楷体" w:cs="楷体"/>
          <w:szCs w:val="32"/>
        </w:rPr>
        <w:t>一是</w:t>
      </w:r>
      <w:r>
        <w:rPr>
          <w:rFonts w:ascii="楷体" w:hAnsi="楷体" w:eastAsia="楷体" w:cs="楷体"/>
          <w:szCs w:val="32"/>
        </w:rPr>
        <w:t>执法文书制作不规范。</w:t>
      </w:r>
      <w:r>
        <w:rPr>
          <w:rFonts w:ascii="仿宋_GB2312" w:hAnsi="仿宋_GB2312" w:cs="仿宋_GB2312"/>
          <w:szCs w:val="32"/>
        </w:rPr>
        <w:t>执法人员经验欠缺，在制作执法文书时存在法律依据条文套用错误等情况。这影响了执法行为的合法性和规范性，需要进一步加强培训和指导。</w:t>
      </w:r>
    </w:p>
    <w:p w14:paraId="25DEB212">
      <w:pPr>
        <w:pStyle w:val="7"/>
        <w:spacing w:line="600" w:lineRule="exact"/>
        <w:ind w:firstLine="640" w:firstLineChars="200"/>
        <w:jc w:val="left"/>
        <w:rPr>
          <w:rFonts w:hint="eastAsia" w:ascii="仿宋_GB2312" w:hAnsi="仿宋_GB2312" w:cs="仿宋_GB2312"/>
          <w:szCs w:val="32"/>
        </w:rPr>
      </w:pPr>
      <w:r>
        <w:rPr>
          <w:rFonts w:hint="eastAsia" w:ascii="楷体" w:hAnsi="楷体" w:eastAsia="楷体" w:cs="楷体"/>
          <w:szCs w:val="32"/>
        </w:rPr>
        <w:t>二是</w:t>
      </w:r>
      <w:r>
        <w:rPr>
          <w:rFonts w:ascii="楷体" w:hAnsi="楷体" w:eastAsia="楷体" w:cs="楷体"/>
          <w:szCs w:val="32"/>
        </w:rPr>
        <w:t>法治宣传还需要深入。</w:t>
      </w:r>
      <w:r>
        <w:rPr>
          <w:rFonts w:ascii="仿宋_GB2312" w:hAnsi="仿宋_GB2312" w:cs="仿宋_GB2312"/>
          <w:szCs w:val="32"/>
        </w:rPr>
        <w:t>虽然开展了多种形式的法治宣传活动，但宣传的平台狭窄、手段较为单一，政策法规学习、治法宣传还存在一些盲区。需要拓宽宣传渠道，创新宣传方式，提高宣传效果。</w:t>
      </w:r>
    </w:p>
    <w:p w14:paraId="6B622897">
      <w:pPr>
        <w:pStyle w:val="7"/>
        <w:spacing w:line="600" w:lineRule="exact"/>
        <w:ind w:firstLine="640" w:firstLineChars="200"/>
        <w:jc w:val="left"/>
        <w:rPr>
          <w:rFonts w:hint="eastAsia" w:ascii="仿宋_GB2312" w:hAnsi="仿宋_GB2312" w:cs="仿宋_GB2312"/>
          <w:szCs w:val="32"/>
        </w:rPr>
      </w:pPr>
      <w:r>
        <w:rPr>
          <w:rFonts w:hint="eastAsia" w:ascii="楷体" w:hAnsi="楷体" w:eastAsia="楷体" w:cs="楷体"/>
          <w:szCs w:val="32"/>
        </w:rPr>
        <w:t>三是</w:t>
      </w:r>
      <w:r>
        <w:rPr>
          <w:rFonts w:ascii="楷体" w:hAnsi="楷体" w:eastAsia="楷体" w:cs="楷体"/>
          <w:szCs w:val="32"/>
        </w:rPr>
        <w:t>综合行政执法人员业务能力仍需继续加强。</w:t>
      </w:r>
      <w:r>
        <w:rPr>
          <w:rFonts w:ascii="仿宋_GB2312" w:hAnsi="仿宋_GB2312" w:cs="仿宋_GB2312"/>
          <w:szCs w:val="32"/>
        </w:rPr>
        <w:t>开展执法工作的人员缺乏专业培训，法律素养和业务能力有待提高。需要加强培训和管理，提高执法人员的综合素质和执法水平。</w:t>
      </w:r>
    </w:p>
    <w:p w14:paraId="2FBC10B5">
      <w:pPr>
        <w:pStyle w:val="7"/>
        <w:spacing w:line="600" w:lineRule="exact"/>
        <w:ind w:firstLine="640" w:firstLineChars="200"/>
        <w:jc w:val="left"/>
        <w:rPr>
          <w:rFonts w:hint="eastAsia" w:ascii="黑体" w:hAnsi="黑体" w:eastAsia="黑体" w:cs="黑体"/>
          <w:szCs w:val="32"/>
        </w:rPr>
      </w:pPr>
      <w:r>
        <w:rPr>
          <w:rFonts w:ascii="黑体" w:hAnsi="黑体" w:eastAsia="黑体" w:cs="黑体"/>
          <w:szCs w:val="32"/>
        </w:rPr>
        <w:t>四、2025年法治政府建设工作思路</w:t>
      </w:r>
    </w:p>
    <w:p w14:paraId="5CD9C04D">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（一）提高法治队伍政治素质</w:t>
      </w:r>
      <w:r>
        <w:rPr>
          <w:rFonts w:hint="eastAsia" w:ascii="楷体" w:hAnsi="楷体" w:eastAsia="楷体" w:cs="楷体"/>
          <w:szCs w:val="32"/>
        </w:rPr>
        <w:t>。</w:t>
      </w:r>
      <w:r>
        <w:rPr>
          <w:rFonts w:ascii="仿宋_GB2312" w:hAnsi="仿宋_GB2312" w:cs="仿宋_GB2312"/>
          <w:szCs w:val="32"/>
        </w:rPr>
        <w:t>突出学习贯彻习近平法治思想，紧抓“关键少数”。坚持和完善领导干部学法用法制度，将</w:t>
      </w:r>
      <w:r>
        <w:rPr>
          <w:rFonts w:hint="eastAsia" w:ascii="仿宋_GB2312" w:hAnsi="仿宋_GB2312" w:cs="仿宋_GB2312"/>
          <w:szCs w:val="32"/>
          <w:lang w:val="en-US" w:eastAsia="zh-CN"/>
        </w:rPr>
        <w:t>学习贯彻</w:t>
      </w:r>
      <w:bookmarkStart w:id="4" w:name="_GoBack"/>
      <w:bookmarkEnd w:id="4"/>
      <w:r>
        <w:rPr>
          <w:rFonts w:ascii="仿宋_GB2312" w:hAnsi="仿宋_GB2312" w:cs="仿宋_GB2312"/>
          <w:szCs w:val="32"/>
        </w:rPr>
        <w:t>习近平法治思想和中央全面依法治国精神作为全</w:t>
      </w:r>
      <w:r>
        <w:rPr>
          <w:rFonts w:hint="eastAsia" w:ascii="仿宋_GB2312" w:hAnsi="仿宋_GB2312" w:cs="仿宋_GB2312"/>
          <w:szCs w:val="32"/>
        </w:rPr>
        <w:t>乡</w:t>
      </w:r>
      <w:r>
        <w:rPr>
          <w:rFonts w:ascii="仿宋_GB2312" w:hAnsi="仿宋_GB2312" w:cs="仿宋_GB2312"/>
          <w:szCs w:val="32"/>
        </w:rPr>
        <w:t>领导干部学法、用法的重要内容。通过举办专题讲座、研讨会等形式，加强对社会主义法治理念的宣传教育。引导干部职工树立正确的法治观念，自觉践行社会主义核心价值观。</w:t>
      </w:r>
    </w:p>
    <w:p w14:paraId="28B32DEE">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（二）推动法治人才队伍建设</w:t>
      </w:r>
      <w:r>
        <w:rPr>
          <w:rFonts w:hint="eastAsia" w:ascii="楷体" w:hAnsi="楷体" w:eastAsia="楷体" w:cs="楷体"/>
          <w:szCs w:val="32"/>
        </w:rPr>
        <w:t>。</w:t>
      </w:r>
      <w:r>
        <w:rPr>
          <w:rFonts w:hint="eastAsia" w:ascii="仿宋_GB2312" w:hAnsi="仿宋_GB2312" w:cs="仿宋_GB2312"/>
          <w:szCs w:val="32"/>
        </w:rPr>
        <w:t>积极</w:t>
      </w:r>
      <w:r>
        <w:rPr>
          <w:rFonts w:ascii="仿宋_GB2312" w:hAnsi="仿宋_GB2312" w:cs="仿宋_GB2312"/>
          <w:szCs w:val="32"/>
        </w:rPr>
        <w:t>将优秀的法治人才纳入当地人才发展总体规划，真正培养、造就一批高素质高水平的法治队伍。尝试定期邀请法律专家、优秀律师等资深法律工作者到</w:t>
      </w:r>
      <w:r>
        <w:rPr>
          <w:rFonts w:hint="eastAsia" w:ascii="仿宋_GB2312" w:hAnsi="仿宋_GB2312" w:cs="仿宋_GB2312"/>
          <w:szCs w:val="32"/>
        </w:rPr>
        <w:t>庵杰</w:t>
      </w:r>
      <w:r>
        <w:rPr>
          <w:rFonts w:ascii="仿宋_GB2312" w:hAnsi="仿宋_GB2312" w:cs="仿宋_GB2312"/>
          <w:szCs w:val="32"/>
        </w:rPr>
        <w:t>乡对法治工作人员进行授课培训。建立健全法治人才激励机制，对在法治政府建设中表现突出的个人和集体给予表彰和奖励。激发干部职工的工作积极性和创造性，推动法治政府建设深入发展。</w:t>
      </w:r>
    </w:p>
    <w:p w14:paraId="7CF5C2C6">
      <w:pPr>
        <w:pStyle w:val="7"/>
        <w:spacing w:line="600" w:lineRule="exact"/>
        <w:ind w:firstLine="640" w:firstLineChars="200"/>
        <w:jc w:val="left"/>
        <w:rPr>
          <w:rFonts w:hint="eastAsia" w:ascii="仿宋_GB2312" w:hAnsi="仿宋_GB2312" w:cs="仿宋_GB2312"/>
          <w:szCs w:val="32"/>
        </w:rPr>
      </w:pPr>
      <w:r>
        <w:rPr>
          <w:rFonts w:ascii="楷体" w:hAnsi="楷体" w:eastAsia="楷体" w:cs="楷体"/>
          <w:szCs w:val="32"/>
        </w:rPr>
        <w:t>（三）增强人民群众法治观念</w:t>
      </w:r>
      <w:r>
        <w:rPr>
          <w:rFonts w:hint="eastAsia" w:ascii="楷体" w:hAnsi="楷体" w:eastAsia="楷体" w:cs="楷体"/>
          <w:szCs w:val="32"/>
        </w:rPr>
        <w:t>。</w:t>
      </w:r>
      <w:r>
        <w:rPr>
          <w:rFonts w:ascii="仿宋_GB2312" w:hAnsi="仿宋_GB2312" w:cs="仿宋_GB2312"/>
          <w:szCs w:val="32"/>
        </w:rPr>
        <w:t>充分利用电视、网络以及微博、微信等新媒体平台，拓宽宣传渠道，提高宣传覆盖面和影响力。组织干部群众参加法院的公开审判、集中执行等法治实践活动，增强群众的法治意识和法律素养。结合群众的实际需求和兴趣爱好，创新宣传方式和方法。通过举办法治文艺演出、法治知识竞赛等活动，寓教于乐，让群众在轻松愉快的氛围中接受法治教育。</w:t>
      </w:r>
    </w:p>
    <w:p w14:paraId="7B3E126C">
      <w:pPr>
        <w:pStyle w:val="7"/>
        <w:spacing w:line="600" w:lineRule="exact"/>
        <w:ind w:firstLine="640" w:firstLineChars="200"/>
        <w:jc w:val="left"/>
        <w:rPr>
          <w:rFonts w:hint="eastAsia" w:ascii="仿宋_GB2312" w:hAnsi="仿宋_GB2312" w:cs="仿宋_GB2312"/>
          <w:szCs w:val="32"/>
        </w:rPr>
      </w:pPr>
      <w:r>
        <w:rPr>
          <w:rFonts w:hint="eastAsia" w:ascii="楷体" w:hAnsi="楷体" w:eastAsia="楷体" w:cs="楷体"/>
          <w:szCs w:val="32"/>
        </w:rPr>
        <w:t>（四）完善行政执法监督指导。</w:t>
      </w:r>
      <w:r>
        <w:rPr>
          <w:rFonts w:ascii="仿宋_GB2312" w:hAnsi="仿宋_GB2312" w:cs="仿宋_GB2312"/>
          <w:szCs w:val="32"/>
        </w:rPr>
        <w:t>聚焦“五大执法问题”，以“面对面”现场监督方式，“零距离”深入了解日常执法全流程环节。重点监督检查执法人员的用语和着装是否规范，以及法定执法程序履行、全过程记录制度实施等情况。联合合法性审核保障团队围绕执法主体和权限、执法程序、法律适用、自由裁量、处罚公示、文书使用和案卷规范等方面，进行逐项对照、严格评查。将问题集中反馈，持续提升执法卷宗制作质量，切实增强规范执法和防范风险意识。</w:t>
      </w:r>
    </w:p>
    <w:p w14:paraId="1755BA0A">
      <w:pPr>
        <w:spacing w:line="600" w:lineRule="exact"/>
        <w:ind w:firstLine="640" w:firstLineChars="200"/>
        <w:rPr>
          <w:rFonts w:hint="eastAsia" w:ascii="仿宋_GB2312" w:hAnsi="仿宋_GB2312" w:eastAsia="仿宋_GB2312" w:cs="仿宋_GB2312"/>
          <w:sz w:val="32"/>
          <w:szCs w:val="32"/>
        </w:rPr>
      </w:pPr>
    </w:p>
    <w:p w14:paraId="2B2649CF">
      <w:pPr>
        <w:ind w:firstLine="960" w:firstLineChars="300"/>
        <w:jc w:val="both"/>
        <w:rPr>
          <w:rFonts w:hint="eastAsia" w:ascii="仿宋_GB2312" w:hAnsi="仿宋_GB2312" w:eastAsia="仿宋_GB2312" w:cs="仿宋_GB2312"/>
          <w:kern w:val="2"/>
          <w:sz w:val="32"/>
          <w:szCs w:val="32"/>
          <w:lang w:val="en-US" w:eastAsia="zh-CN" w:bidi="ar-SA"/>
        </w:rPr>
      </w:pPr>
    </w:p>
    <w:p w14:paraId="63B2464C">
      <w:pPr>
        <w:ind w:firstLine="960" w:firstLineChars="300"/>
        <w:jc w:val="both"/>
        <w:rPr>
          <w:rFonts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中共庵杰乡委员会           庵杰乡人民政府</w:t>
      </w:r>
    </w:p>
    <w:p w14:paraId="493FCE5D">
      <w:pPr>
        <w:ind w:firstLine="5120" w:firstLineChars="16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2024年12月24日</w:t>
      </w:r>
    </w:p>
    <w:p w14:paraId="2FDCB02F">
      <w:pPr>
        <w:pStyle w:val="7"/>
        <w:spacing w:line="600" w:lineRule="exact"/>
        <w:ind w:firstLine="640" w:firstLineChars="200"/>
        <w:jc w:val="left"/>
        <w:rPr>
          <w:rFonts w:hint="eastAsia" w:ascii="仿宋_GB2312" w:hAnsi="仿宋_GB2312" w:cs="仿宋_GB2312"/>
          <w:szCs w:val="32"/>
        </w:rPr>
      </w:pPr>
    </w:p>
    <w:p w14:paraId="2C1606B2">
      <w:pPr>
        <w:pStyle w:val="5"/>
        <w:rPr>
          <w:rFonts w:hint="eastAsia" w:ascii="仿宋_GB2312" w:hAnsi="仿宋_GB2312" w:cs="仿宋_GB2312"/>
          <w:szCs w:val="32"/>
        </w:rPr>
      </w:pPr>
    </w:p>
    <w:p w14:paraId="451F1D28">
      <w:pPr>
        <w:pStyle w:val="5"/>
        <w:rPr>
          <w:rFonts w:hint="eastAsia" w:ascii="仿宋_GB2312" w:hAnsi="仿宋_GB2312" w:cs="仿宋_GB2312"/>
          <w:szCs w:val="32"/>
        </w:rPr>
      </w:pPr>
    </w:p>
    <w:p w14:paraId="5D0D22C1">
      <w:pPr>
        <w:pStyle w:val="5"/>
        <w:rPr>
          <w:rFonts w:hint="eastAsia" w:ascii="仿宋_GB2312" w:hAnsi="仿宋_GB2312" w:cs="仿宋_GB2312"/>
          <w:szCs w:val="32"/>
        </w:rPr>
      </w:pPr>
    </w:p>
    <w:p w14:paraId="08C13FE3">
      <w:pPr>
        <w:pStyle w:val="5"/>
        <w:rPr>
          <w:rFonts w:hint="eastAsia" w:ascii="仿宋_GB2312" w:hAnsi="仿宋_GB2312" w:cs="仿宋_GB2312"/>
          <w:szCs w:val="32"/>
        </w:rPr>
      </w:pPr>
    </w:p>
    <w:p w14:paraId="05C157A1">
      <w:pPr>
        <w:pStyle w:val="5"/>
        <w:rPr>
          <w:rFonts w:hint="eastAsia" w:ascii="仿宋_GB2312" w:hAnsi="仿宋_GB2312" w:cs="仿宋_GB2312"/>
          <w:szCs w:val="32"/>
        </w:rPr>
      </w:pPr>
    </w:p>
    <w:p w14:paraId="7A90554B">
      <w:pPr>
        <w:pStyle w:val="5"/>
        <w:rPr>
          <w:rFonts w:hint="eastAsia" w:ascii="仿宋_GB2312" w:hAnsi="仿宋_GB2312" w:cs="仿宋_GB2312"/>
          <w:szCs w:val="32"/>
        </w:rPr>
      </w:pPr>
    </w:p>
    <w:p w14:paraId="470DB5F4">
      <w:pPr>
        <w:pStyle w:val="5"/>
        <w:rPr>
          <w:rFonts w:hint="eastAsia" w:ascii="仿宋_GB2312" w:hAnsi="仿宋_GB2312" w:cs="仿宋_GB2312"/>
          <w:szCs w:val="32"/>
        </w:rPr>
      </w:pPr>
    </w:p>
    <w:p w14:paraId="4CF218AD">
      <w:pPr>
        <w:pStyle w:val="5"/>
        <w:rPr>
          <w:rFonts w:hint="eastAsia" w:ascii="仿宋_GB2312" w:hAnsi="仿宋_GB2312" w:cs="仿宋_GB2312"/>
          <w:szCs w:val="32"/>
        </w:rPr>
      </w:pPr>
    </w:p>
    <w:p w14:paraId="750E0A1C">
      <w:pPr>
        <w:pStyle w:val="5"/>
        <w:rPr>
          <w:rFonts w:hint="eastAsia" w:ascii="仿宋_GB2312" w:hAnsi="仿宋_GB2312" w:cs="仿宋_GB2312"/>
          <w:szCs w:val="32"/>
        </w:rPr>
      </w:pPr>
    </w:p>
    <w:p w14:paraId="3E697460">
      <w:pPr>
        <w:pStyle w:val="5"/>
        <w:rPr>
          <w:rFonts w:hint="eastAsia" w:ascii="仿宋_GB2312" w:hAnsi="仿宋_GB2312" w:cs="仿宋_GB2312"/>
          <w:szCs w:val="32"/>
        </w:rPr>
      </w:pPr>
    </w:p>
    <w:p w14:paraId="3DCF931A">
      <w:pPr>
        <w:pStyle w:val="5"/>
        <w:rPr>
          <w:rFonts w:hint="eastAsia" w:ascii="仿宋_GB2312" w:hAnsi="仿宋_GB2312" w:cs="仿宋_GB2312"/>
          <w:szCs w:val="32"/>
        </w:rPr>
      </w:pPr>
    </w:p>
    <w:p w14:paraId="4A4287F4">
      <w:pPr>
        <w:pStyle w:val="5"/>
        <w:rPr>
          <w:rFonts w:hint="eastAsia" w:ascii="仿宋_GB2312" w:hAnsi="仿宋_GB2312" w:cs="仿宋_GB2312"/>
          <w:szCs w:val="32"/>
        </w:rPr>
      </w:pPr>
    </w:p>
    <w:p w14:paraId="3937488A">
      <w:pPr>
        <w:pStyle w:val="5"/>
        <w:rPr>
          <w:rFonts w:hint="eastAsia" w:ascii="仿宋_GB2312" w:hAnsi="仿宋_GB2312" w:cs="仿宋_GB2312"/>
          <w:szCs w:val="32"/>
        </w:rPr>
      </w:pPr>
    </w:p>
    <w:p w14:paraId="3F266E64">
      <w:pPr>
        <w:pStyle w:val="5"/>
        <w:rPr>
          <w:rFonts w:hint="eastAsia" w:ascii="仿宋_GB2312" w:hAnsi="仿宋_GB2312" w:cs="仿宋_GB2312"/>
          <w:szCs w:val="32"/>
        </w:rPr>
      </w:pPr>
    </w:p>
    <w:p w14:paraId="595F6578">
      <w:pPr>
        <w:pStyle w:val="5"/>
        <w:rPr>
          <w:rFonts w:hint="eastAsia" w:ascii="仿宋_GB2312" w:hAnsi="仿宋_GB2312" w:cs="仿宋_GB2312"/>
          <w:szCs w:val="32"/>
        </w:rPr>
      </w:pPr>
    </w:p>
    <w:p w14:paraId="0CE955D6">
      <w:pPr>
        <w:pStyle w:val="5"/>
        <w:rPr>
          <w:rFonts w:hint="eastAsia" w:ascii="仿宋_GB2312" w:hAnsi="仿宋_GB2312" w:cs="仿宋_GB2312"/>
          <w:szCs w:val="32"/>
        </w:rPr>
      </w:pPr>
    </w:p>
    <w:p w14:paraId="345AB27F">
      <w:pPr>
        <w:pStyle w:val="5"/>
        <w:rPr>
          <w:rFonts w:hint="eastAsia" w:ascii="仿宋_GB2312" w:hAnsi="仿宋_GB2312" w:cs="仿宋_GB2312"/>
          <w:szCs w:val="32"/>
        </w:rPr>
      </w:pPr>
    </w:p>
    <w:p w14:paraId="0DAF503A">
      <w:pPr>
        <w:pStyle w:val="5"/>
        <w:rPr>
          <w:rFonts w:hint="eastAsia" w:ascii="仿宋_GB2312" w:hAnsi="仿宋_GB2312" w:cs="仿宋_GB2312"/>
          <w:szCs w:val="32"/>
        </w:rPr>
      </w:pPr>
    </w:p>
    <w:p w14:paraId="1C4FCCD2">
      <w:pPr>
        <w:pStyle w:val="5"/>
        <w:rPr>
          <w:rFonts w:hint="eastAsia" w:ascii="仿宋_GB2312" w:hAnsi="仿宋_GB2312" w:cs="仿宋_GB2312"/>
          <w:szCs w:val="32"/>
        </w:rPr>
      </w:pPr>
    </w:p>
    <w:p w14:paraId="48E7EB30">
      <w:pPr>
        <w:pStyle w:val="5"/>
        <w:rPr>
          <w:rFonts w:hint="eastAsia" w:ascii="仿宋_GB2312" w:hAnsi="仿宋_GB2312" w:cs="仿宋_GB2312"/>
          <w:szCs w:val="32"/>
        </w:rPr>
      </w:pPr>
    </w:p>
    <w:p w14:paraId="4BF0281A">
      <w:pPr>
        <w:pStyle w:val="5"/>
        <w:rPr>
          <w:rFonts w:hint="eastAsia" w:ascii="仿宋_GB2312" w:hAnsi="仿宋_GB2312" w:cs="仿宋_GB2312"/>
          <w:szCs w:val="32"/>
        </w:rPr>
      </w:pPr>
    </w:p>
    <w:p w14:paraId="08B9C46D">
      <w:pPr>
        <w:pStyle w:val="5"/>
        <w:rPr>
          <w:rFonts w:hint="eastAsia" w:ascii="仿宋_GB2312" w:hAnsi="仿宋_GB2312" w:cs="仿宋_GB2312"/>
          <w:szCs w:val="32"/>
        </w:rPr>
      </w:pPr>
    </w:p>
    <w:p w14:paraId="29430D2A">
      <w:pPr>
        <w:pStyle w:val="5"/>
        <w:rPr>
          <w:rFonts w:hint="eastAsia" w:ascii="仿宋_GB2312" w:hAnsi="仿宋_GB2312" w:cs="仿宋_GB2312"/>
          <w:szCs w:val="32"/>
        </w:rPr>
      </w:pPr>
    </w:p>
    <w:p w14:paraId="6AAB321E">
      <w:pPr>
        <w:pStyle w:val="5"/>
        <w:rPr>
          <w:rFonts w:hint="eastAsia" w:ascii="仿宋_GB2312" w:hAnsi="仿宋_GB2312" w:cs="仿宋_GB2312"/>
          <w:szCs w:val="32"/>
        </w:rPr>
      </w:pPr>
    </w:p>
    <w:p w14:paraId="26B8076A">
      <w:pPr>
        <w:pStyle w:val="5"/>
        <w:rPr>
          <w:rFonts w:hint="eastAsia" w:ascii="仿宋_GB2312" w:hAnsi="仿宋_GB2312" w:cs="仿宋_GB2312"/>
          <w:szCs w:val="32"/>
        </w:rPr>
      </w:pPr>
    </w:p>
    <w:p w14:paraId="0E7E2363">
      <w:pPr>
        <w:pStyle w:val="5"/>
        <w:rPr>
          <w:rFonts w:hint="eastAsia" w:ascii="仿宋_GB2312" w:hAnsi="仿宋_GB2312" w:cs="仿宋_GB2312"/>
          <w:szCs w:val="32"/>
        </w:rPr>
      </w:pPr>
    </w:p>
    <w:p w14:paraId="3B2105F2">
      <w:pPr>
        <w:pStyle w:val="5"/>
        <w:rPr>
          <w:rFonts w:hint="eastAsia" w:ascii="仿宋_GB2312" w:hAnsi="仿宋_GB2312" w:cs="仿宋_GB2312"/>
          <w:szCs w:val="32"/>
        </w:rPr>
      </w:pPr>
    </w:p>
    <w:p w14:paraId="61B77F1E">
      <w:pPr>
        <w:pStyle w:val="5"/>
        <w:rPr>
          <w:rFonts w:hint="eastAsia" w:ascii="仿宋_GB2312" w:hAnsi="仿宋_GB2312" w:cs="仿宋_GB2312"/>
          <w:szCs w:val="32"/>
        </w:rPr>
      </w:pPr>
    </w:p>
    <w:p w14:paraId="5C494D42">
      <w:pPr>
        <w:pStyle w:val="5"/>
        <w:rPr>
          <w:rFonts w:hint="eastAsia" w:ascii="仿宋_GB2312" w:hAnsi="仿宋_GB2312" w:cs="仿宋_GB2312"/>
          <w:szCs w:val="32"/>
        </w:rPr>
      </w:pPr>
    </w:p>
    <w:p w14:paraId="2CA36125">
      <w:pPr>
        <w:pStyle w:val="5"/>
        <w:rPr>
          <w:rFonts w:hint="eastAsia" w:ascii="仿宋_GB2312" w:hAnsi="仿宋_GB2312" w:cs="仿宋_GB2312"/>
          <w:szCs w:val="32"/>
        </w:rPr>
      </w:pPr>
    </w:p>
    <w:p w14:paraId="5144ED87">
      <w:pPr>
        <w:pStyle w:val="5"/>
        <w:rPr>
          <w:rFonts w:hint="eastAsia" w:ascii="仿宋_GB2312" w:hAnsi="仿宋_GB2312" w:cs="仿宋_GB2312"/>
          <w:szCs w:val="32"/>
        </w:rPr>
      </w:pPr>
    </w:p>
    <w:p w14:paraId="384DD541">
      <w:pPr>
        <w:pStyle w:val="5"/>
        <w:rPr>
          <w:rFonts w:hint="eastAsia" w:ascii="仿宋_GB2312" w:hAnsi="仿宋_GB2312" w:cs="仿宋_GB2312"/>
          <w:szCs w:val="32"/>
        </w:rPr>
      </w:pPr>
    </w:p>
    <w:p w14:paraId="209BB4EC">
      <w:pPr>
        <w:pStyle w:val="5"/>
        <w:rPr>
          <w:rFonts w:hint="eastAsia" w:ascii="仿宋_GB2312" w:hAnsi="仿宋_GB2312" w:cs="仿宋_GB2312"/>
          <w:szCs w:val="32"/>
        </w:rPr>
      </w:pPr>
    </w:p>
    <w:p w14:paraId="270FBFC9">
      <w:pPr>
        <w:pStyle w:val="5"/>
        <w:rPr>
          <w:rFonts w:hint="eastAsia" w:ascii="仿宋_GB2312" w:hAnsi="仿宋_GB2312" w:cs="仿宋_GB2312"/>
          <w:szCs w:val="32"/>
        </w:rPr>
      </w:pPr>
    </w:p>
    <w:p w14:paraId="6C5321C2">
      <w:pPr>
        <w:pStyle w:val="5"/>
        <w:rPr>
          <w:rFonts w:hint="eastAsia" w:ascii="仿宋_GB2312" w:hAnsi="仿宋_GB2312" w:cs="仿宋_GB2312"/>
          <w:szCs w:val="32"/>
        </w:rPr>
      </w:pPr>
    </w:p>
    <w:p w14:paraId="6B95A11D">
      <w:pPr>
        <w:pStyle w:val="5"/>
        <w:rPr>
          <w:rFonts w:hint="eastAsia" w:ascii="仿宋_GB2312" w:hAnsi="仿宋_GB2312" w:cs="仿宋_GB2312"/>
          <w:szCs w:val="32"/>
        </w:rPr>
      </w:pPr>
    </w:p>
    <w:p w14:paraId="3527D94E">
      <w:pPr>
        <w:pStyle w:val="5"/>
        <w:rPr>
          <w:rFonts w:hint="eastAsia" w:ascii="仿宋_GB2312" w:hAnsi="仿宋_GB2312" w:cs="仿宋_GB2312"/>
          <w:szCs w:val="32"/>
        </w:rPr>
      </w:pPr>
    </w:p>
    <w:p w14:paraId="333B60EF">
      <w:pPr>
        <w:pStyle w:val="5"/>
        <w:rPr>
          <w:rFonts w:hint="eastAsia" w:ascii="仿宋_GB2312" w:hAnsi="仿宋_GB2312" w:cs="仿宋_GB2312"/>
          <w:szCs w:val="32"/>
        </w:rPr>
      </w:pPr>
    </w:p>
    <w:p w14:paraId="0E3F69EF">
      <w:pPr>
        <w:pStyle w:val="5"/>
        <w:rPr>
          <w:rFonts w:hint="eastAsia" w:ascii="仿宋_GB2312" w:hAnsi="仿宋_GB2312" w:cs="仿宋_GB2312"/>
          <w:szCs w:val="32"/>
        </w:rPr>
      </w:pPr>
    </w:p>
    <w:p w14:paraId="59334A17">
      <w:pPr>
        <w:pStyle w:val="5"/>
        <w:rPr>
          <w:rFonts w:hint="eastAsia" w:ascii="仿宋_GB2312" w:hAnsi="仿宋_GB2312" w:cs="仿宋_GB2312"/>
          <w:szCs w:val="32"/>
        </w:rPr>
      </w:pPr>
    </w:p>
    <w:p w14:paraId="4D858B37">
      <w:pPr>
        <w:pStyle w:val="5"/>
        <w:rPr>
          <w:rFonts w:hint="eastAsia" w:ascii="仿宋_GB2312" w:hAnsi="仿宋_GB2312" w:cs="仿宋_GB2312"/>
          <w:szCs w:val="32"/>
        </w:rPr>
      </w:pPr>
    </w:p>
    <w:p w14:paraId="1FF8FCD3">
      <w:pPr>
        <w:pStyle w:val="5"/>
        <w:rPr>
          <w:rFonts w:hint="eastAsia" w:ascii="仿宋_GB2312" w:hAnsi="仿宋_GB2312" w:cs="仿宋_GB2312"/>
          <w:szCs w:val="32"/>
        </w:rPr>
      </w:pPr>
    </w:p>
    <w:p w14:paraId="4527BEFB">
      <w:pPr>
        <w:pStyle w:val="5"/>
        <w:rPr>
          <w:rFonts w:hint="eastAsia" w:ascii="仿宋_GB2312" w:hAnsi="仿宋_GB2312" w:cs="仿宋_GB2312"/>
          <w:szCs w:val="32"/>
        </w:rPr>
      </w:pPr>
    </w:p>
    <w:p w14:paraId="023B3F9B">
      <w:pPr>
        <w:pStyle w:val="5"/>
        <w:rPr>
          <w:rFonts w:hint="eastAsia" w:ascii="仿宋_GB2312" w:hAnsi="仿宋_GB2312" w:cs="仿宋_GB2312"/>
          <w:szCs w:val="32"/>
        </w:rPr>
      </w:pPr>
    </w:p>
    <w:p w14:paraId="2576E95A">
      <w:pPr>
        <w:pStyle w:val="5"/>
        <w:rPr>
          <w:rFonts w:hint="eastAsia" w:ascii="仿宋_GB2312" w:hAnsi="仿宋_GB2312" w:cs="仿宋_GB2312"/>
          <w:szCs w:val="32"/>
        </w:rPr>
      </w:pPr>
    </w:p>
    <w:p w14:paraId="5AE078A0">
      <w:pPr>
        <w:pStyle w:val="5"/>
        <w:rPr>
          <w:rFonts w:hint="eastAsia" w:ascii="仿宋_GB2312" w:hAnsi="仿宋_GB2312" w:cs="仿宋_GB2312"/>
          <w:szCs w:val="32"/>
        </w:rPr>
      </w:pPr>
    </w:p>
    <w:p w14:paraId="1ECCD355">
      <w:pPr>
        <w:pStyle w:val="5"/>
        <w:rPr>
          <w:rFonts w:hint="eastAsia" w:ascii="仿宋_GB2312" w:hAnsi="仿宋_GB2312" w:cs="仿宋_GB2312"/>
          <w:szCs w:val="32"/>
        </w:rPr>
      </w:pPr>
    </w:p>
    <w:p w14:paraId="276A9376">
      <w:pPr>
        <w:pStyle w:val="5"/>
        <w:rPr>
          <w:rFonts w:hint="eastAsia" w:ascii="仿宋_GB2312" w:hAnsi="仿宋_GB2312" w:cs="仿宋_GB2312"/>
          <w:szCs w:val="32"/>
        </w:rPr>
      </w:pPr>
    </w:p>
    <w:p w14:paraId="5EFE642C">
      <w:pPr>
        <w:pStyle w:val="5"/>
        <w:rPr>
          <w:rFonts w:hint="eastAsia" w:ascii="仿宋_GB2312" w:hAnsi="仿宋_GB2312" w:cs="仿宋_GB2312"/>
          <w:szCs w:val="32"/>
        </w:rPr>
      </w:pPr>
    </w:p>
    <w:p w14:paraId="761C0799">
      <w:pPr>
        <w:pStyle w:val="5"/>
        <w:rPr>
          <w:rFonts w:hint="eastAsia" w:ascii="仿宋_GB2312" w:hAnsi="仿宋_GB2312" w:cs="仿宋_GB2312"/>
          <w:szCs w:val="32"/>
        </w:rPr>
      </w:pPr>
    </w:p>
    <w:p w14:paraId="5F168CC7">
      <w:pPr>
        <w:pStyle w:val="5"/>
        <w:rPr>
          <w:rFonts w:hint="eastAsia" w:ascii="仿宋_GB2312" w:hAnsi="仿宋_GB2312" w:cs="仿宋_GB2312"/>
          <w:szCs w:val="32"/>
        </w:rPr>
      </w:pPr>
    </w:p>
    <w:p w14:paraId="427E5D31">
      <w:pPr>
        <w:pStyle w:val="5"/>
        <w:rPr>
          <w:rFonts w:hint="eastAsia" w:ascii="仿宋_GB2312" w:hAnsi="仿宋_GB2312" w:cs="仿宋_GB2312"/>
          <w:szCs w:val="32"/>
        </w:rPr>
      </w:pPr>
    </w:p>
    <w:p w14:paraId="7B68DC9D">
      <w:pPr>
        <w:pStyle w:val="5"/>
        <w:rPr>
          <w:rFonts w:hint="eastAsia" w:ascii="仿宋_GB2312" w:hAnsi="仿宋_GB2312" w:cs="仿宋_GB2312"/>
          <w:szCs w:val="32"/>
        </w:rPr>
      </w:pPr>
    </w:p>
    <w:p w14:paraId="487C5001">
      <w:pPr>
        <w:pStyle w:val="5"/>
        <w:rPr>
          <w:rFonts w:hint="eastAsia" w:ascii="仿宋_GB2312" w:hAnsi="仿宋_GB2312" w:cs="仿宋_GB2312"/>
          <w:szCs w:val="32"/>
        </w:rPr>
      </w:pPr>
    </w:p>
    <w:p w14:paraId="74C83367">
      <w:pPr>
        <w:pStyle w:val="5"/>
        <w:rPr>
          <w:rFonts w:hint="eastAsia" w:ascii="仿宋_GB2312" w:hAnsi="仿宋_GB2312" w:cs="仿宋_GB2312"/>
          <w:szCs w:val="32"/>
        </w:rPr>
      </w:pPr>
    </w:p>
    <w:p w14:paraId="02BE03C9">
      <w:pPr>
        <w:pStyle w:val="5"/>
        <w:rPr>
          <w:rFonts w:hint="eastAsia" w:ascii="仿宋_GB2312" w:hAnsi="仿宋_GB2312" w:cs="仿宋_GB2312"/>
          <w:szCs w:val="32"/>
        </w:rPr>
      </w:pPr>
    </w:p>
    <w:p w14:paraId="65D4003C">
      <w:pPr>
        <w:pStyle w:val="5"/>
        <w:rPr>
          <w:rFonts w:hint="eastAsia" w:ascii="仿宋_GB2312" w:hAnsi="仿宋_GB2312" w:cs="仿宋_GB2312"/>
          <w:szCs w:val="32"/>
        </w:rPr>
      </w:pPr>
    </w:p>
    <w:p w14:paraId="651AD432">
      <w:pPr>
        <w:pStyle w:val="5"/>
        <w:rPr>
          <w:rFonts w:hint="eastAsia" w:ascii="仿宋_GB2312" w:hAnsi="仿宋_GB2312" w:cs="仿宋_GB2312"/>
          <w:szCs w:val="32"/>
        </w:rPr>
      </w:pPr>
    </w:p>
    <w:p w14:paraId="77FA38EC">
      <w:pPr>
        <w:pStyle w:val="5"/>
        <w:rPr>
          <w:rFonts w:hint="eastAsia" w:ascii="仿宋_GB2312" w:hAnsi="仿宋_GB2312" w:cs="仿宋_GB2312"/>
          <w:szCs w:val="32"/>
        </w:rPr>
      </w:pPr>
    </w:p>
    <w:p w14:paraId="23194276">
      <w:pPr>
        <w:pStyle w:val="5"/>
        <w:rPr>
          <w:rFonts w:hint="eastAsia" w:ascii="仿宋_GB2312" w:hAnsi="仿宋_GB2312" w:cs="仿宋_GB2312"/>
          <w:szCs w:val="32"/>
        </w:rPr>
      </w:pPr>
    </w:p>
    <w:p w14:paraId="1CDCA62B">
      <w:pPr>
        <w:pStyle w:val="5"/>
        <w:rPr>
          <w:rFonts w:hint="eastAsia" w:ascii="仿宋_GB2312" w:hAnsi="仿宋_GB2312" w:cs="仿宋_GB2312"/>
          <w:szCs w:val="32"/>
        </w:rPr>
      </w:pPr>
    </w:p>
    <w:p w14:paraId="4DCC110E">
      <w:pPr>
        <w:pStyle w:val="5"/>
        <w:rPr>
          <w:rFonts w:hint="eastAsia" w:ascii="仿宋_GB2312" w:hAnsi="仿宋_GB2312" w:cs="仿宋_GB2312"/>
          <w:szCs w:val="32"/>
        </w:rPr>
      </w:pPr>
    </w:p>
    <w:p w14:paraId="237B2778">
      <w:pPr>
        <w:pStyle w:val="5"/>
        <w:rPr>
          <w:rFonts w:hint="eastAsia" w:ascii="仿宋_GB2312" w:hAnsi="仿宋_GB2312" w:cs="仿宋_GB2312"/>
          <w:szCs w:val="32"/>
        </w:rPr>
      </w:pPr>
    </w:p>
    <w:p w14:paraId="3682807E">
      <w:pPr>
        <w:pStyle w:val="5"/>
        <w:rPr>
          <w:rFonts w:hint="eastAsia" w:ascii="仿宋_GB2312" w:hAnsi="仿宋_GB2312" w:cs="仿宋_GB2312"/>
          <w:szCs w:val="32"/>
        </w:rPr>
      </w:pPr>
    </w:p>
    <w:p w14:paraId="3477D891">
      <w:pPr>
        <w:pStyle w:val="5"/>
        <w:rPr>
          <w:rFonts w:hint="eastAsia" w:ascii="仿宋_GB2312" w:hAnsi="仿宋_GB2312" w:cs="仿宋_GB2312"/>
          <w:szCs w:val="32"/>
        </w:rPr>
      </w:pPr>
    </w:p>
    <w:p w14:paraId="161DC711">
      <w:pPr>
        <w:pStyle w:val="5"/>
        <w:rPr>
          <w:rFonts w:hint="eastAsia" w:ascii="仿宋_GB2312" w:hAnsi="仿宋_GB2312" w:cs="仿宋_GB2312"/>
          <w:szCs w:val="32"/>
        </w:rPr>
      </w:pPr>
    </w:p>
    <w:p w14:paraId="0DD3F353">
      <w:pPr>
        <w:pStyle w:val="5"/>
        <w:rPr>
          <w:rFonts w:hint="eastAsia" w:ascii="仿宋_GB2312" w:hAnsi="仿宋_GB2312" w:cs="仿宋_GB2312"/>
          <w:szCs w:val="32"/>
        </w:rPr>
      </w:pPr>
    </w:p>
    <w:p w14:paraId="1C7F6596">
      <w:pPr>
        <w:pStyle w:val="5"/>
        <w:rPr>
          <w:rFonts w:hint="eastAsia" w:ascii="仿宋_GB2312" w:hAnsi="仿宋_GB2312" w:cs="仿宋_GB2312"/>
          <w:szCs w:val="32"/>
        </w:rPr>
      </w:pPr>
    </w:p>
    <w:p w14:paraId="1E22A1DB">
      <w:pPr>
        <w:pStyle w:val="5"/>
        <w:rPr>
          <w:rFonts w:hint="eastAsia" w:ascii="仿宋_GB2312" w:hAnsi="仿宋_GB2312" w:cs="仿宋_GB2312"/>
          <w:szCs w:val="32"/>
        </w:rPr>
      </w:pPr>
    </w:p>
    <w:p w14:paraId="4A78F345">
      <w:pPr>
        <w:pStyle w:val="5"/>
        <w:rPr>
          <w:rFonts w:hint="eastAsia" w:ascii="仿宋_GB2312" w:hAnsi="仿宋_GB2312" w:cs="仿宋_GB2312"/>
          <w:szCs w:val="32"/>
        </w:rPr>
      </w:pPr>
    </w:p>
    <w:p w14:paraId="62F11228">
      <w:pPr>
        <w:pStyle w:val="5"/>
        <w:rPr>
          <w:rFonts w:hint="eastAsia" w:ascii="仿宋_GB2312" w:hAnsi="仿宋_GB2312" w:cs="仿宋_GB2312"/>
          <w:szCs w:val="32"/>
        </w:rPr>
      </w:pPr>
    </w:p>
    <w:p w14:paraId="500FD3F0">
      <w:pPr>
        <w:pStyle w:val="5"/>
        <w:rPr>
          <w:rFonts w:hint="eastAsia" w:ascii="仿宋_GB2312" w:hAnsi="仿宋_GB2312" w:cs="仿宋_GB2312"/>
          <w:szCs w:val="32"/>
        </w:rPr>
      </w:pPr>
    </w:p>
    <w:p w14:paraId="0A3D4D68">
      <w:pPr>
        <w:pStyle w:val="5"/>
        <w:rPr>
          <w:rFonts w:hint="eastAsia" w:ascii="仿宋_GB2312" w:hAnsi="仿宋_GB2312" w:cs="仿宋_GB2312"/>
          <w:szCs w:val="32"/>
        </w:rPr>
      </w:pPr>
    </w:p>
    <w:p w14:paraId="3ADCB60A">
      <w:pPr>
        <w:pStyle w:val="5"/>
        <w:rPr>
          <w:rFonts w:hint="eastAsia" w:ascii="仿宋_GB2312" w:hAnsi="仿宋_GB2312" w:cs="仿宋_GB2312"/>
          <w:szCs w:val="32"/>
        </w:rPr>
      </w:pPr>
    </w:p>
    <w:p w14:paraId="580CE7B1">
      <w:pPr>
        <w:pStyle w:val="5"/>
        <w:rPr>
          <w:rFonts w:hint="eastAsia" w:ascii="仿宋_GB2312" w:hAnsi="仿宋_GB2312" w:cs="仿宋_GB2312"/>
          <w:szCs w:val="32"/>
        </w:rPr>
      </w:pPr>
    </w:p>
    <w:p w14:paraId="7F0D61D2">
      <w:pPr>
        <w:pStyle w:val="5"/>
        <w:rPr>
          <w:rFonts w:hint="eastAsia" w:ascii="仿宋_GB2312" w:hAnsi="仿宋_GB2312" w:cs="仿宋_GB2312"/>
          <w:szCs w:val="32"/>
        </w:rPr>
      </w:pPr>
    </w:p>
    <w:p w14:paraId="52C78C9E">
      <w:pPr>
        <w:pStyle w:val="5"/>
        <w:rPr>
          <w:rFonts w:hint="eastAsia" w:ascii="仿宋_GB2312" w:hAnsi="仿宋_GB2312" w:cs="仿宋_GB2312"/>
          <w:szCs w:val="32"/>
        </w:rPr>
      </w:pPr>
    </w:p>
    <w:p w14:paraId="3D6587DA">
      <w:pPr>
        <w:pStyle w:val="5"/>
        <w:rPr>
          <w:rFonts w:hint="eastAsia" w:ascii="仿宋_GB2312" w:hAnsi="仿宋_GB2312" w:cs="仿宋_GB2312"/>
          <w:szCs w:val="32"/>
        </w:rPr>
      </w:pPr>
    </w:p>
    <w:p w14:paraId="552C52C9">
      <w:pPr>
        <w:pStyle w:val="5"/>
        <w:rPr>
          <w:rFonts w:hint="eastAsia" w:ascii="仿宋_GB2312" w:hAnsi="仿宋_GB2312" w:cs="仿宋_GB2312"/>
          <w:szCs w:val="32"/>
        </w:rPr>
      </w:pPr>
    </w:p>
    <w:p w14:paraId="1968613D">
      <w:pPr>
        <w:pStyle w:val="5"/>
        <w:rPr>
          <w:rFonts w:hint="eastAsia" w:ascii="仿宋_GB2312" w:hAnsi="仿宋_GB2312" w:cs="仿宋_GB2312"/>
          <w:szCs w:val="32"/>
        </w:rPr>
      </w:pPr>
    </w:p>
    <w:p w14:paraId="360B18CC">
      <w:pPr>
        <w:pStyle w:val="5"/>
        <w:rPr>
          <w:rFonts w:hint="eastAsia" w:ascii="仿宋_GB2312" w:hAnsi="仿宋_GB2312" w:cs="仿宋_GB2312"/>
          <w:szCs w:val="32"/>
        </w:rPr>
      </w:pPr>
    </w:p>
    <w:p w14:paraId="40E6D204">
      <w:pPr>
        <w:keepNext w:val="0"/>
        <w:keepLines w:val="0"/>
        <w:pageBreakBefore w:val="0"/>
        <w:widowControl w:val="0"/>
        <w:pBdr>
          <w:top w:val="single" w:color="auto" w:sz="4" w:space="0"/>
        </w:pBdr>
        <w:kinsoku/>
        <w:wordWrap/>
        <w:overflowPunct/>
        <w:topLinePunct w:val="0"/>
        <w:autoSpaceDE/>
        <w:autoSpaceDN/>
        <w:bidi w:val="0"/>
        <w:adjustRightInd/>
        <w:snapToGrid/>
        <w:spacing w:line="560" w:lineRule="exact"/>
        <w:textAlignment w:val="auto"/>
        <w:rPr>
          <w:rFonts w:ascii="仿宋_GB2312" w:hAnsi="仿宋_GB2312" w:eastAsia="仿宋_GB2312" w:cs="仿宋_GB2312"/>
          <w:sz w:val="28"/>
          <w:szCs w:val="28"/>
        </w:rPr>
      </w:pPr>
      <w:bookmarkStart w:id="0" w:name="_Hlk482298708"/>
      <w:bookmarkStart w:id="1" w:name="OLE_LINK3"/>
      <w:bookmarkStart w:id="2" w:name="OLE_LINK2"/>
      <w:bookmarkStart w:id="3" w:name="OLE_LINK1"/>
      <w:r>
        <w:rPr>
          <w:rFonts w:hint="eastAsia" w:ascii="仿宋_GB2312" w:hAnsi="仿宋_GB2312" w:eastAsia="仿宋_GB2312" w:cs="仿宋_GB2312"/>
          <w:sz w:val="28"/>
          <w:szCs w:val="28"/>
        </w:rPr>
        <w:t xml:space="preserve">  抄送：</w:t>
      </w:r>
      <w:r>
        <w:rPr>
          <w:rFonts w:hint="eastAsia" w:ascii="仿宋_GB2312" w:hAnsi="仿宋_GB2312" w:eastAsia="仿宋_GB2312" w:cs="仿宋_GB2312"/>
          <w:sz w:val="28"/>
          <w:szCs w:val="28"/>
          <w:lang w:val="en-US" w:eastAsia="zh-CN"/>
        </w:rPr>
        <w:t>县委依法治县办</w:t>
      </w:r>
      <w:r>
        <w:rPr>
          <w:rFonts w:hint="eastAsia" w:ascii="仿宋_GB2312" w:hAnsi="仿宋_GB2312" w:eastAsia="仿宋_GB2312" w:cs="仿宋_GB2312"/>
          <w:sz w:val="28"/>
          <w:szCs w:val="28"/>
        </w:rPr>
        <w:t>。</w:t>
      </w:r>
    </w:p>
    <w:p w14:paraId="3F330249">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560" w:lineRule="exact"/>
        <w:textAlignment w:val="auto"/>
        <w:rPr>
          <w:lang w:val="en-US" w:eastAsia="zh-CN"/>
        </w:rPr>
      </w:pPr>
      <w:r>
        <w:rPr>
          <w:rFonts w:hint="eastAsia" w:ascii="仿宋_GB2312" w:hAnsi="仿宋_GB2312" w:eastAsia="仿宋_GB2312" w:cs="仿宋_GB2312"/>
          <w:sz w:val="28"/>
          <w:szCs w:val="28"/>
        </w:rPr>
        <w:t xml:space="preserve">  庵杰乡党政办                           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12</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日印发</w:t>
      </w:r>
      <w:bookmarkEnd w:id="0"/>
      <w:bookmarkEnd w:id="1"/>
      <w:bookmarkEnd w:id="2"/>
      <w:bookmarkEnd w:id="3"/>
    </w:p>
    <w:p w14:paraId="4F0CEBCE">
      <w:pPr>
        <w:pStyle w:val="5"/>
        <w:rPr>
          <w:rFonts w:hint="eastAsia" w:ascii="仿宋_GB2312" w:hAnsi="仿宋_GB2312" w:cs="仿宋_GB2312"/>
          <w:szCs w:val="32"/>
        </w:rPr>
      </w:pPr>
    </w:p>
    <w:sectPr>
      <w:footerReference r:id="rId3" w:type="default"/>
      <w:footerReference r:id="rId4" w:type="even"/>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A512F">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4723130</wp:posOffset>
              </wp:positionH>
              <wp:positionV relativeFrom="paragraph">
                <wp:posOffset>-486410</wp:posOffset>
              </wp:positionV>
              <wp:extent cx="890270" cy="63246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90270" cy="6324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8040C">
                          <w:pPr>
                            <w:pStyle w:val="4"/>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- 1 -</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71.9pt;margin-top:-38.3pt;height:49.8pt;width:70.1pt;mso-position-horizontal-relative:margin;z-index:251659264;mso-width-relative:page;mso-height-relative:page;" filled="f" stroked="f" coordsize="21600,21600" o:gfxdata="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2xO6Y9oAAAAKAQAADwAAAAAAAAABACAAAAAiAAAAZHJzL2Rvd25y&#10;ZXYueG1sUEsBAhQAFAAAAAgAh07iQG1GUQ41AgAAYQQAAA4AAAAAAAAAAQAgAAAAKQEAAGRycy9l&#10;Mm9Eb2MueG1sUEsFBgAAAAAGAAYAWQEAANAFAAAAAA==&#10;">
              <v:fill on="f" focussize="0,0"/>
              <v:stroke on="f" weight="0.5pt"/>
              <v:imagedata o:title=""/>
              <o:lock v:ext="edit" aspectratio="f"/>
              <v:textbox inset="0mm,0mm,0mm,0mm">
                <w:txbxContent>
                  <w:p w14:paraId="7E28040C">
                    <w:pPr>
                      <w:pStyle w:val="4"/>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- 1 -</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15933">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334645</wp:posOffset>
              </wp:positionH>
              <wp:positionV relativeFrom="paragraph">
                <wp:posOffset>-500380</wp:posOffset>
              </wp:positionV>
              <wp:extent cx="2829560" cy="6464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829560" cy="646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944D7B">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6.35pt;margin-top:-39.4pt;height:50.9pt;width:222.8pt;mso-position-horizontal-relative:margin;z-index:251660288;mso-width-relative:page;mso-height-relative:page;" filled="f" stroked="f" coordsize="21600,21600" o:gfxdata="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CTqEjZAAAACQEAAA8AAAAAAAAAAQAgAAAAIgAAAGRycy9kb3du&#10;cmV2LnhtbFBLAQIUABQAAAAIAIdO4kAChcBKNwIAAGIEAAAOAAAAAAAAAAEAIAAAACgBAABkcnMv&#10;ZTJvRG9jLnhtbFBLBQYAAAAABgAGAFkBAADRBQAAAAA=&#10;">
              <v:fill on="f" focussize="0,0"/>
              <v:stroke on="f" weight="0.5pt"/>
              <v:imagedata o:title=""/>
              <o:lock v:ext="edit" aspectratio="f"/>
              <v:textbox inset="0mm,0mm,0mm,0mm">
                <w:txbxContent>
                  <w:p w14:paraId="5C944D7B">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FE165E"/>
    <w:rsid w:val="0006166C"/>
    <w:rsid w:val="00176075"/>
    <w:rsid w:val="005663E8"/>
    <w:rsid w:val="005E6A75"/>
    <w:rsid w:val="05F61781"/>
    <w:rsid w:val="262B46D7"/>
    <w:rsid w:val="2CE27BE3"/>
    <w:rsid w:val="2EFE165E"/>
    <w:rsid w:val="2FF93ED9"/>
    <w:rsid w:val="3A410516"/>
    <w:rsid w:val="412A1D04"/>
    <w:rsid w:val="4DBC0D3A"/>
    <w:rsid w:val="4E676345"/>
    <w:rsid w:val="537B1ADA"/>
    <w:rsid w:val="5C472574"/>
    <w:rsid w:val="5EBB7FE7"/>
    <w:rsid w:val="5FBB1139"/>
    <w:rsid w:val="64337DCC"/>
    <w:rsid w:val="6BBF2E1A"/>
    <w:rsid w:val="750202C6"/>
    <w:rsid w:val="77EA6FDE"/>
    <w:rsid w:val="7B615D46"/>
    <w:rsid w:val="7BC938EC"/>
    <w:rsid w:val="7F9A3583"/>
    <w:rsid w:val="8FFFC353"/>
    <w:rsid w:val="ADFFD6BF"/>
    <w:rsid w:val="BBF7C06E"/>
    <w:rsid w:val="FDFF5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rPr>
      <w:rFonts w:ascii="Calibri" w:hAnsi="Calibri"/>
    </w:rPr>
  </w:style>
  <w:style w:type="paragraph" w:styleId="3">
    <w:name w:val="Body Text"/>
    <w:basedOn w:val="1"/>
    <w:unhideWhenUsed/>
    <w:qFormat/>
    <w:uiPriority w:val="99"/>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1"/>
    <w:next w:val="5"/>
    <w:qFormat/>
    <w:uiPriority w:val="0"/>
    <w:pPr>
      <w:widowControl/>
      <w:ind w:firstLine="420"/>
      <w:jc w:val="center"/>
    </w:pPr>
    <w:rPr>
      <w:rFonts w:ascii="Times New Roman" w:hAnsi="Times New Roman" w:eastAsia="仿宋_GB2312"/>
      <w:sz w:val="32"/>
    </w:rPr>
  </w:style>
  <w:style w:type="character" w:styleId="10">
    <w:name w:val="Strong"/>
    <w:basedOn w:val="9"/>
    <w:qFormat/>
    <w:uiPriority w:val="0"/>
    <w:rPr>
      <w:b/>
    </w:rPr>
  </w:style>
  <w:style w:type="character" w:styleId="11">
    <w:name w:val="page number"/>
    <w:basedOn w:val="9"/>
    <w:qFormat/>
    <w:uiPriority w:val="0"/>
  </w:style>
  <w:style w:type="paragraph" w:customStyle="1" w:styleId="12">
    <w:name w:val="Body Text First Indent 21"/>
    <w:basedOn w:val="1"/>
    <w:qFormat/>
    <w:uiPriority w:val="0"/>
    <w:pPr>
      <w:spacing w:line="340" w:lineRule="exact"/>
      <w:ind w:left="420" w:leftChars="200" w:right="-139" w:hanging="26" w:hangingChars="26"/>
    </w:pPr>
    <w:rPr>
      <w:rFonts w:ascii="华文中宋" w:hAnsi="华文中宋" w:eastAsia="华文中宋"/>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3040</Words>
  <Characters>3096</Characters>
  <Lines>22</Lines>
  <Paragraphs>6</Paragraphs>
  <TotalTime>4</TotalTime>
  <ScaleCrop>false</ScaleCrop>
  <LinksUpToDate>false</LinksUpToDate>
  <CharactersWithSpaces>3142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2024-12-30T15:51:00Z</dcterms:created>
  <dc:creator>肇淇</dc:creator>
  <cp:lastModifiedBy>嗯哼</cp:lastModifiedBy>
  <dcterms:modified xsi:type="dcterms:W3CDTF">2026-06-16T09:15:37Z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FCF2D64C691D4DD0AA9FC186FF7C1117_13</vt:lpwstr>
  </property>
  <property fmtid="{D5CDD505-2E9C-101B-9397-08002B2CF9AE}" pid="4" name="KSOTemplateDocerSaveRecord">
    <vt:lpwstr>eyJoZGlkIjoiYWEyYmI4ZGQ5MTQ3NDZhY2FhOTVjZjY4MzA1MGE0ZTAiLCJ1c2VySWQiOiI0NzAwOTgzMjkifQ==</vt:lpwstr>
  </property>
</Properties>
</file>