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10A4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eastAsia="方正小标宋简体" w:cs="Times New Roman"/>
          <w:b w:val="0"/>
          <w:bCs/>
          <w:color w:val="auto"/>
          <w:spacing w:val="0"/>
          <w:w w:val="100"/>
          <w:sz w:val="44"/>
          <w:szCs w:val="44"/>
          <w:lang w:val="en-US" w:eastAsia="zh-CN"/>
        </w:rPr>
      </w:pPr>
      <w:r>
        <w:rPr>
          <w:rFonts w:hint="eastAsia" w:eastAsia="方正小标宋简体" w:cs="Times New Roman"/>
          <w:b w:val="0"/>
          <w:bCs/>
          <w:color w:val="auto"/>
          <w:spacing w:val="0"/>
          <w:w w:val="100"/>
          <w:sz w:val="44"/>
          <w:szCs w:val="44"/>
          <w:lang w:val="en-US" w:eastAsia="zh-CN"/>
        </w:rPr>
        <w:t>关于《长汀县人民政府关于重新公布</w:t>
      </w:r>
    </w:p>
    <w:p w14:paraId="3C06074E">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eastAsia="方正小标宋简体" w:cs="Times New Roman"/>
          <w:b w:val="0"/>
          <w:bCs/>
          <w:color w:val="auto"/>
          <w:spacing w:val="0"/>
          <w:w w:val="100"/>
          <w:sz w:val="44"/>
          <w:szCs w:val="44"/>
          <w:lang w:val="en-US" w:eastAsia="zh-CN"/>
        </w:rPr>
      </w:pPr>
      <w:r>
        <w:rPr>
          <w:rFonts w:hint="eastAsia" w:eastAsia="方正小标宋简体" w:cs="Times New Roman"/>
          <w:b w:val="0"/>
          <w:bCs/>
          <w:color w:val="auto"/>
          <w:spacing w:val="0"/>
          <w:w w:val="100"/>
          <w:sz w:val="44"/>
          <w:szCs w:val="44"/>
          <w:lang w:val="en-US" w:eastAsia="zh-CN"/>
        </w:rPr>
        <w:t>征地区片综合地价标准的通知（征求意见稿）》的起草说明</w:t>
      </w:r>
    </w:p>
    <w:p w14:paraId="55A012FA">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z w:val="32"/>
          <w:szCs w:val="40"/>
          <w:lang w:val="en-US" w:eastAsia="zh-CN"/>
        </w:rPr>
      </w:pPr>
    </w:p>
    <w:p w14:paraId="5EBEC116">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现就</w:t>
      </w:r>
      <w:r>
        <w:rPr>
          <w:rFonts w:hint="eastAsia" w:ascii="仿宋_GB2312" w:hAnsi="仿宋_GB2312" w:cs="仿宋_GB2312"/>
          <w:color w:val="000000"/>
          <w:sz w:val="32"/>
          <w:szCs w:val="32"/>
          <w:lang w:val="en-US" w:eastAsia="zh-CN"/>
        </w:rPr>
        <w:t>《长汀县人民政府关于重新公布征地区片综合地价标准的通知（送审稿）》文件</w:t>
      </w:r>
      <w:r>
        <w:rPr>
          <w:rFonts w:hint="eastAsia" w:ascii="仿宋_GB2312" w:hAnsi="仿宋_GB2312" w:eastAsia="仿宋_GB2312" w:cs="仿宋_GB2312"/>
          <w:sz w:val="32"/>
          <w:szCs w:val="40"/>
          <w:lang w:val="en-US" w:eastAsia="zh-CN"/>
        </w:rPr>
        <w:t>有关</w:t>
      </w:r>
      <w:r>
        <w:rPr>
          <w:rFonts w:hint="eastAsia" w:ascii="仿宋_GB2312" w:hAnsi="仿宋_GB2312" w:cs="仿宋_GB2312"/>
          <w:sz w:val="32"/>
          <w:szCs w:val="40"/>
          <w:lang w:val="en-US" w:eastAsia="zh-CN"/>
        </w:rPr>
        <w:t>起草</w:t>
      </w:r>
      <w:r>
        <w:rPr>
          <w:rFonts w:hint="eastAsia" w:ascii="仿宋_GB2312" w:hAnsi="仿宋_GB2312" w:eastAsia="仿宋_GB2312" w:cs="仿宋_GB2312"/>
          <w:sz w:val="32"/>
          <w:szCs w:val="40"/>
          <w:lang w:val="en-US" w:eastAsia="zh-CN"/>
        </w:rPr>
        <w:t>情况说明如下：</w:t>
      </w:r>
    </w:p>
    <w:p w14:paraId="74AB992B">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宋体"/>
          <w:b w:val="0"/>
          <w:bCs/>
          <w:spacing w:val="0"/>
          <w:w w:val="100"/>
          <w:sz w:val="32"/>
          <w:szCs w:val="32"/>
          <w:lang w:val="en-US" w:eastAsia="zh-CN"/>
        </w:rPr>
      </w:pPr>
      <w:r>
        <w:rPr>
          <w:rFonts w:hint="eastAsia" w:ascii="黑体" w:hAnsi="黑体" w:eastAsia="黑体" w:cs="宋体"/>
          <w:b w:val="0"/>
          <w:bCs/>
          <w:spacing w:val="0"/>
          <w:w w:val="100"/>
          <w:sz w:val="32"/>
          <w:szCs w:val="32"/>
          <w:lang w:val="en-US" w:eastAsia="zh-CN"/>
        </w:rPr>
        <w:t>一、制定的背景和依据</w:t>
      </w:r>
    </w:p>
    <w:p w14:paraId="41775775">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eastAsia="仿宋_GB2312"/>
          <w:kern w:val="28"/>
          <w:sz w:val="32"/>
          <w:szCs w:val="32"/>
        </w:rPr>
      </w:pPr>
      <w:r>
        <w:rPr>
          <w:rFonts w:hint="eastAsia" w:ascii="仿宋_GB2312"/>
          <w:kern w:val="28"/>
          <w:sz w:val="32"/>
          <w:szCs w:val="32"/>
          <w:lang w:val="en-US" w:eastAsia="zh-CN"/>
        </w:rPr>
        <w:t>征</w:t>
      </w:r>
      <w:r>
        <w:rPr>
          <w:rFonts w:hint="eastAsia" w:ascii="仿宋_GB2312" w:eastAsia="仿宋_GB2312"/>
          <w:kern w:val="28"/>
          <w:sz w:val="32"/>
          <w:szCs w:val="32"/>
        </w:rPr>
        <w:t>地区片综合地价（以下简称“征地区片地价”）事关被征地农民切身利益，直接关系征地拆迁财政资金保障，是规范土地征收工作、维护农村集体经济组织及被征地农民合法权益的重要制度。</w:t>
      </w:r>
    </w:p>
    <w:p w14:paraId="11C0104C">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eastAsia="仿宋_GB2312"/>
          <w:kern w:val="28"/>
          <w:sz w:val="32"/>
          <w:szCs w:val="32"/>
        </w:rPr>
      </w:pPr>
      <w:r>
        <w:rPr>
          <w:rFonts w:hint="eastAsia" w:ascii="仿宋_GB2312" w:eastAsia="仿宋_GB2312"/>
          <w:kern w:val="28"/>
          <w:sz w:val="32"/>
          <w:szCs w:val="32"/>
        </w:rPr>
        <w:t>根据《中华人民共和国土地管理法》第四十八条规定，征收农村集体土地的征地区片综合地价，应当至少每三年调整或者重新公布一次。我县按照省级统一部署，已于2023年完成征地区片综合地价调整工作，该标准至2026年已满三年调整周期。为严格落实法定更新要求，保障征地补偿标准时效性、合理性，经省政府研究同意，我县组织开展本次征地区片综合地价标准重新公布工作。</w:t>
      </w:r>
    </w:p>
    <w:p w14:paraId="005BE1A3">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eastAsia="仿宋_GB2312"/>
          <w:kern w:val="28"/>
          <w:sz w:val="32"/>
          <w:szCs w:val="32"/>
        </w:rPr>
      </w:pPr>
      <w:r>
        <w:rPr>
          <w:rFonts w:hint="eastAsia" w:ascii="仿宋_GB2312" w:eastAsia="仿宋_GB2312"/>
          <w:kern w:val="28"/>
          <w:sz w:val="32"/>
          <w:szCs w:val="32"/>
        </w:rPr>
        <w:t>本次标准重新公布，严格依据法律法规及上级文件规定开展，主要依据包括：《中华人民共和国土地管理法》、《福建省征地补偿和被征地农民社会保障办法》（福建省人民政府令第177号）、《福建省自然资源厅关于重新公布征地区片综合地价的通知》（闽自然资发〔2026〕28号）。本次公布的征地区片综合地价，严格遵循上位法及省级文件要求，统筹兼顾我县经济社会发展水平、土地资源状况、农民生产生活保障以及财政承受能力，切实保障被征地农民原有生活水平不降低、长远生计有保障。</w:t>
      </w:r>
    </w:p>
    <w:p w14:paraId="3856A561">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spacing w:val="0"/>
          <w:w w:val="100"/>
          <w:kern w:val="2"/>
          <w:sz w:val="32"/>
          <w:szCs w:val="32"/>
          <w:lang w:val="en-US" w:eastAsia="zh-CN" w:bidi="ar-SA"/>
        </w:rPr>
      </w:pPr>
      <w:r>
        <w:rPr>
          <w:rFonts w:hint="eastAsia" w:ascii="黑体" w:hAnsi="黑体" w:eastAsia="黑体" w:cs="宋体"/>
          <w:b w:val="0"/>
          <w:bCs/>
          <w:spacing w:val="0"/>
          <w:w w:val="100"/>
          <w:sz w:val="32"/>
          <w:szCs w:val="32"/>
          <w:lang w:val="en-US" w:eastAsia="zh-CN"/>
        </w:rPr>
        <w:t>二、制定过程</w:t>
      </w:r>
    </w:p>
    <w:p w14:paraId="4466E047">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cs="仿宋_GB2312"/>
          <w:b w:val="0"/>
          <w:bCs/>
          <w:spacing w:val="0"/>
          <w:w w:val="100"/>
          <w:kern w:val="2"/>
          <w:sz w:val="32"/>
          <w:szCs w:val="32"/>
          <w:lang w:val="en-US" w:eastAsia="zh-CN" w:bidi="ar-SA"/>
        </w:rPr>
      </w:pPr>
      <w:r>
        <w:rPr>
          <w:rFonts w:hint="eastAsia" w:ascii="仿宋_GB2312" w:hAnsi="仿宋_GB2312" w:cs="仿宋_GB2312"/>
          <w:b w:val="0"/>
          <w:bCs/>
          <w:spacing w:val="0"/>
          <w:w w:val="100"/>
          <w:kern w:val="2"/>
          <w:sz w:val="32"/>
          <w:szCs w:val="32"/>
          <w:lang w:val="en-US" w:eastAsia="zh-CN" w:bidi="ar-SA"/>
        </w:rPr>
        <w:t>1.牵头组织实施：本次征地区片综合地价重新公布工作由长汀县自然资源局作为牵头单位，统筹组织开展资料收集、测算分析等工作，有序推进区片综合地价标准事宜。</w:t>
      </w:r>
    </w:p>
    <w:p w14:paraId="45ACF278">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cs="仿宋_GB2312"/>
          <w:b w:val="0"/>
          <w:bCs/>
          <w:spacing w:val="0"/>
          <w:w w:val="100"/>
          <w:kern w:val="2"/>
          <w:sz w:val="32"/>
          <w:szCs w:val="32"/>
          <w:lang w:val="en-US" w:eastAsia="zh-CN" w:bidi="ar-SA"/>
        </w:rPr>
      </w:pPr>
      <w:r>
        <w:rPr>
          <w:rFonts w:hint="eastAsia" w:ascii="仿宋_GB2312" w:hAnsi="仿宋_GB2312" w:cs="仿宋_GB2312"/>
          <w:b w:val="0"/>
          <w:bCs/>
          <w:spacing w:val="0"/>
          <w:w w:val="100"/>
          <w:kern w:val="2"/>
          <w:sz w:val="32"/>
          <w:szCs w:val="32"/>
          <w:lang w:val="en-US" w:eastAsia="zh-CN" w:bidi="ar-SA"/>
        </w:rPr>
        <w:t>2.公开征求社会意见：将征地区片综合地价标准向社会公开，面向全社会征集意见建议，对收集到的意见进行梳理研究，合理吸纳修改完善文稿。</w:t>
      </w:r>
    </w:p>
    <w:p w14:paraId="5EB9245E">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cs="仿宋_GB2312"/>
          <w:b w:val="0"/>
          <w:bCs/>
          <w:spacing w:val="0"/>
          <w:w w:val="100"/>
          <w:kern w:val="2"/>
          <w:sz w:val="32"/>
          <w:szCs w:val="32"/>
          <w:lang w:val="en-US" w:eastAsia="zh-CN" w:bidi="ar-SA"/>
        </w:rPr>
      </w:pPr>
      <w:r>
        <w:rPr>
          <w:rFonts w:hint="eastAsia" w:ascii="仿宋_GB2312" w:hAnsi="仿宋_GB2312" w:cs="仿宋_GB2312"/>
          <w:b w:val="0"/>
          <w:bCs/>
          <w:spacing w:val="0"/>
          <w:w w:val="100"/>
          <w:kern w:val="2"/>
          <w:sz w:val="32"/>
          <w:szCs w:val="32"/>
          <w:lang w:val="en-US" w:eastAsia="zh-CN" w:bidi="ar-SA"/>
        </w:rPr>
        <w:t>3.开展合法性初审：在文稿形成后，长汀县自然资源局对《长汀县人民政府关于重新公布征地区片综合地价标准的通知（征求意见稿）》开展合法性审查，出具合法性初审意见，对文件制定依据、程序、内容合规性进行核查，确保文件符合土地管理相关法律法规及上级政策要求。</w:t>
      </w:r>
    </w:p>
    <w:p w14:paraId="259D8C41">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default" w:ascii="仿宋_GB2312" w:hAnsi="仿宋_GB2312" w:cs="仿宋_GB2312"/>
          <w:b w:val="0"/>
          <w:bCs/>
          <w:spacing w:val="0"/>
          <w:w w:val="100"/>
          <w:kern w:val="2"/>
          <w:sz w:val="32"/>
          <w:szCs w:val="32"/>
          <w:lang w:val="en-US" w:eastAsia="zh-CN" w:bidi="ar-SA"/>
        </w:rPr>
      </w:pPr>
      <w:r>
        <w:rPr>
          <w:rFonts w:hint="eastAsia" w:ascii="仿宋_GB2312" w:hAnsi="仿宋_GB2312" w:cs="仿宋_GB2312"/>
          <w:b w:val="0"/>
          <w:bCs/>
          <w:spacing w:val="0"/>
          <w:w w:val="100"/>
          <w:kern w:val="2"/>
          <w:sz w:val="32"/>
          <w:szCs w:val="32"/>
          <w:lang w:val="en-US" w:eastAsia="zh-CN" w:bidi="ar-SA"/>
        </w:rPr>
        <w:t>4.后续报请审议：经征求意见、合法性初审等完成后，文稿按程序报请自然资源局进行集体审议。</w:t>
      </w:r>
    </w:p>
    <w:p w14:paraId="26F3D8B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宋体"/>
          <w:b w:val="0"/>
          <w:bCs/>
          <w:spacing w:val="0"/>
          <w:w w:val="100"/>
          <w:sz w:val="32"/>
          <w:szCs w:val="32"/>
          <w:lang w:val="en-US" w:eastAsia="zh-CN"/>
        </w:rPr>
      </w:pPr>
      <w:r>
        <w:rPr>
          <w:rFonts w:hint="eastAsia" w:ascii="黑体" w:hAnsi="黑体" w:eastAsia="黑体" w:cs="宋体"/>
          <w:b w:val="0"/>
          <w:bCs/>
          <w:spacing w:val="0"/>
          <w:w w:val="100"/>
          <w:sz w:val="32"/>
          <w:szCs w:val="32"/>
          <w:lang w:val="en-US" w:eastAsia="zh-CN"/>
        </w:rPr>
        <w:t>三、主要内容</w:t>
      </w:r>
    </w:p>
    <w:p w14:paraId="56EE8308">
      <w:pPr>
        <w:keepNext w:val="0"/>
        <w:keepLines w:val="0"/>
        <w:pageBreakBefore w:val="0"/>
        <w:widowControl w:val="0"/>
        <w:kinsoku/>
        <w:wordWrap/>
        <w:overflowPunct/>
        <w:topLinePunct w:val="0"/>
        <w:autoSpaceDE/>
        <w:autoSpaceDN/>
        <w:bidi w:val="0"/>
        <w:spacing w:line="560" w:lineRule="exact"/>
        <w:ind w:firstLine="616" w:firstLineChars="200"/>
        <w:jc w:val="left"/>
        <w:textAlignment w:val="auto"/>
        <w:rPr>
          <w:rFonts w:hint="eastAsia" w:ascii="仿宋_GB2312" w:hAnsi="仿宋_GB2312" w:eastAsia="仿宋_GB2312" w:cs="仿宋_GB2312"/>
          <w:sz w:val="32"/>
          <w:szCs w:val="32"/>
          <w:lang w:eastAsia="zh-CN"/>
        </w:rPr>
      </w:pPr>
      <w:r>
        <w:rPr>
          <w:rFonts w:hint="eastAsia" w:ascii="仿宋_GB2312" w:eastAsia="仿宋_GB2312"/>
          <w:sz w:val="32"/>
          <w:lang w:val="en-US" w:eastAsia="zh-CN"/>
        </w:rPr>
        <w:t>根据</w:t>
      </w:r>
      <w:r>
        <w:rPr>
          <w:rFonts w:hint="eastAsia" w:ascii="仿宋_GB2312" w:eastAsia="仿宋_GB2312"/>
          <w:sz w:val="32"/>
          <w:lang w:eastAsia="zh-CN"/>
        </w:rPr>
        <w:t>《中华人民共和国土地管理法》《福建省征地补偿和被征地农民社会保障办法》（</w:t>
      </w:r>
      <w:r>
        <w:rPr>
          <w:rFonts w:hint="eastAsia" w:ascii="仿宋_GB2312" w:eastAsia="仿宋_GB2312"/>
          <w:sz w:val="32"/>
          <w:lang w:val="en-US" w:eastAsia="zh-CN"/>
        </w:rPr>
        <w:t>省政府令第177号</w:t>
      </w:r>
      <w:r>
        <w:rPr>
          <w:rFonts w:hint="eastAsia" w:ascii="仿宋_GB2312" w:eastAsia="仿宋_GB2312"/>
          <w:sz w:val="32"/>
          <w:lang w:eastAsia="zh-CN"/>
        </w:rPr>
        <w:t>）和</w:t>
      </w:r>
      <w:r>
        <w:rPr>
          <w:rFonts w:hint="eastAsia" w:ascii="仿宋_GB2312" w:eastAsia="仿宋_GB2312"/>
          <w:sz w:val="32"/>
        </w:rPr>
        <w:t>自然资源部</w:t>
      </w:r>
      <w:r>
        <w:rPr>
          <w:rFonts w:hint="eastAsia" w:ascii="仿宋_GB2312" w:eastAsia="仿宋_GB2312"/>
          <w:sz w:val="32"/>
          <w:lang w:eastAsia="zh-CN"/>
        </w:rPr>
        <w:t>有关规定</w:t>
      </w:r>
      <w:r>
        <w:rPr>
          <w:rFonts w:hint="eastAsia" w:ascii="仿宋_GB2312" w:eastAsia="仿宋_GB2312"/>
          <w:sz w:val="32"/>
        </w:rPr>
        <w:t>及</w:t>
      </w:r>
      <w:r>
        <w:rPr>
          <w:rFonts w:hint="eastAsia" w:ascii="仿宋_GB2312" w:eastAsia="仿宋_GB2312"/>
          <w:sz w:val="32"/>
          <w:lang w:eastAsia="zh-CN"/>
        </w:rPr>
        <w:t>《福建省自然资源厅关于重新公布征地区片综合地价的通知</w:t>
      </w:r>
      <w:r>
        <w:rPr>
          <w:rFonts w:hint="eastAsia" w:ascii="仿宋_GB2312" w:hAnsi="仿宋_GB2312" w:eastAsia="仿宋_GB2312" w:cs="仿宋_GB2312"/>
          <w:sz w:val="32"/>
          <w:szCs w:val="32"/>
          <w:lang w:eastAsia="zh-CN"/>
        </w:rPr>
        <w:t>》（闽自然资发〔</w:t>
      </w:r>
      <w:r>
        <w:rPr>
          <w:rFonts w:hint="eastAsia" w:ascii="仿宋_GB2312" w:hAnsi="仿宋_GB2312" w:eastAsia="仿宋_GB2312" w:cs="仿宋_GB2312"/>
          <w:sz w:val="32"/>
          <w:szCs w:val="32"/>
          <w:lang w:val="en-US" w:eastAsia="zh-CN"/>
        </w:rPr>
        <w:t>2026〕28号</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政府</w:t>
      </w:r>
      <w:r>
        <w:rPr>
          <w:rFonts w:hint="eastAsia" w:ascii="仿宋_GB2312" w:hAnsi="仿宋_GB2312" w:eastAsia="仿宋_GB2312" w:cs="仿宋_GB2312"/>
          <w:sz w:val="32"/>
          <w:szCs w:val="32"/>
          <w:lang w:eastAsia="zh-CN"/>
        </w:rPr>
        <w:t>研究同意，现就长汀县征地区片综合地价标准重新公布如下：</w:t>
      </w:r>
    </w:p>
    <w:p w14:paraId="01FD8B22">
      <w:pPr>
        <w:keepNext w:val="0"/>
        <w:keepLines w:val="0"/>
        <w:pageBreakBefore w:val="0"/>
        <w:widowControl w:val="0"/>
        <w:kinsoku/>
        <w:wordWrap/>
        <w:overflowPunct/>
        <w:topLinePunct w:val="0"/>
        <w:autoSpaceDE/>
        <w:autoSpaceDN/>
        <w:bidi w:val="0"/>
        <w:spacing w:line="560" w:lineRule="exact"/>
        <w:ind w:firstLine="616" w:firstLineChars="200"/>
        <w:jc w:val="left"/>
        <w:textAlignment w:val="auto"/>
        <w:rPr>
          <w:rFonts w:hint="eastAsia" w:ascii="仿宋_GB2312" w:eastAsia="仿宋_GB2312"/>
          <w:sz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lang w:val="en-US" w:eastAsia="zh-CN"/>
        </w:rPr>
        <w:t>征地</w:t>
      </w:r>
      <w:r>
        <w:rPr>
          <w:rFonts w:hint="eastAsia" w:ascii="仿宋_GB2312" w:hAnsi="仿宋_GB2312" w:eastAsia="仿宋_GB2312" w:cs="仿宋_GB2312"/>
          <w:sz w:val="32"/>
          <w:szCs w:val="32"/>
          <w:lang w:eastAsia="zh-CN"/>
        </w:rPr>
        <w:t>区片综合地价由土地补偿费和安置补助费两部分组成，</w:t>
      </w:r>
      <w:r>
        <w:rPr>
          <w:rFonts w:hint="eastAsia" w:ascii="仿宋_GB2312" w:eastAsia="仿宋_GB2312"/>
          <w:sz w:val="32"/>
          <w:lang w:eastAsia="zh-CN"/>
        </w:rPr>
        <w:t>其中土地补偿费占40%，安置补助费占60%。因非农建设需要收回国有土地的，其补偿标准可参照当地征地区片综合地价执行。</w:t>
      </w:r>
    </w:p>
    <w:p w14:paraId="223E1A9A">
      <w:pPr>
        <w:keepNext w:val="0"/>
        <w:keepLines w:val="0"/>
        <w:pageBreakBefore w:val="0"/>
        <w:widowControl w:val="0"/>
        <w:kinsoku/>
        <w:wordWrap/>
        <w:overflowPunct/>
        <w:topLinePunct w:val="0"/>
        <w:autoSpaceDE/>
        <w:autoSpaceDN/>
        <w:bidi w:val="0"/>
        <w:spacing w:line="560" w:lineRule="exact"/>
        <w:ind w:firstLine="616" w:firstLineChars="200"/>
        <w:jc w:val="left"/>
        <w:textAlignment w:val="auto"/>
        <w:rPr>
          <w:rFonts w:hint="eastAsia" w:ascii="仿宋_GB2312" w:eastAsia="仿宋_GB2312"/>
          <w:sz w:val="32"/>
          <w:lang w:eastAsia="zh-CN"/>
        </w:rPr>
      </w:pPr>
      <w:r>
        <w:rPr>
          <w:rFonts w:hint="eastAsia" w:ascii="仿宋_GB2312" w:eastAsia="仿宋_GB2312"/>
          <w:sz w:val="32"/>
          <w:lang w:eastAsia="zh-CN"/>
        </w:rPr>
        <w:t>二、征地区片综合地价标准分为3个档次。其中Ⅰ级区片5.41万元/亩、Ⅱ级区片4.80万元/亩、Ⅲ级区片4.33万元/亩，具体见附件1。</w:t>
      </w:r>
    </w:p>
    <w:p w14:paraId="16C3B67A">
      <w:pPr>
        <w:keepNext w:val="0"/>
        <w:keepLines w:val="0"/>
        <w:pageBreakBefore w:val="0"/>
        <w:widowControl w:val="0"/>
        <w:kinsoku/>
        <w:wordWrap/>
        <w:overflowPunct/>
        <w:topLinePunct w:val="0"/>
        <w:autoSpaceDE/>
        <w:autoSpaceDN/>
        <w:bidi w:val="0"/>
        <w:spacing w:line="560" w:lineRule="exact"/>
        <w:ind w:firstLine="616" w:firstLineChars="200"/>
        <w:jc w:val="left"/>
        <w:textAlignment w:val="auto"/>
        <w:rPr>
          <w:rFonts w:hint="eastAsia" w:ascii="仿宋_GB2312" w:hAnsi="仿宋_GB2312" w:eastAsia="仿宋_GB2312" w:cs="仿宋_GB2312"/>
          <w:sz w:val="32"/>
          <w:szCs w:val="32"/>
        </w:rPr>
      </w:pPr>
      <w:r>
        <w:rPr>
          <w:rFonts w:hint="eastAsia" w:ascii="仿宋_GB2312" w:eastAsia="仿宋_GB2312"/>
          <w:sz w:val="32"/>
          <w:lang w:eastAsia="zh-CN"/>
        </w:rPr>
        <w:t>三、征收农用地、建设用地和未</w:t>
      </w:r>
      <w:r>
        <w:rPr>
          <w:rFonts w:hint="eastAsia" w:ascii="仿宋_GB2312" w:hAnsi="仿宋_GB2312" w:eastAsia="仿宋_GB2312" w:cs="仿宋_GB2312"/>
          <w:sz w:val="32"/>
          <w:szCs w:val="32"/>
        </w:rPr>
        <w:t>利用地的补偿标准按征地区片综合地价和地类调节系数计算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地类调节系数具体见附件2。</w:t>
      </w:r>
    </w:p>
    <w:p w14:paraId="78C0E6C0">
      <w:pPr>
        <w:keepNext w:val="0"/>
        <w:keepLines w:val="0"/>
        <w:pageBreakBefore w:val="0"/>
        <w:widowControl/>
        <w:numPr>
          <w:ilvl w:val="0"/>
          <w:numId w:val="0"/>
        </w:numPr>
        <w:kinsoku/>
        <w:wordWrap/>
        <w:overflowPunct/>
        <w:topLinePunct/>
        <w:autoSpaceDE/>
        <w:autoSpaceDN/>
        <w:bidi w:val="0"/>
        <w:adjustRightInd w:val="0"/>
        <w:snapToGrid w:val="0"/>
        <w:spacing w:line="560" w:lineRule="exact"/>
        <w:ind w:firstLine="616" w:firstLineChars="200"/>
        <w:textAlignment w:val="auto"/>
        <w:rPr>
          <w:rFonts w:hint="eastAsia" w:ascii="仿宋_GB2312" w:eastAsia="仿宋_GB2312"/>
          <w:kern w:val="28"/>
          <w:sz w:val="32"/>
          <w:szCs w:val="32"/>
          <w:lang w:val="en-US" w:eastAsia="zh-CN"/>
        </w:rPr>
      </w:pPr>
    </w:p>
    <w:p w14:paraId="6DF1B1E9">
      <w:pPr>
        <w:pStyle w:val="9"/>
        <w:keepNext w:val="0"/>
        <w:keepLines w:val="0"/>
        <w:pageBreakBefore w:val="0"/>
        <w:kinsoku/>
        <w:wordWrap/>
        <w:overflowPunct/>
        <w:autoSpaceDE/>
        <w:autoSpaceDN/>
        <w:bidi w:val="0"/>
        <w:spacing w:after="0" w:line="560" w:lineRule="exact"/>
        <w:ind w:left="924" w:leftChars="0" w:hanging="924" w:hangingChars="300"/>
        <w:jc w:val="left"/>
        <w:textAlignment w:val="auto"/>
        <w:rPr>
          <w:rFonts w:ascii="仿宋_GB2312" w:eastAsia="仿宋_GB2312"/>
          <w:sz w:val="32"/>
          <w:szCs w:val="32"/>
        </w:rPr>
      </w:pPr>
      <w:r>
        <w:rPr>
          <w:rFonts w:hint="eastAsia" w:ascii="仿宋_GB2312" w:eastAsia="仿宋_GB2312"/>
          <w:sz w:val="32"/>
          <w:szCs w:val="32"/>
        </w:rPr>
        <w:t>附件：1.长汀县征地区片划分及征地区片综合地价标准一览表</w:t>
      </w:r>
    </w:p>
    <w:p w14:paraId="29C80112">
      <w:pPr>
        <w:pStyle w:val="9"/>
        <w:keepNext w:val="0"/>
        <w:keepLines w:val="0"/>
        <w:pageBreakBefore w:val="0"/>
        <w:kinsoku/>
        <w:wordWrap/>
        <w:overflowPunct/>
        <w:autoSpaceDE/>
        <w:autoSpaceDN/>
        <w:bidi w:val="0"/>
        <w:spacing w:after="0" w:line="560" w:lineRule="exact"/>
        <w:ind w:left="0" w:leftChars="0" w:firstLine="924" w:firstLineChars="300"/>
        <w:textAlignment w:val="auto"/>
        <w:rPr>
          <w:rFonts w:ascii="仿宋_GB2312" w:eastAsia="仿宋_GB2312"/>
          <w:sz w:val="32"/>
          <w:szCs w:val="32"/>
        </w:rPr>
      </w:pPr>
      <w:r>
        <w:rPr>
          <w:rFonts w:hint="eastAsia" w:ascii="仿宋_GB2312" w:eastAsia="仿宋_GB2312"/>
          <w:sz w:val="32"/>
          <w:szCs w:val="32"/>
        </w:rPr>
        <w:t>2. 长汀县地类调节系数表</w:t>
      </w:r>
    </w:p>
    <w:p w14:paraId="4311A3A5">
      <w:pPr>
        <w:keepNext w:val="0"/>
        <w:keepLines w:val="0"/>
        <w:pageBreakBefore w:val="0"/>
        <w:widowControl/>
        <w:numPr>
          <w:ilvl w:val="0"/>
          <w:numId w:val="0"/>
        </w:numPr>
        <w:kinsoku/>
        <w:wordWrap/>
        <w:overflowPunct/>
        <w:topLinePunct/>
        <w:autoSpaceDE/>
        <w:autoSpaceDN/>
        <w:bidi w:val="0"/>
        <w:adjustRightInd w:val="0"/>
        <w:snapToGrid w:val="0"/>
        <w:spacing w:line="560" w:lineRule="exact"/>
        <w:ind w:firstLine="616" w:firstLineChars="200"/>
        <w:textAlignment w:val="auto"/>
        <w:rPr>
          <w:rFonts w:hint="eastAsia" w:ascii="仿宋_GB2312" w:eastAsia="仿宋_GB2312"/>
          <w:kern w:val="28"/>
          <w:sz w:val="32"/>
          <w:szCs w:val="32"/>
          <w:lang w:val="en-US" w:eastAsia="zh-CN"/>
        </w:rPr>
      </w:pPr>
    </w:p>
    <w:p w14:paraId="45C098AE">
      <w:pPr>
        <w:keepNext w:val="0"/>
        <w:keepLines w:val="0"/>
        <w:pageBreakBefore w:val="0"/>
        <w:widowControl/>
        <w:numPr>
          <w:ilvl w:val="0"/>
          <w:numId w:val="0"/>
        </w:numPr>
        <w:kinsoku/>
        <w:wordWrap/>
        <w:overflowPunct/>
        <w:topLinePunct/>
        <w:autoSpaceDE/>
        <w:autoSpaceDN/>
        <w:bidi w:val="0"/>
        <w:adjustRightInd w:val="0"/>
        <w:snapToGrid w:val="0"/>
        <w:spacing w:line="560" w:lineRule="exact"/>
        <w:ind w:firstLine="616" w:firstLineChars="200"/>
        <w:textAlignment w:val="auto"/>
        <w:rPr>
          <w:rFonts w:hint="eastAsia" w:ascii="仿宋_GB2312" w:eastAsia="仿宋_GB2312"/>
          <w:kern w:val="28"/>
          <w:sz w:val="32"/>
          <w:szCs w:val="32"/>
          <w:lang w:val="en-US" w:eastAsia="zh-CN"/>
        </w:rPr>
      </w:pPr>
    </w:p>
    <w:p w14:paraId="4D81A2CB">
      <w:pPr>
        <w:keepNext w:val="0"/>
        <w:keepLines w:val="0"/>
        <w:pageBreakBefore w:val="0"/>
        <w:widowControl/>
        <w:numPr>
          <w:ilvl w:val="0"/>
          <w:numId w:val="0"/>
        </w:numPr>
        <w:kinsoku/>
        <w:wordWrap/>
        <w:overflowPunct/>
        <w:topLinePunct/>
        <w:autoSpaceDE/>
        <w:autoSpaceDN/>
        <w:bidi w:val="0"/>
        <w:adjustRightInd w:val="0"/>
        <w:snapToGrid w:val="0"/>
        <w:spacing w:line="560" w:lineRule="exact"/>
        <w:textAlignment w:val="auto"/>
        <w:rPr>
          <w:rFonts w:hint="eastAsia" w:ascii="仿宋_GB2312" w:eastAsia="仿宋_GB2312"/>
          <w:kern w:val="28"/>
          <w:sz w:val="32"/>
          <w:szCs w:val="32"/>
          <w:lang w:val="en-US" w:eastAsia="zh-CN"/>
        </w:rPr>
      </w:pPr>
    </w:p>
    <w:p w14:paraId="0682C6CB">
      <w:pPr>
        <w:keepNext w:val="0"/>
        <w:keepLines w:val="0"/>
        <w:pageBreakBefore w:val="0"/>
        <w:kinsoku/>
        <w:wordWrap/>
        <w:overflowPunct/>
        <w:autoSpaceDE/>
        <w:autoSpaceDN/>
        <w:bidi w:val="0"/>
        <w:spacing w:line="560" w:lineRule="exact"/>
        <w:ind w:firstLine="5544" w:firstLineChars="1800"/>
        <w:jc w:val="right"/>
        <w:textAlignment w:val="auto"/>
        <w:rPr>
          <w:rFonts w:ascii="仿宋" w:hAnsi="仿宋" w:eastAsia="仿宋" w:cs="仿宋_GB2312"/>
          <w:color w:val="000000"/>
          <w:sz w:val="32"/>
          <w:szCs w:val="32"/>
        </w:rPr>
      </w:pPr>
      <w:r>
        <w:rPr>
          <w:rFonts w:hint="eastAsia" w:ascii="仿宋" w:hAnsi="仿宋" w:eastAsia="仿宋" w:cs="仿宋_GB2312"/>
          <w:color w:val="000000"/>
          <w:sz w:val="32"/>
          <w:szCs w:val="32"/>
        </w:rPr>
        <w:t>长汀县自然资源局</w:t>
      </w:r>
    </w:p>
    <w:p w14:paraId="0F01A341">
      <w:pPr>
        <w:keepNext w:val="0"/>
        <w:keepLines w:val="0"/>
        <w:pageBreakBefore w:val="0"/>
        <w:kinsoku/>
        <w:wordWrap/>
        <w:overflowPunct/>
        <w:autoSpaceDE/>
        <w:autoSpaceDN/>
        <w:bidi w:val="0"/>
        <w:spacing w:line="560" w:lineRule="exact"/>
        <w:ind w:firstLine="5852" w:firstLineChars="1900"/>
        <w:jc w:val="right"/>
        <w:textAlignment w:val="auto"/>
        <w:rPr>
          <w:rFonts w:ascii="仿宋" w:hAnsi="仿宋" w:eastAsia="仿宋" w:cs="仿宋_GB2312"/>
          <w:color w:val="000000"/>
          <w:sz w:val="32"/>
          <w:szCs w:val="32"/>
        </w:rPr>
      </w:pPr>
      <w:r>
        <w:rPr>
          <w:rFonts w:hint="eastAsia" w:ascii="仿宋" w:hAnsi="仿宋" w:eastAsia="仿宋" w:cs="仿宋_GB2312"/>
          <w:color w:val="000000"/>
          <w:sz w:val="32"/>
          <w:szCs w:val="32"/>
        </w:rPr>
        <w:t>202</w:t>
      </w:r>
      <w:r>
        <w:rPr>
          <w:rFonts w:hint="eastAsia" w:ascii="仿宋" w:hAnsi="仿宋" w:eastAsia="仿宋" w:cs="仿宋_GB2312"/>
          <w:color w:val="000000"/>
          <w:sz w:val="32"/>
          <w:szCs w:val="32"/>
          <w:lang w:val="en-US" w:eastAsia="zh-CN"/>
        </w:rPr>
        <w:t>6</w:t>
      </w:r>
      <w:r>
        <w:rPr>
          <w:rFonts w:hint="eastAsia" w:ascii="仿宋" w:hAnsi="仿宋" w:eastAsia="仿宋" w:cs="仿宋_GB2312"/>
          <w:color w:val="000000"/>
          <w:sz w:val="32"/>
          <w:szCs w:val="32"/>
        </w:rPr>
        <w:t>年</w:t>
      </w:r>
      <w:r>
        <w:rPr>
          <w:rFonts w:hint="eastAsia" w:ascii="仿宋" w:hAnsi="仿宋" w:eastAsia="仿宋" w:cs="仿宋_GB2312"/>
          <w:color w:val="000000"/>
          <w:sz w:val="32"/>
          <w:szCs w:val="32"/>
          <w:lang w:val="en-US" w:eastAsia="zh-CN"/>
        </w:rPr>
        <w:t>9</w:t>
      </w:r>
      <w:r>
        <w:rPr>
          <w:rFonts w:hint="eastAsia" w:ascii="仿宋" w:hAnsi="仿宋" w:eastAsia="仿宋" w:cs="仿宋_GB2312"/>
          <w:color w:val="000000"/>
          <w:sz w:val="32"/>
          <w:szCs w:val="32"/>
        </w:rPr>
        <w:t>月</w:t>
      </w:r>
      <w:r>
        <w:rPr>
          <w:rFonts w:hint="eastAsia" w:ascii="仿宋" w:hAnsi="仿宋" w:eastAsia="仿宋" w:cs="仿宋_GB2312"/>
          <w:color w:val="000000"/>
          <w:sz w:val="32"/>
          <w:szCs w:val="32"/>
          <w:lang w:val="en-US" w:eastAsia="zh-CN"/>
        </w:rPr>
        <w:t>8</w:t>
      </w:r>
      <w:r>
        <w:rPr>
          <w:rFonts w:hint="eastAsia" w:ascii="仿宋" w:hAnsi="仿宋" w:eastAsia="仿宋" w:cs="仿宋_GB2312"/>
          <w:color w:val="000000"/>
          <w:sz w:val="32"/>
          <w:szCs w:val="32"/>
        </w:rPr>
        <w:t>日</w:t>
      </w:r>
    </w:p>
    <w:p w14:paraId="0C7F4B5E">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2D3302CF">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165B4CC9">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54360E9F">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2CEAB20A">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59E32603">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3539E350">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77C4635E">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p>
    <w:p w14:paraId="3607C9F5">
      <w:pPr>
        <w:keepNext w:val="0"/>
        <w:keepLines w:val="0"/>
        <w:pageBreakBefore w:val="0"/>
        <w:widowControl/>
        <w:numPr>
          <w:ilvl w:val="0"/>
          <w:numId w:val="0"/>
        </w:numPr>
        <w:kinsoku/>
        <w:wordWrap/>
        <w:overflowPunct/>
        <w:topLinePunct/>
        <w:autoSpaceDE/>
        <w:autoSpaceDN/>
        <w:bidi w:val="0"/>
        <w:adjustRightInd w:val="0"/>
        <w:snapToGrid w:val="0"/>
        <w:spacing w:line="600" w:lineRule="exact"/>
        <w:textAlignment w:val="auto"/>
        <w:rPr>
          <w:rFonts w:hint="eastAsia" w:ascii="仿宋_GB2312" w:eastAsia="仿宋_GB2312"/>
          <w:kern w:val="28"/>
          <w:sz w:val="32"/>
          <w:szCs w:val="32"/>
          <w:lang w:val="en-US" w:eastAsia="zh-CN"/>
        </w:rPr>
      </w:pPr>
      <w:r>
        <w:rPr>
          <w:rFonts w:hint="eastAsia" w:ascii="仿宋_GB2312" w:eastAsia="仿宋_GB2312"/>
          <w:kern w:val="28"/>
          <w:sz w:val="32"/>
          <w:szCs w:val="32"/>
          <w:lang w:val="en-US" w:eastAsia="zh-CN"/>
        </w:rPr>
        <w:t>附件1</w:t>
      </w:r>
    </w:p>
    <w:p w14:paraId="6531112F">
      <w:pPr>
        <w:keepNext w:val="0"/>
        <w:keepLines w:val="0"/>
        <w:pageBreakBefore w:val="0"/>
        <w:widowControl/>
        <w:numPr>
          <w:ilvl w:val="0"/>
          <w:numId w:val="0"/>
        </w:numPr>
        <w:kinsoku/>
        <w:wordWrap/>
        <w:overflowPunct/>
        <w:topLinePunct/>
        <w:autoSpaceDE/>
        <w:autoSpaceDN/>
        <w:bidi w:val="0"/>
        <w:adjustRightInd w:val="0"/>
        <w:snapToGrid w:val="0"/>
        <w:spacing w:line="600" w:lineRule="exact"/>
        <w:ind w:firstLine="616" w:firstLineChars="200"/>
        <w:textAlignment w:val="auto"/>
        <w:rPr>
          <w:rFonts w:hint="eastAsia" w:ascii="仿宋_GB2312" w:eastAsia="仿宋_GB2312"/>
          <w:kern w:val="28"/>
          <w:sz w:val="32"/>
          <w:szCs w:val="32"/>
          <w:lang w:val="en-US" w:eastAsia="zh-CN"/>
        </w:rPr>
      </w:pPr>
      <w:r>
        <w:rPr>
          <w:rFonts w:hint="eastAsia" w:ascii="仿宋_GB2312" w:eastAsia="仿宋_GB2312"/>
          <w:kern w:val="28"/>
          <w:sz w:val="32"/>
          <w:szCs w:val="32"/>
          <w:lang w:val="en-US" w:eastAsia="zh-CN"/>
        </w:rPr>
        <w:t>长汀县征地区片划分及征地区片综合地价标准一览表</w:t>
      </w:r>
    </w:p>
    <w:p w14:paraId="0933D480">
      <w:pPr>
        <w:spacing w:line="400" w:lineRule="exact"/>
      </w:pPr>
    </w:p>
    <w:tbl>
      <w:tblPr>
        <w:tblStyle w:val="10"/>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5462"/>
        <w:gridCol w:w="1666"/>
        <w:gridCol w:w="1005"/>
      </w:tblGrid>
      <w:tr w14:paraId="47A9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03296A61">
            <w:pPr>
              <w:widowControl/>
              <w:jc w:val="center"/>
              <w:rPr>
                <w:rFonts w:ascii="仿宋_GB2312" w:hAnsi="等线" w:eastAsia="仿宋_GB2312" w:cs="宋体"/>
                <w:b/>
                <w:kern w:val="0"/>
                <w:sz w:val="28"/>
                <w:szCs w:val="28"/>
              </w:rPr>
            </w:pPr>
            <w:r>
              <w:rPr>
                <w:rFonts w:hint="eastAsia" w:ascii="仿宋_GB2312" w:eastAsia="仿宋_GB2312"/>
                <w:kern w:val="28"/>
                <w:sz w:val="28"/>
                <w:szCs w:val="28"/>
                <w:lang w:val="en-US" w:eastAsia="zh-CN"/>
              </w:rPr>
              <w:t>档次</w:t>
            </w:r>
          </w:p>
        </w:tc>
        <w:tc>
          <w:tcPr>
            <w:tcW w:w="5462" w:type="dxa"/>
            <w:tcBorders>
              <w:top w:val="single" w:color="auto" w:sz="4" w:space="0"/>
              <w:left w:val="nil"/>
              <w:bottom w:val="single" w:color="auto" w:sz="4" w:space="0"/>
              <w:right w:val="single" w:color="auto" w:sz="4" w:space="0"/>
            </w:tcBorders>
            <w:vAlign w:val="center"/>
          </w:tcPr>
          <w:p w14:paraId="66D35179">
            <w:pPr>
              <w:widowControl/>
              <w:jc w:val="center"/>
              <w:rPr>
                <w:rFonts w:ascii="仿宋_GB2312" w:hAnsi="等线" w:eastAsia="仿宋_GB2312" w:cs="宋体"/>
                <w:b w:val="0"/>
                <w:bCs/>
                <w:kern w:val="0"/>
                <w:sz w:val="28"/>
                <w:szCs w:val="28"/>
              </w:rPr>
            </w:pPr>
            <w:r>
              <w:rPr>
                <w:rFonts w:hint="eastAsia" w:ascii="仿宋_GB2312" w:hAnsi="等线" w:eastAsia="仿宋_GB2312" w:cs="宋体"/>
                <w:b w:val="0"/>
                <w:bCs/>
                <w:kern w:val="0"/>
                <w:sz w:val="28"/>
                <w:szCs w:val="28"/>
              </w:rPr>
              <w:t>区 片 范 围</w:t>
            </w:r>
          </w:p>
        </w:tc>
        <w:tc>
          <w:tcPr>
            <w:tcW w:w="1666" w:type="dxa"/>
            <w:tcBorders>
              <w:top w:val="single" w:color="auto" w:sz="4" w:space="0"/>
              <w:left w:val="nil"/>
              <w:bottom w:val="single" w:color="auto" w:sz="4" w:space="0"/>
              <w:right w:val="single" w:color="auto" w:sz="4" w:space="0"/>
            </w:tcBorders>
            <w:vAlign w:val="center"/>
          </w:tcPr>
          <w:p w14:paraId="0035B1AB">
            <w:pPr>
              <w:widowControl/>
              <w:spacing w:line="400" w:lineRule="exact"/>
              <w:jc w:val="left"/>
              <w:rPr>
                <w:rFonts w:ascii="仿宋_GB2312" w:hAnsi="等线" w:eastAsia="仿宋_GB2312" w:cs="宋体"/>
                <w:b w:val="0"/>
                <w:bCs/>
                <w:kern w:val="0"/>
                <w:sz w:val="28"/>
                <w:szCs w:val="28"/>
              </w:rPr>
            </w:pPr>
            <w:r>
              <w:rPr>
                <w:rFonts w:hint="eastAsia" w:ascii="仿宋_GB2312" w:hAnsi="等线" w:eastAsia="仿宋_GB2312" w:cs="宋体"/>
                <w:b w:val="0"/>
                <w:bCs/>
                <w:kern w:val="0"/>
                <w:sz w:val="28"/>
                <w:szCs w:val="28"/>
              </w:rPr>
              <w:t>征地区片综合地价标准（万元</w:t>
            </w:r>
            <w:r>
              <w:rPr>
                <w:rFonts w:ascii="仿宋_GB2312" w:hAnsi="等线" w:eastAsia="仿宋_GB2312" w:cs="宋体"/>
                <w:b w:val="0"/>
                <w:bCs/>
                <w:kern w:val="0"/>
                <w:sz w:val="28"/>
                <w:szCs w:val="28"/>
              </w:rPr>
              <w:t>/</w:t>
            </w:r>
            <w:r>
              <w:rPr>
                <w:rFonts w:hint="eastAsia" w:ascii="仿宋_GB2312" w:hAnsi="等线" w:eastAsia="仿宋_GB2312" w:cs="宋体"/>
                <w:b w:val="0"/>
                <w:bCs/>
                <w:kern w:val="0"/>
                <w:sz w:val="28"/>
                <w:szCs w:val="28"/>
              </w:rPr>
              <w:t>亩）</w:t>
            </w:r>
          </w:p>
        </w:tc>
        <w:tc>
          <w:tcPr>
            <w:tcW w:w="1005" w:type="dxa"/>
            <w:tcBorders>
              <w:top w:val="single" w:color="auto" w:sz="4" w:space="0"/>
              <w:left w:val="nil"/>
              <w:bottom w:val="single" w:color="auto" w:sz="4" w:space="0"/>
              <w:right w:val="single" w:color="auto" w:sz="4" w:space="0"/>
            </w:tcBorders>
            <w:vAlign w:val="center"/>
          </w:tcPr>
          <w:p w14:paraId="11D96B14">
            <w:pPr>
              <w:widowControl/>
              <w:jc w:val="center"/>
              <w:rPr>
                <w:rFonts w:ascii="仿宋_GB2312" w:hAnsi="等线" w:eastAsia="仿宋_GB2312" w:cs="宋体"/>
                <w:b w:val="0"/>
                <w:bCs/>
                <w:kern w:val="0"/>
                <w:sz w:val="28"/>
                <w:szCs w:val="28"/>
              </w:rPr>
            </w:pPr>
            <w:r>
              <w:rPr>
                <w:rFonts w:hint="eastAsia" w:ascii="仿宋_GB2312" w:hAnsi="等线" w:eastAsia="仿宋_GB2312" w:cs="宋体"/>
                <w:b w:val="0"/>
                <w:bCs/>
                <w:kern w:val="0"/>
                <w:sz w:val="28"/>
                <w:szCs w:val="28"/>
              </w:rPr>
              <w:t>备注</w:t>
            </w:r>
          </w:p>
        </w:tc>
      </w:tr>
      <w:tr w14:paraId="26FB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BCE4304">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sz w:val="28"/>
                <w:szCs w:val="28"/>
              </w:rPr>
              <w:t>Ⅰ级</w:t>
            </w:r>
          </w:p>
        </w:tc>
        <w:tc>
          <w:tcPr>
            <w:tcW w:w="5462" w:type="dxa"/>
            <w:tcBorders>
              <w:top w:val="single" w:color="auto" w:sz="4" w:space="0"/>
              <w:left w:val="nil"/>
              <w:bottom w:val="single" w:color="auto" w:sz="4" w:space="0"/>
              <w:right w:val="single" w:color="auto" w:sz="4" w:space="0"/>
            </w:tcBorders>
            <w:vAlign w:val="center"/>
          </w:tcPr>
          <w:p w14:paraId="49BC6B2D">
            <w:pPr>
              <w:widowControl/>
              <w:adjustRightInd w:val="0"/>
              <w:snapToGrid w:val="0"/>
              <w:spacing w:line="44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汀州镇；大同镇师福村、黄屋村、东埔村、东街村、计升村、李岭村、红卫村、草坪村、印黄村、东关村、南里村、南寨村、新庄村、罗坊村、红星村、新民村；策武镇策田村、策星村、红江村、德联村、陈坊村、河梁村、李城村、南坑村、黄馆村、李田村</w:t>
            </w:r>
          </w:p>
        </w:tc>
        <w:tc>
          <w:tcPr>
            <w:tcW w:w="1666" w:type="dxa"/>
            <w:tcBorders>
              <w:top w:val="single" w:color="auto" w:sz="4" w:space="0"/>
              <w:left w:val="nil"/>
              <w:bottom w:val="single" w:color="auto" w:sz="4" w:space="0"/>
              <w:right w:val="single" w:color="auto" w:sz="4" w:space="0"/>
            </w:tcBorders>
            <w:vAlign w:val="center"/>
          </w:tcPr>
          <w:p w14:paraId="3A38738C">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5.41</w:t>
            </w:r>
          </w:p>
        </w:tc>
        <w:tc>
          <w:tcPr>
            <w:tcW w:w="1005" w:type="dxa"/>
            <w:tcBorders>
              <w:top w:val="single" w:color="auto" w:sz="4" w:space="0"/>
              <w:left w:val="nil"/>
              <w:bottom w:val="single" w:color="auto" w:sz="4" w:space="0"/>
              <w:right w:val="single" w:color="auto" w:sz="4" w:space="0"/>
            </w:tcBorders>
            <w:vAlign w:val="center"/>
          </w:tcPr>
          <w:p w14:paraId="09CD5C84">
            <w:pPr>
              <w:widowControl/>
              <w:adjustRightInd w:val="0"/>
              <w:snapToGrid w:val="0"/>
              <w:spacing w:line="240" w:lineRule="atLeast"/>
              <w:jc w:val="center"/>
              <w:rPr>
                <w:rFonts w:hint="eastAsia" w:ascii="仿宋" w:hAnsi="仿宋" w:eastAsia="仿宋" w:cs="仿宋"/>
                <w:color w:val="000000"/>
                <w:kern w:val="0"/>
                <w:sz w:val="28"/>
                <w:szCs w:val="28"/>
              </w:rPr>
            </w:pPr>
          </w:p>
        </w:tc>
      </w:tr>
      <w:tr w14:paraId="1915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3607533">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sz w:val="28"/>
                <w:szCs w:val="28"/>
              </w:rPr>
              <w:t>Ⅱ级</w:t>
            </w:r>
          </w:p>
        </w:tc>
        <w:tc>
          <w:tcPr>
            <w:tcW w:w="5462" w:type="dxa"/>
            <w:tcBorders>
              <w:top w:val="single" w:color="auto" w:sz="4" w:space="0"/>
              <w:left w:val="nil"/>
              <w:bottom w:val="single" w:color="auto" w:sz="4" w:space="0"/>
              <w:right w:val="single" w:color="auto" w:sz="4" w:space="0"/>
            </w:tcBorders>
            <w:vAlign w:val="center"/>
          </w:tcPr>
          <w:p w14:paraId="47A70C26">
            <w:pPr>
              <w:widowControl/>
              <w:adjustRightInd w:val="0"/>
              <w:snapToGrid w:val="0"/>
              <w:spacing w:line="44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大同镇七里村、利星村、高坑村、荣丰村、翠峰村、红湖村、光明村、建明村、新峰村、郑坊村、七古村、黄麻畲村、正平村、天邻村；策武镇林田村、当坑村、高田村、南溪村；河田镇上街村、下街村、中街村、朱溪村、明光村、松林村、芦竹村、南塅村、蔡坊村、上修坊村</w:t>
            </w:r>
          </w:p>
        </w:tc>
        <w:tc>
          <w:tcPr>
            <w:tcW w:w="1666" w:type="dxa"/>
            <w:tcBorders>
              <w:top w:val="single" w:color="auto" w:sz="4" w:space="0"/>
              <w:left w:val="nil"/>
              <w:bottom w:val="single" w:color="auto" w:sz="4" w:space="0"/>
              <w:right w:val="single" w:color="auto" w:sz="4" w:space="0"/>
            </w:tcBorders>
            <w:vAlign w:val="center"/>
          </w:tcPr>
          <w:p w14:paraId="4F5B50B8">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4.80</w:t>
            </w:r>
          </w:p>
        </w:tc>
        <w:tc>
          <w:tcPr>
            <w:tcW w:w="1005" w:type="dxa"/>
            <w:tcBorders>
              <w:top w:val="single" w:color="auto" w:sz="4" w:space="0"/>
              <w:left w:val="nil"/>
              <w:bottom w:val="single" w:color="auto" w:sz="4" w:space="0"/>
              <w:right w:val="single" w:color="auto" w:sz="4" w:space="0"/>
            </w:tcBorders>
            <w:vAlign w:val="center"/>
          </w:tcPr>
          <w:p w14:paraId="1AB89B13">
            <w:pPr>
              <w:widowControl/>
              <w:adjustRightInd w:val="0"/>
              <w:snapToGrid w:val="0"/>
              <w:spacing w:line="240" w:lineRule="atLeast"/>
              <w:jc w:val="center"/>
              <w:rPr>
                <w:rFonts w:hint="eastAsia" w:ascii="仿宋" w:hAnsi="仿宋" w:eastAsia="仿宋" w:cs="仿宋"/>
                <w:color w:val="000000"/>
                <w:kern w:val="0"/>
                <w:sz w:val="28"/>
                <w:szCs w:val="28"/>
              </w:rPr>
            </w:pPr>
          </w:p>
        </w:tc>
      </w:tr>
      <w:tr w14:paraId="1424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7AD661B9">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sz w:val="28"/>
                <w:szCs w:val="28"/>
              </w:rPr>
              <w:t>Ⅲ级</w:t>
            </w:r>
          </w:p>
        </w:tc>
        <w:tc>
          <w:tcPr>
            <w:tcW w:w="5462" w:type="dxa"/>
            <w:tcBorders>
              <w:top w:val="single" w:color="auto" w:sz="4" w:space="0"/>
              <w:left w:val="nil"/>
              <w:bottom w:val="single" w:color="auto" w:sz="4" w:space="0"/>
              <w:right w:val="single" w:color="auto" w:sz="4" w:space="0"/>
            </w:tcBorders>
            <w:vAlign w:val="center"/>
          </w:tcPr>
          <w:p w14:paraId="28B95D9D">
            <w:pPr>
              <w:widowControl/>
              <w:adjustRightInd w:val="0"/>
              <w:snapToGrid w:val="0"/>
              <w:spacing w:line="44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河田镇南塘村、窑下村、游坊村、晨光村、寒坊村、黄坑村、车寮村、刘源村、红中村、半坑村、南山下村、迳背村、下修坊村、根溪村、中坊村、马坑村、潘屋村、余地村、伯湖村、罗地村、露湖村；古城镇；新桥镇；馆前镇；童坊镇；南山镇；濯田镇；四都镇；涂坊镇；三洲镇；铁长乡；庵杰乡；宣城乡；红山乡；羊牯乡</w:t>
            </w:r>
          </w:p>
        </w:tc>
        <w:tc>
          <w:tcPr>
            <w:tcW w:w="1666" w:type="dxa"/>
            <w:tcBorders>
              <w:top w:val="single" w:color="auto" w:sz="4" w:space="0"/>
              <w:left w:val="nil"/>
              <w:bottom w:val="single" w:color="auto" w:sz="4" w:space="0"/>
              <w:right w:val="single" w:color="auto" w:sz="4" w:space="0"/>
            </w:tcBorders>
            <w:vAlign w:val="center"/>
          </w:tcPr>
          <w:p w14:paraId="30336C06">
            <w:pPr>
              <w:widowControl/>
              <w:adjustRightInd w:val="0"/>
              <w:snapToGrid w:val="0"/>
              <w:spacing w:line="240" w:lineRule="atLeas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4.33</w:t>
            </w:r>
          </w:p>
        </w:tc>
        <w:tc>
          <w:tcPr>
            <w:tcW w:w="1005" w:type="dxa"/>
            <w:tcBorders>
              <w:top w:val="single" w:color="auto" w:sz="4" w:space="0"/>
              <w:left w:val="nil"/>
              <w:bottom w:val="single" w:color="auto" w:sz="4" w:space="0"/>
              <w:right w:val="single" w:color="auto" w:sz="4" w:space="0"/>
            </w:tcBorders>
            <w:vAlign w:val="center"/>
          </w:tcPr>
          <w:p w14:paraId="73E34B31">
            <w:pPr>
              <w:widowControl/>
              <w:adjustRightInd w:val="0"/>
              <w:snapToGrid w:val="0"/>
              <w:spacing w:line="240" w:lineRule="atLeast"/>
              <w:jc w:val="center"/>
              <w:rPr>
                <w:rFonts w:hint="eastAsia" w:ascii="仿宋" w:hAnsi="仿宋" w:eastAsia="仿宋" w:cs="仿宋"/>
                <w:color w:val="000000"/>
                <w:kern w:val="0"/>
                <w:sz w:val="28"/>
                <w:szCs w:val="28"/>
              </w:rPr>
            </w:pPr>
          </w:p>
        </w:tc>
      </w:tr>
    </w:tbl>
    <w:p w14:paraId="0D44839E">
      <w:pPr>
        <w:jc w:val="right"/>
        <w:rPr>
          <w:rFonts w:hint="eastAsia" w:ascii="仿宋" w:hAnsi="仿宋" w:eastAsia="仿宋" w:cs="仿宋"/>
          <w:sz w:val="28"/>
          <w:szCs w:val="28"/>
        </w:rPr>
      </w:pPr>
    </w:p>
    <w:p w14:paraId="5448ABA8">
      <w:pPr>
        <w:jc w:val="right"/>
        <w:rPr>
          <w:rFonts w:hint="eastAsia" w:ascii="仿宋" w:hAnsi="仿宋" w:eastAsia="仿宋" w:cs="仿宋"/>
          <w:sz w:val="28"/>
          <w:szCs w:val="28"/>
        </w:rPr>
      </w:pPr>
    </w:p>
    <w:p w14:paraId="69894797">
      <w:pPr>
        <w:jc w:val="right"/>
        <w:rPr>
          <w:rFonts w:hint="eastAsia" w:ascii="仿宋" w:hAnsi="仿宋" w:eastAsia="仿宋" w:cs="仿宋"/>
          <w:sz w:val="28"/>
          <w:szCs w:val="28"/>
        </w:rPr>
      </w:pPr>
    </w:p>
    <w:p w14:paraId="377FA6E3">
      <w:pPr>
        <w:pStyle w:val="2"/>
        <w:spacing w:before="0" w:after="0" w:line="240" w:lineRule="auto"/>
        <w:rPr>
          <w:rFonts w:hint="eastAsia" w:ascii="仿宋" w:hAnsi="仿宋" w:eastAsia="仿宋" w:cs="仿宋"/>
          <w:sz w:val="28"/>
          <w:szCs w:val="28"/>
        </w:rPr>
      </w:pPr>
      <w:bookmarkStart w:id="0" w:name="_Toc16210"/>
      <w:r>
        <w:rPr>
          <w:rFonts w:hint="eastAsia" w:ascii="仿宋" w:hAnsi="仿宋" w:eastAsia="仿宋" w:cs="仿宋"/>
          <w:b w:val="0"/>
          <w:bCs/>
          <w:sz w:val="28"/>
          <w:szCs w:val="28"/>
        </w:rPr>
        <w:t>附件2</w:t>
      </w:r>
      <w:bookmarkEnd w:id="0"/>
    </w:p>
    <w:p w14:paraId="59B754B9">
      <w:pPr>
        <w:pStyle w:val="9"/>
        <w:ind w:left="0" w:leftChars="0" w:firstLine="0" w:firstLineChars="0"/>
        <w:jc w:val="center"/>
        <w:rPr>
          <w:rFonts w:hint="eastAsia" w:ascii="仿宋" w:hAnsi="仿宋" w:eastAsia="仿宋" w:cs="仿宋"/>
          <w:sz w:val="28"/>
          <w:szCs w:val="28"/>
        </w:rPr>
      </w:pPr>
      <w:r>
        <w:rPr>
          <w:rFonts w:hint="eastAsia" w:ascii="仿宋" w:hAnsi="仿宋" w:eastAsia="仿宋" w:cs="仿宋"/>
          <w:sz w:val="28"/>
          <w:szCs w:val="28"/>
        </w:rPr>
        <w:t>长汀县地类调节系数表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6"/>
        <w:gridCol w:w="2127"/>
        <w:gridCol w:w="3169"/>
      </w:tblGrid>
      <w:tr w14:paraId="204A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93" w:type="pct"/>
            <w:tcBorders>
              <w:bottom w:val="single" w:color="auto" w:sz="4" w:space="0"/>
            </w:tcBorders>
            <w:vAlign w:val="bottom"/>
          </w:tcPr>
          <w:p w14:paraId="0B9D2C88">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地类名称</w:t>
            </w:r>
          </w:p>
        </w:tc>
        <w:tc>
          <w:tcPr>
            <w:tcW w:w="1248" w:type="pct"/>
            <w:tcBorders>
              <w:bottom w:val="single" w:color="auto" w:sz="4" w:space="0"/>
            </w:tcBorders>
            <w:shd w:val="clear" w:color="auto" w:fill="auto"/>
            <w:noWrap/>
            <w:vAlign w:val="bottom"/>
          </w:tcPr>
          <w:p w14:paraId="31196411">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调节系数</w:t>
            </w:r>
          </w:p>
        </w:tc>
        <w:tc>
          <w:tcPr>
            <w:tcW w:w="1859" w:type="pct"/>
            <w:tcBorders>
              <w:bottom w:val="single" w:color="auto" w:sz="4" w:space="0"/>
            </w:tcBorders>
          </w:tcPr>
          <w:p w14:paraId="64A9071E">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备注</w:t>
            </w:r>
          </w:p>
        </w:tc>
      </w:tr>
      <w:tr w14:paraId="2BB4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93" w:type="pct"/>
            <w:tcBorders>
              <w:right w:val="single" w:color="auto" w:sz="4" w:space="0"/>
            </w:tcBorders>
            <w:vAlign w:val="center"/>
          </w:tcPr>
          <w:p w14:paraId="7432A36A">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耕地</w:t>
            </w:r>
          </w:p>
        </w:tc>
        <w:tc>
          <w:tcPr>
            <w:tcW w:w="1248" w:type="pct"/>
            <w:tcBorders>
              <w:left w:val="single" w:color="auto" w:sz="4" w:space="0"/>
            </w:tcBorders>
            <w:shd w:val="clear" w:color="auto" w:fill="auto"/>
            <w:noWrap/>
            <w:vAlign w:val="bottom"/>
          </w:tcPr>
          <w:p w14:paraId="32862814">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w:t>
            </w:r>
          </w:p>
        </w:tc>
        <w:tc>
          <w:tcPr>
            <w:tcW w:w="1859" w:type="pct"/>
            <w:tcBorders>
              <w:left w:val="single" w:color="auto" w:sz="4" w:space="0"/>
            </w:tcBorders>
          </w:tcPr>
          <w:p w14:paraId="0D1C36AA">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（永久基本农田1.1）</w:t>
            </w:r>
          </w:p>
        </w:tc>
      </w:tr>
      <w:tr w14:paraId="4C32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93" w:type="pct"/>
            <w:tcBorders>
              <w:right w:val="single" w:color="auto" w:sz="4" w:space="0"/>
            </w:tcBorders>
            <w:vAlign w:val="center"/>
          </w:tcPr>
          <w:p w14:paraId="21BAEF3F">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除耕地以外的农用地</w:t>
            </w:r>
          </w:p>
        </w:tc>
        <w:tc>
          <w:tcPr>
            <w:tcW w:w="1248" w:type="pct"/>
            <w:tcBorders>
              <w:left w:val="single" w:color="auto" w:sz="4" w:space="0"/>
            </w:tcBorders>
            <w:shd w:val="clear" w:color="auto" w:fill="auto"/>
            <w:noWrap/>
            <w:vAlign w:val="bottom"/>
          </w:tcPr>
          <w:p w14:paraId="7B8468EB">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0.4</w:t>
            </w:r>
          </w:p>
        </w:tc>
        <w:tc>
          <w:tcPr>
            <w:tcW w:w="1859" w:type="pct"/>
            <w:tcBorders>
              <w:left w:val="single" w:color="auto" w:sz="4" w:space="0"/>
            </w:tcBorders>
          </w:tcPr>
          <w:p w14:paraId="77F8A200">
            <w:pPr>
              <w:widowControl/>
              <w:jc w:val="center"/>
              <w:rPr>
                <w:rFonts w:hint="eastAsia" w:ascii="仿宋" w:hAnsi="仿宋" w:eastAsia="仿宋" w:cs="仿宋"/>
                <w:color w:val="000000"/>
                <w:kern w:val="0"/>
                <w:sz w:val="28"/>
                <w:szCs w:val="28"/>
              </w:rPr>
            </w:pPr>
          </w:p>
        </w:tc>
      </w:tr>
      <w:tr w14:paraId="0E1D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93" w:type="pct"/>
            <w:vAlign w:val="bottom"/>
          </w:tcPr>
          <w:p w14:paraId="60BB3EDD">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建设用地</w:t>
            </w:r>
          </w:p>
        </w:tc>
        <w:tc>
          <w:tcPr>
            <w:tcW w:w="1248" w:type="pct"/>
            <w:shd w:val="clear" w:color="auto" w:fill="auto"/>
            <w:noWrap/>
            <w:vAlign w:val="bottom"/>
          </w:tcPr>
          <w:p w14:paraId="7936E91D">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0.55</w:t>
            </w:r>
          </w:p>
        </w:tc>
        <w:tc>
          <w:tcPr>
            <w:tcW w:w="1859" w:type="pct"/>
          </w:tcPr>
          <w:p w14:paraId="62261A76">
            <w:pPr>
              <w:widowControl/>
              <w:jc w:val="center"/>
              <w:rPr>
                <w:rFonts w:hint="eastAsia" w:ascii="仿宋" w:hAnsi="仿宋" w:eastAsia="仿宋" w:cs="仿宋"/>
                <w:color w:val="000000"/>
                <w:kern w:val="0"/>
                <w:sz w:val="28"/>
                <w:szCs w:val="28"/>
              </w:rPr>
            </w:pPr>
          </w:p>
        </w:tc>
      </w:tr>
      <w:tr w14:paraId="1555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93" w:type="pct"/>
            <w:vAlign w:val="bottom"/>
          </w:tcPr>
          <w:p w14:paraId="67812965">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未利用地</w:t>
            </w:r>
          </w:p>
        </w:tc>
        <w:tc>
          <w:tcPr>
            <w:tcW w:w="1248" w:type="pct"/>
            <w:shd w:val="clear" w:color="auto" w:fill="auto"/>
            <w:noWrap/>
            <w:vAlign w:val="bottom"/>
          </w:tcPr>
          <w:p w14:paraId="25B0C94A">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0.15</w:t>
            </w:r>
          </w:p>
        </w:tc>
        <w:tc>
          <w:tcPr>
            <w:tcW w:w="1859" w:type="pct"/>
          </w:tcPr>
          <w:p w14:paraId="25E3B6A3">
            <w:pPr>
              <w:widowControl/>
              <w:jc w:val="center"/>
              <w:rPr>
                <w:rFonts w:hint="eastAsia" w:ascii="仿宋" w:hAnsi="仿宋" w:eastAsia="仿宋" w:cs="仿宋"/>
                <w:color w:val="000000"/>
                <w:kern w:val="0"/>
                <w:sz w:val="28"/>
                <w:szCs w:val="28"/>
              </w:rPr>
            </w:pPr>
          </w:p>
        </w:tc>
      </w:tr>
    </w:tbl>
    <w:p w14:paraId="36F5B2F8">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p w14:paraId="3BD29AF6">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p w14:paraId="6F19473F">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p w14:paraId="01C30399">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p w14:paraId="1B24646C">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p w14:paraId="216CE611">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88"/>
        <w:jc w:val="both"/>
        <w:textAlignment w:val="auto"/>
        <w:outlineLvl w:val="9"/>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4C0EB">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yYzQzMGM2NTZiZmU0OWQ4NjYwOGRkZTViZGY0OTMifQ=="/>
  </w:docVars>
  <w:rsids>
    <w:rsidRoot w:val="00000000"/>
    <w:rsid w:val="03BA3FB3"/>
    <w:rsid w:val="03F4527E"/>
    <w:rsid w:val="04E050DE"/>
    <w:rsid w:val="06B07B82"/>
    <w:rsid w:val="07E1278D"/>
    <w:rsid w:val="08687FE8"/>
    <w:rsid w:val="09151F1E"/>
    <w:rsid w:val="0B1A6FF2"/>
    <w:rsid w:val="0DEB14A0"/>
    <w:rsid w:val="0EAC50D3"/>
    <w:rsid w:val="0FE95EB3"/>
    <w:rsid w:val="108E5440"/>
    <w:rsid w:val="11131439"/>
    <w:rsid w:val="14771CDF"/>
    <w:rsid w:val="154F67B8"/>
    <w:rsid w:val="15C40D7D"/>
    <w:rsid w:val="183A43E2"/>
    <w:rsid w:val="1A530AF8"/>
    <w:rsid w:val="1C511068"/>
    <w:rsid w:val="26437537"/>
    <w:rsid w:val="289465FF"/>
    <w:rsid w:val="28D040CB"/>
    <w:rsid w:val="29BD3E42"/>
    <w:rsid w:val="2ED753FC"/>
    <w:rsid w:val="3167445F"/>
    <w:rsid w:val="31F12C79"/>
    <w:rsid w:val="33462B51"/>
    <w:rsid w:val="335F6616"/>
    <w:rsid w:val="37475B66"/>
    <w:rsid w:val="386E3FD5"/>
    <w:rsid w:val="3A06274B"/>
    <w:rsid w:val="3C076303"/>
    <w:rsid w:val="3E622809"/>
    <w:rsid w:val="3EDB4D58"/>
    <w:rsid w:val="41EC6AFB"/>
    <w:rsid w:val="423933DC"/>
    <w:rsid w:val="42980EEF"/>
    <w:rsid w:val="47C2406F"/>
    <w:rsid w:val="48CE11C6"/>
    <w:rsid w:val="49F7474D"/>
    <w:rsid w:val="4AA246B9"/>
    <w:rsid w:val="4B7122DD"/>
    <w:rsid w:val="4BF25DC2"/>
    <w:rsid w:val="4DBB6DE7"/>
    <w:rsid w:val="4E130ED5"/>
    <w:rsid w:val="4E241889"/>
    <w:rsid w:val="4EC8490A"/>
    <w:rsid w:val="52F67C97"/>
    <w:rsid w:val="56DE116E"/>
    <w:rsid w:val="58B8154B"/>
    <w:rsid w:val="59857ABF"/>
    <w:rsid w:val="5B1443BD"/>
    <w:rsid w:val="5BEC65C5"/>
    <w:rsid w:val="5C1B1D42"/>
    <w:rsid w:val="5CF76AE6"/>
    <w:rsid w:val="5ECF42C7"/>
    <w:rsid w:val="64A305A4"/>
    <w:rsid w:val="650E17F1"/>
    <w:rsid w:val="65BF3643"/>
    <w:rsid w:val="6C95173F"/>
    <w:rsid w:val="6D81677C"/>
    <w:rsid w:val="71640E18"/>
    <w:rsid w:val="737C12EE"/>
    <w:rsid w:val="751C3136"/>
    <w:rsid w:val="76053BCA"/>
    <w:rsid w:val="78ED65BA"/>
    <w:rsid w:val="7D761851"/>
    <w:rsid w:val="7EF00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endnote text"/>
    <w:basedOn w:val="1"/>
    <w:unhideWhenUsed/>
    <w:qFormat/>
    <w:uiPriority w:val="99"/>
    <w:pPr>
      <w:snapToGrid w:val="0"/>
      <w:jc w:val="left"/>
    </w:pPr>
  </w:style>
  <w:style w:type="paragraph" w:styleId="7">
    <w:name w:val="Balloon Text"/>
    <w:basedOn w:val="1"/>
    <w:next w:val="6"/>
    <w:semiHidden/>
    <w:qFormat/>
    <w:uiPriority w:val="99"/>
    <w:rPr>
      <w:sz w:val="18"/>
      <w:szCs w:val="18"/>
    </w:rPr>
  </w:style>
  <w:style w:type="paragraph" w:styleId="8">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9">
    <w:name w:val="Body Text First Indent 2"/>
    <w:basedOn w:val="4"/>
    <w:next w:val="1"/>
    <w:qFormat/>
    <w:uiPriority w:val="0"/>
    <w:pPr>
      <w:ind w:firstLine="420" w:firstLineChars="200"/>
    </w:pPr>
  </w:style>
  <w:style w:type="paragraph" w:customStyle="1" w:styleId="12">
    <w:name w:val="Body Text First Indent 21"/>
    <w:basedOn w:val="13"/>
    <w:qFormat/>
    <w:uiPriority w:val="0"/>
    <w:pPr>
      <w:spacing w:line="340" w:lineRule="exact"/>
      <w:ind w:right="-139" w:hangingChars="26" w:firstLine="420"/>
    </w:pPr>
    <w:rPr>
      <w:rFonts w:ascii="华文中宋" w:hAnsi="华文中宋" w:eastAsia="华文中宋"/>
      <w:sz w:val="24"/>
      <w:szCs w:val="20"/>
    </w:rPr>
  </w:style>
  <w:style w:type="paragraph" w:customStyle="1" w:styleId="13">
    <w:name w:val="Body Text Indent1"/>
    <w:basedOn w:val="1"/>
    <w:qFormat/>
    <w:uiPriority w:val="0"/>
    <w:pPr>
      <w:spacing w:after="120" w:afterLines="0"/>
      <w:ind w:left="420" w:leftChars="200"/>
    </w:pPr>
  </w:style>
  <w:style w:type="character" w:customStyle="1" w:styleId="14">
    <w:name w:val="font31"/>
    <w:basedOn w:val="11"/>
    <w:qFormat/>
    <w:uiPriority w:val="0"/>
    <w:rPr>
      <w:rFonts w:ascii="仿宋_GB2312" w:eastAsia="仿宋_GB2312" w:cs="仿宋_GB2312"/>
      <w:color w:val="000000"/>
      <w:sz w:val="22"/>
      <w:szCs w:val="22"/>
      <w:u w:val="none"/>
    </w:rPr>
  </w:style>
  <w:style w:type="paragraph" w:customStyle="1" w:styleId="15">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1756</Words>
  <Characters>1817</Characters>
  <Lines>0</Lines>
  <Paragraphs>0</Paragraphs>
  <TotalTime>2</TotalTime>
  <ScaleCrop>false</ScaleCrop>
  <LinksUpToDate>false</LinksUpToDate>
  <CharactersWithSpaces>1821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2022-01-17T03:48:00Z</dcterms:created>
  <dc:creator>lenovo</dc:creator>
  <cp:lastModifiedBy>闲余</cp:lastModifiedBy>
  <cp:lastPrinted>2023-09-10T06:45:00Z</cp:lastPrinted>
  <dcterms:modified xsi:type="dcterms:W3CDTF">2026-09-09T03:32:30Z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CDA65C1E545746548BC4F5B182181309_13</vt:lpwstr>
  </property>
  <property fmtid="{D5CDD505-2E9C-101B-9397-08002B2CF9AE}" pid="4" name="KSOTemplateDocerSaveRecord">
    <vt:lpwstr>eyJoZGlkIjoiZGVhMjMxMjNmMDViM2I3NjMyMzMwOTkzMTE3ZGQzZmMiLCJ1c2VySWQiOiIxMzcwOTYzMjY1In0=</vt:lpwstr>
  </property>
</Properties>
</file>