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F0356B">
      <w:pPr>
        <w:keepNext w:val="0"/>
        <w:keepLines w:val="0"/>
        <w:pageBreakBefore w:val="0"/>
        <w:widowControl/>
        <w:kinsoku/>
        <w:wordWrap/>
        <w:overflowPunct/>
        <w:topLinePunct w:val="0"/>
        <w:autoSpaceDE w:val="0"/>
        <w:autoSpaceDN w:val="0"/>
        <w:bidi w:val="0"/>
        <w:adjustRightInd w:val="0"/>
        <w:snapToGrid w:val="0"/>
        <w:spacing w:line="700" w:lineRule="exact"/>
        <w:jc w:val="center"/>
        <w:textAlignment w:val="baseline"/>
        <w:rPr>
          <w:sz w:val="32"/>
          <w:szCs w:val="32"/>
        </w:rPr>
      </w:pPr>
      <w:r>
        <w:rPr>
          <w:rFonts w:hint="eastAsia" w:ascii="微软雅黑" w:hAnsi="微软雅黑" w:eastAsia="微软雅黑" w:cs="微软雅黑"/>
          <w:sz w:val="44"/>
          <w:szCs w:val="44"/>
          <w:lang w:eastAsia="zh-CN"/>
        </w:rPr>
        <w:t>《长汀县划拨项目土地价款收取办法（征求意见稿）》</w:t>
      </w:r>
      <w:r>
        <w:rPr>
          <w:rFonts w:hint="eastAsia" w:ascii="微软雅黑" w:hAnsi="微软雅黑" w:eastAsia="微软雅黑" w:cs="微软雅黑"/>
          <w:sz w:val="44"/>
          <w:szCs w:val="44"/>
        </w:rPr>
        <w:t>起草说明</w:t>
      </w:r>
    </w:p>
    <w:p w14:paraId="2FBCD99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kern w:val="0"/>
          <w:sz w:val="32"/>
          <w:szCs w:val="32"/>
          <w:lang w:val="en"/>
        </w:rPr>
      </w:pPr>
      <w:bookmarkStart w:id="1" w:name="_GoBack"/>
      <w:bookmarkStart w:id="0" w:name="ZS"/>
      <w:r>
        <w:rPr>
          <w:rFonts w:hint="eastAsia" w:ascii="仿宋" w:hAnsi="仿宋" w:eastAsia="仿宋" w:cs="仿宋"/>
          <w:kern w:val="0"/>
          <w:sz w:val="32"/>
          <w:szCs w:val="32"/>
          <w:lang w:val="en"/>
        </w:rPr>
        <w:t>现将《长汀县划拨项目土地价款收取</w:t>
      </w:r>
      <w:r>
        <w:rPr>
          <w:rFonts w:hint="eastAsia" w:ascii="仿宋" w:hAnsi="仿宋" w:eastAsia="仿宋" w:cs="仿宋"/>
          <w:kern w:val="0"/>
          <w:sz w:val="32"/>
          <w:szCs w:val="32"/>
          <w:lang w:val="en" w:eastAsia="zh-CN"/>
        </w:rPr>
        <w:t>办法</w:t>
      </w:r>
      <w:r>
        <w:rPr>
          <w:rFonts w:hint="eastAsia" w:ascii="仿宋" w:hAnsi="仿宋" w:eastAsia="仿宋" w:cs="仿宋"/>
          <w:kern w:val="0"/>
          <w:sz w:val="32"/>
          <w:szCs w:val="32"/>
          <w:lang w:val="en"/>
        </w:rPr>
        <w:t>》（</w:t>
      </w:r>
      <w:r>
        <w:rPr>
          <w:rFonts w:hint="eastAsia" w:ascii="仿宋" w:hAnsi="仿宋" w:eastAsia="仿宋" w:cs="仿宋"/>
          <w:kern w:val="0"/>
          <w:sz w:val="32"/>
          <w:szCs w:val="32"/>
          <w:lang w:val="en" w:eastAsia="zh-CN"/>
        </w:rPr>
        <w:t>征求意见稿，</w:t>
      </w:r>
      <w:r>
        <w:rPr>
          <w:rFonts w:hint="eastAsia" w:ascii="仿宋" w:hAnsi="仿宋" w:eastAsia="仿宋" w:cs="仿宋"/>
          <w:kern w:val="0"/>
          <w:sz w:val="32"/>
          <w:szCs w:val="32"/>
          <w:lang w:val="en"/>
        </w:rPr>
        <w:t>以下简称《</w:t>
      </w:r>
      <w:r>
        <w:rPr>
          <w:rFonts w:hint="eastAsia" w:ascii="仿宋" w:hAnsi="仿宋" w:eastAsia="仿宋" w:cs="仿宋"/>
          <w:kern w:val="0"/>
          <w:sz w:val="32"/>
          <w:szCs w:val="32"/>
          <w:lang w:val="en" w:eastAsia="zh-CN"/>
        </w:rPr>
        <w:t>办法</w:t>
      </w:r>
      <w:r>
        <w:rPr>
          <w:rFonts w:hint="eastAsia" w:ascii="仿宋" w:hAnsi="仿宋" w:eastAsia="仿宋" w:cs="仿宋"/>
          <w:kern w:val="0"/>
          <w:sz w:val="32"/>
          <w:szCs w:val="32"/>
          <w:lang w:val="en"/>
        </w:rPr>
        <w:t>》）起草说明如下：</w:t>
      </w:r>
    </w:p>
    <w:bookmarkEnd w:id="0"/>
    <w:p w14:paraId="788CCB8E">
      <w:pPr>
        <w:keepNext w:val="0"/>
        <w:keepLines w:val="0"/>
        <w:pageBreakBefore w:val="0"/>
        <w:kinsoku/>
        <w:wordWrap/>
        <w:overflowPunct/>
        <w:topLinePunct w:val="0"/>
        <w:autoSpaceDE/>
        <w:autoSpaceDN/>
        <w:bidi w:val="0"/>
        <w:adjustRightInd/>
        <w:snapToGrid/>
        <w:spacing w:line="560" w:lineRule="exact"/>
        <w:ind w:firstLine="800" w:firstLineChars="250"/>
        <w:textAlignment w:val="auto"/>
        <w:rPr>
          <w:rFonts w:hint="eastAsia" w:ascii="黑体" w:eastAsia="黑体"/>
          <w:sz w:val="32"/>
          <w:szCs w:val="32"/>
        </w:rPr>
      </w:pPr>
      <w:r>
        <w:rPr>
          <w:rFonts w:hint="eastAsia" w:ascii="黑体" w:eastAsia="黑体"/>
          <w:sz w:val="32"/>
          <w:szCs w:val="32"/>
        </w:rPr>
        <w:t>一、《</w:t>
      </w:r>
      <w:r>
        <w:rPr>
          <w:rFonts w:hint="eastAsia" w:ascii="黑体" w:eastAsia="黑体"/>
          <w:sz w:val="32"/>
          <w:szCs w:val="32"/>
          <w:lang w:eastAsia="zh-CN"/>
        </w:rPr>
        <w:t>办法</w:t>
      </w:r>
      <w:r>
        <w:rPr>
          <w:rFonts w:hint="eastAsia" w:ascii="黑体" w:eastAsia="黑体"/>
          <w:sz w:val="32"/>
          <w:szCs w:val="32"/>
        </w:rPr>
        <w:t>》起草的背景和必要性</w:t>
      </w:r>
    </w:p>
    <w:p w14:paraId="45363AE2">
      <w:pPr>
        <w:keepNext w:val="0"/>
        <w:keepLines w:val="0"/>
        <w:pageBreakBefore w:val="0"/>
        <w:kinsoku/>
        <w:wordWrap/>
        <w:overflowPunct/>
        <w:topLinePunct w:val="0"/>
        <w:autoSpaceDE/>
        <w:autoSpaceDN/>
        <w:bidi w:val="0"/>
        <w:adjustRightInd/>
        <w:snapToGrid/>
        <w:spacing w:line="560" w:lineRule="exact"/>
        <w:ind w:firstLine="627" w:firstLineChars="196"/>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当前我县划拨类建设用地分为新增征地划拨、存量划拨转出让补缴价款两类情形，原有土地价款核算规则分散在各类法律、部委文件中，缺乏统一、本地化、可落地的标准化征收口径，存在业务核算标准不统一、项目报审材料口径混乱、政策支撑不足等问题。</w:t>
      </w:r>
    </w:p>
    <w:p w14:paraId="4B6F547A">
      <w:pPr>
        <w:keepNext w:val="0"/>
        <w:keepLines w:val="0"/>
        <w:pageBreakBefore w:val="0"/>
        <w:kinsoku/>
        <w:wordWrap/>
        <w:overflowPunct/>
        <w:topLinePunct w:val="0"/>
        <w:autoSpaceDE/>
        <w:autoSpaceDN/>
        <w:bidi w:val="0"/>
        <w:adjustRightInd/>
        <w:snapToGrid/>
        <w:spacing w:line="560" w:lineRule="exact"/>
        <w:ind w:firstLine="627" w:firstLineChars="196"/>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我局作为自然资源管理职能部门，一直以来高度重视行政管理政策文件的制定和使用。</w:t>
      </w:r>
      <w:r>
        <w:rPr>
          <w:rFonts w:hint="eastAsia" w:ascii="仿宋" w:hAnsi="仿宋" w:eastAsia="仿宋" w:cs="仿宋"/>
          <w:color w:val="000000"/>
          <w:kern w:val="0"/>
          <w:sz w:val="32"/>
          <w:szCs w:val="32"/>
          <w:lang w:val="en-US" w:eastAsia="zh-CN" w:bidi="ar"/>
        </w:rPr>
        <w:t>为统一全市划拨用地价款征收标准，规范自然资源供地审核、财政资金收缴管理，明晰划拨项目土地价款核算规则，实现征收流程标准化、政策依据清晰化、资金管理规范化，依据土地管理相关法律法规及上级政策文件，启动《长汀县划拨项目土地价款收取办法》（以下简称《办法》）起草工作。</w:t>
      </w:r>
    </w:p>
    <w:p w14:paraId="569B14A3">
      <w:pPr>
        <w:keepNext w:val="0"/>
        <w:keepLines w:val="0"/>
        <w:pageBreakBefore w:val="0"/>
        <w:kinsoku/>
        <w:wordWrap/>
        <w:overflowPunct/>
        <w:topLinePunct w:val="0"/>
        <w:autoSpaceDE/>
        <w:autoSpaceDN/>
        <w:bidi w:val="0"/>
        <w:adjustRightInd/>
        <w:snapToGrid/>
        <w:spacing w:line="560" w:lineRule="exact"/>
        <w:ind w:firstLine="800" w:firstLineChars="250"/>
        <w:textAlignment w:val="auto"/>
        <w:rPr>
          <w:rFonts w:hint="eastAsia" w:ascii="仿宋" w:hAnsi="仿宋" w:eastAsia="仿宋" w:cs="仿宋"/>
          <w:sz w:val="32"/>
          <w:szCs w:val="32"/>
        </w:rPr>
      </w:pPr>
      <w:r>
        <w:rPr>
          <w:rFonts w:hint="eastAsia" w:ascii="黑体" w:eastAsia="黑体"/>
          <w:sz w:val="32"/>
          <w:szCs w:val="32"/>
        </w:rPr>
        <w:t>二、制定《</w:t>
      </w:r>
      <w:r>
        <w:rPr>
          <w:rFonts w:hint="eastAsia" w:ascii="黑体" w:eastAsia="黑体"/>
          <w:sz w:val="32"/>
          <w:szCs w:val="32"/>
          <w:lang w:eastAsia="zh-CN"/>
        </w:rPr>
        <w:t>办法</w:t>
      </w:r>
      <w:r>
        <w:rPr>
          <w:rFonts w:hint="eastAsia" w:ascii="黑体" w:eastAsia="黑体"/>
          <w:sz w:val="32"/>
          <w:szCs w:val="32"/>
        </w:rPr>
        <w:t>》的</w:t>
      </w:r>
      <w:r>
        <w:rPr>
          <w:rFonts w:hint="eastAsia" w:ascii="黑体" w:eastAsia="黑体"/>
          <w:sz w:val="32"/>
          <w:szCs w:val="32"/>
          <w:lang w:eastAsia="zh-CN"/>
        </w:rPr>
        <w:t>政策</w:t>
      </w:r>
      <w:r>
        <w:rPr>
          <w:rFonts w:hint="eastAsia" w:ascii="黑体" w:eastAsia="黑体"/>
          <w:sz w:val="32"/>
          <w:szCs w:val="32"/>
        </w:rPr>
        <w:t>依据</w:t>
      </w:r>
    </w:p>
    <w:p w14:paraId="5F7C2B5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中华人民共和国土地管理法》第五十四条“建设单位使用国有土地，应当以出让等有偿使用方式取得；但是，下列建设用地，经县级以上人民政府依法批准，可以以划拨方式取得：（一）国家机关用地和军事用地；（二）城市基础设施用地和公益事业用地；（三）国家重点扶持的能源、交通、水利等基础设施用地；（四）法律、行政法规规定的其他用地。”</w:t>
      </w:r>
    </w:p>
    <w:p w14:paraId="0EFF654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中华人民共和国城市房地产管理法》第二十三条“土地使用权划拨，是指县级以上人民政府依法批准，在土地使用者缴纳补偿、安置等费用后将该幅土地交付其使用，或者将土地使用权无偿交付给土地使用者使用的行为。”</w:t>
      </w:r>
    </w:p>
    <w:p w14:paraId="3AE4295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（三）《划拨用地目录》有关土地使用权的划拨范围的相关规定。</w:t>
      </w:r>
    </w:p>
    <w:p w14:paraId="6DD8D4A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（四）《国务院办公厅关于规范国有土地使用权出让收支管理的通知》（国办发〔2006〕100号）</w:t>
      </w:r>
    </w:p>
    <w:p w14:paraId="273A027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（五）《国有土地使用权出让收支管理办法》财综〔2006〕68号。</w:t>
      </w:r>
    </w:p>
    <w:p w14:paraId="566172B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（六）中华人民共和国国家标准《土地利用现状分类》（GBT21010-2017）有关土地利用分类的规定。</w:t>
      </w:r>
    </w:p>
    <w:p w14:paraId="5A02F46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w:t>
      </w:r>
      <w:r>
        <w:rPr>
          <w:rFonts w:hint="eastAsia" w:ascii="仿宋" w:hAnsi="仿宋" w:eastAsia="仿宋" w:cs="仿宋"/>
          <w:sz w:val="32"/>
          <w:szCs w:val="32"/>
          <w:lang w:val="en" w:eastAsia="zh-CN"/>
        </w:rPr>
        <w:t>《自然资源部关于印发&lt;国土空间调查、规划、用途管制用地用海分类指南&gt;的通知》（自然资发〔2023〕234号）</w:t>
      </w:r>
      <w:r>
        <w:rPr>
          <w:rFonts w:hint="eastAsia" w:ascii="仿宋" w:hAnsi="仿宋" w:eastAsia="仿宋" w:cs="仿宋"/>
          <w:sz w:val="32"/>
          <w:szCs w:val="32"/>
          <w:lang w:val="en-US" w:eastAsia="zh-CN"/>
        </w:rPr>
        <w:t>有关用地分类的规定。</w:t>
      </w:r>
    </w:p>
    <w:p w14:paraId="59A90E1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（八）《长汀县人民政府办公室关于印发长汀县进一步加强耕地保护监督工作方案的通知》（汀政办〔2021〕23号）</w:t>
      </w:r>
    </w:p>
    <w:p w14:paraId="1E163B9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（九）《福建省征地补偿和被征地农民社会保障办法》（省政府令第177号）</w:t>
      </w:r>
    </w:p>
    <w:p w14:paraId="198FED4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中华人民共和国森林法》第三十七条“矿藏勘查、开采以及其他各类工程建设，确需占用林地的，应当经县级以上人民政府林业主管部门审核同意，依法办理建设用地审批手续。占用林地的单位应当缴纳森林植被恢复费。森林植被恢复费征收使用管理办法由国务院财政部门会同林业主管部门制定”。</w:t>
      </w:r>
    </w:p>
    <w:p w14:paraId="439C845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（十一）《中华人民共和国森林法实施条例》（国务院令第 278 号）第十六条“用地单位向林业部门申请占用 / 征收林地，审核同意后预交森林植被恢复费，取得《使用林地审核同意书》，自然资源部门方可受理征地、建设用地报批；未缴该费用，征地手续无法推进，属于土地报批法定刚性支出”。</w:t>
      </w:r>
    </w:p>
    <w:p w14:paraId="6B997D0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（十二）《基本建设项目建设成本管理规定》（财建〔2016〕504 号，财政部）第四条“待摊投资支出包含：土地征用及迁移补偿费、土地复垦及补偿费、森林植被恢复费及其他为取得或租用土地使用权而发生的费用”。</w:t>
      </w:r>
    </w:p>
    <w:p w14:paraId="2F3E16E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（十三）《森林植被恢复费征收使用管理暂行办法》（财综〔2002〕73 号）</w:t>
      </w:r>
    </w:p>
    <w:p w14:paraId="1D0485B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1、第二条：森林植被恢复费属于政府性基金，由占用、征收林地的建设单位全额承担，不得转嫁给村集体、被征地农户；</w:t>
      </w:r>
    </w:p>
    <w:p w14:paraId="27A54E1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2、第十二条：费用专款专用，仅用于林业部门异地造林恢复植被，不属于对农民、村集体的征地补偿款</w:t>
      </w:r>
    </w:p>
    <w:p w14:paraId="0437DF8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（十四）财税〔2015〕122 号（财政部、国家林草局）</w:t>
      </w:r>
    </w:p>
    <w:p w14:paraId="085FC12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森林植被恢复费标准按照恢复同等面积森林植被的造林、管护成本核定，是建设项目占用林地必须支付的生态成本，纳入项目前期土地报批总投资</w:t>
      </w:r>
    </w:p>
    <w:p w14:paraId="3F093CC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黑体" w:eastAsia="黑体"/>
          <w:sz w:val="32"/>
          <w:szCs w:val="32"/>
          <w:lang w:val="en-US" w:eastAsia="zh-CN"/>
        </w:rPr>
      </w:pPr>
      <w:r>
        <w:rPr>
          <w:rFonts w:hint="eastAsia" w:ascii="黑体" w:eastAsia="黑体"/>
          <w:sz w:val="32"/>
          <w:szCs w:val="32"/>
          <w:lang w:val="en-US" w:eastAsia="zh-CN"/>
        </w:rPr>
        <w:t>三、制定过程</w:t>
      </w:r>
    </w:p>
    <w:p w14:paraId="4592A20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根据《长汀县人民政府重大行政决策程序实施办法（试行）》汀政规〔2023〕4号等相关规定,我局已按文件规定完成调研起草、集体讨论等程序。</w:t>
      </w:r>
    </w:p>
    <w:p w14:paraId="02D2C6D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2026年6月30日,我局组织县财政、审计、税务、人社、司法、林业等单位及局相关股室召开《长汀县划拨项目土地价款收取标准》研讨会。</w:t>
      </w:r>
    </w:p>
    <w:p w14:paraId="524A268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2026年7月1日，我局通过内网发送《标准（征求意见稿）》向县财政、审计、税务、人社、司法、林业等单位征求意见。7月3日，县财政局、税务局反馈修改意见，7月29日县司法局反馈修改意见，其余单位未反馈修改意见。已根据县财政局、税务局、司法局反馈意见对《标准》修改完善。</w:t>
      </w:r>
    </w:p>
    <w:p w14:paraId="5F5BC8A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2026年8月6日，县自然资源局组织相关专家及财政局、审计局、人社局、司法局、林业局、部分人大代表、部分政协委员等单位人员及局相关股室就《标准（征求意见稿）》进行了会议论证。专家组一致同意该项目通过论证，建议将标题《长汀县划拨项目土地价款收取标准》更改为《长汀县划拨项目土地价款收取办法》并根据各专家意见修改完善后进行公开征求意见 。</w:t>
      </w:r>
    </w:p>
    <w:p w14:paraId="781F1B0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黑体" w:eastAsia="黑体"/>
          <w:sz w:val="32"/>
          <w:szCs w:val="32"/>
          <w:lang w:val="en-US" w:eastAsia="zh-CN"/>
        </w:rPr>
      </w:pPr>
      <w:r>
        <w:rPr>
          <w:rFonts w:hint="eastAsia" w:ascii="黑体" w:eastAsia="黑体"/>
          <w:sz w:val="32"/>
          <w:szCs w:val="32"/>
          <w:lang w:val="en-US" w:eastAsia="zh-CN"/>
        </w:rPr>
        <w:t>四、主要内容</w:t>
      </w:r>
    </w:p>
    <w:p w14:paraId="7D93846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（一）划拨土地价款构成</w:t>
      </w:r>
    </w:p>
    <w:p w14:paraId="603B9BE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项目土地征收报批费用。划拨项目使用土地应缴纳的征收成本（含土地补偿费、安置补助费、地上附着物和青苗补偿费、拆迁补偿费等费用，不含征地管理费）；如涉及农用地转用的，还需缴纳耕地开垦费（没有条件开垦或者开垦的耕地不符合要求的）、被征地农民社会保障资金、新增建设用地有偿使用费等相关税费。如涉及占用林地的，依法缴纳森林植被恢复费。</w:t>
      </w:r>
    </w:p>
    <w:p w14:paraId="27721DB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补充耕地指标使用费。划拨项目使用耕地应支出的补充耕地指标使用费，具体费用以实际占用耕地面积按《长汀县人民政府办公室关于印发长汀县进一步加强耕地保护监督工作方案的通知》（汀政办〔2021〕23号）计算。</w:t>
      </w:r>
    </w:p>
    <w:p w14:paraId="5AF7180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（二）使用收回项目土地或存量土地项目的土地价款</w:t>
      </w:r>
    </w:p>
    <w:p w14:paraId="5AB1294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1、使用收回的项目土地的，具体价款以收回成本作为核算依据；若无偿收回的，则溯源地块原取得成本。</w:t>
      </w:r>
    </w:p>
    <w:p w14:paraId="0D81852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使用存量土地的，其应缴交的土地征迁费用、耕地开垦费（没有条件开垦或者开垦的耕地不符合要求的）、被征地农民社会保障资金、新增建设用地有偿使用费、耕地占补平衡指标使用费等费用，应当以该宗土地收回前的原用途地类作为核算依据。</w:t>
      </w:r>
    </w:p>
    <w:p w14:paraId="4CC47C4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（三）缴款方式</w:t>
      </w:r>
    </w:p>
    <w:p w14:paraId="2508411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应缴纳的土地价款由土地使用权人在项目《划拨决定书》下发后按规定向税务部门缴交。</w:t>
      </w:r>
    </w:p>
    <w:p w14:paraId="6DD1AE5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14:paraId="7EC4BB7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5440" w:firstLineChars="17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长汀县自然资源局</w:t>
      </w:r>
    </w:p>
    <w:p w14:paraId="4D75D6A7">
      <w:pPr>
        <w:keepNext w:val="0"/>
        <w:keepLines w:val="0"/>
        <w:pageBreakBefore w:val="0"/>
        <w:widowControl w:val="0"/>
        <w:kinsoku/>
        <w:wordWrap/>
        <w:overflowPunct/>
        <w:topLinePunct w:val="0"/>
        <w:autoSpaceDE/>
        <w:autoSpaceDN/>
        <w:bidi w:val="0"/>
        <w:adjustRightInd/>
        <w:snapToGrid/>
        <w:spacing w:line="560" w:lineRule="exact"/>
        <w:ind w:right="0" w:rightChars="0" w:firstLine="5440" w:firstLineChars="17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2026年8月14日</w:t>
      </w:r>
      <w:bookmarkEnd w:id="1"/>
      <w:r>
        <w:rPr>
          <w:rFonts w:hint="eastAsia" w:ascii="仿宋" w:hAnsi="仿宋" w:eastAsia="仿宋" w:cs="仿宋"/>
          <w:sz w:val="32"/>
          <w:szCs w:val="32"/>
          <w:lang w:val="en-US" w:eastAsia="zh-CN"/>
        </w:rPr>
        <w:t xml:space="preserve"> </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5B72858-62DF-440A-B948-811344FB069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embedRegular r:id="rId2" w:fontKey="{BBB3BCA9-1BA3-42D3-A8E6-34E2C3270B42}"/>
  </w:font>
  <w:font w:name="仿宋">
    <w:panose1 w:val="02010609060101010101"/>
    <w:charset w:val="86"/>
    <w:family w:val="auto"/>
    <w:pitch w:val="default"/>
    <w:sig w:usb0="800002BF" w:usb1="38CF7CFA" w:usb2="00000016" w:usb3="00000000" w:csb0="00040001" w:csb1="00000000"/>
    <w:embedRegular r:id="rId3" w:fontKey="{8A9295D7-A984-41CA-AA60-AB342975916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82CA1">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B4E63D5">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2B4E63D5">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7"/>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2ZmJkYzkzYTNiMTEzNTFjOGZiYjQ1MGUyMGYyYTkifQ=="/>
  </w:docVars>
  <w:rsids>
    <w:rsidRoot w:val="00000000"/>
    <w:rsid w:val="045C1F77"/>
    <w:rsid w:val="082A5C8F"/>
    <w:rsid w:val="0F1A17AB"/>
    <w:rsid w:val="0F474DFC"/>
    <w:rsid w:val="0F7FA64F"/>
    <w:rsid w:val="10843F98"/>
    <w:rsid w:val="16C73611"/>
    <w:rsid w:val="17210B56"/>
    <w:rsid w:val="194F322A"/>
    <w:rsid w:val="19ED0C8A"/>
    <w:rsid w:val="1AF5760A"/>
    <w:rsid w:val="1D1E0C1F"/>
    <w:rsid w:val="209F285B"/>
    <w:rsid w:val="21E14C3C"/>
    <w:rsid w:val="243911A7"/>
    <w:rsid w:val="28C66939"/>
    <w:rsid w:val="29E452C9"/>
    <w:rsid w:val="2B5B780D"/>
    <w:rsid w:val="2FB7B6EF"/>
    <w:rsid w:val="30CD1C39"/>
    <w:rsid w:val="35727C2D"/>
    <w:rsid w:val="396F1DE5"/>
    <w:rsid w:val="39932868"/>
    <w:rsid w:val="39DFBC87"/>
    <w:rsid w:val="3A0472C2"/>
    <w:rsid w:val="3B3F02A2"/>
    <w:rsid w:val="3B751571"/>
    <w:rsid w:val="3B8C42C6"/>
    <w:rsid w:val="3D7BD70E"/>
    <w:rsid w:val="3DB80C2B"/>
    <w:rsid w:val="3F7F83D1"/>
    <w:rsid w:val="3FDFC452"/>
    <w:rsid w:val="3FE75919"/>
    <w:rsid w:val="3FFF9DBD"/>
    <w:rsid w:val="403F1053"/>
    <w:rsid w:val="40E85247"/>
    <w:rsid w:val="435A10D1"/>
    <w:rsid w:val="45AA6F6F"/>
    <w:rsid w:val="49437BAB"/>
    <w:rsid w:val="4A12605B"/>
    <w:rsid w:val="4A286DF8"/>
    <w:rsid w:val="4C4F6AC2"/>
    <w:rsid w:val="4D7C5695"/>
    <w:rsid w:val="4F7F8EBB"/>
    <w:rsid w:val="4FDF015D"/>
    <w:rsid w:val="51E27A91"/>
    <w:rsid w:val="549C661D"/>
    <w:rsid w:val="57AE3F0A"/>
    <w:rsid w:val="57F79DD5"/>
    <w:rsid w:val="589D443B"/>
    <w:rsid w:val="58D5034F"/>
    <w:rsid w:val="59417793"/>
    <w:rsid w:val="5B5C41C2"/>
    <w:rsid w:val="5B5F4998"/>
    <w:rsid w:val="5BFB621B"/>
    <w:rsid w:val="5C12670D"/>
    <w:rsid w:val="5D663681"/>
    <w:rsid w:val="5DFFBA55"/>
    <w:rsid w:val="5EF36324"/>
    <w:rsid w:val="5EFF3ADD"/>
    <w:rsid w:val="5F38E863"/>
    <w:rsid w:val="5F6E2747"/>
    <w:rsid w:val="5F6E5059"/>
    <w:rsid w:val="5FA7E892"/>
    <w:rsid w:val="5FFE40C9"/>
    <w:rsid w:val="61A0784F"/>
    <w:rsid w:val="63531CE8"/>
    <w:rsid w:val="66723681"/>
    <w:rsid w:val="67BB8972"/>
    <w:rsid w:val="67EFABF9"/>
    <w:rsid w:val="67F325A0"/>
    <w:rsid w:val="6A71A615"/>
    <w:rsid w:val="6BA42A65"/>
    <w:rsid w:val="6C696E1E"/>
    <w:rsid w:val="6E9EB227"/>
    <w:rsid w:val="6F55ED81"/>
    <w:rsid w:val="6FB19774"/>
    <w:rsid w:val="6FD01A8C"/>
    <w:rsid w:val="6FDFD1F5"/>
    <w:rsid w:val="6FEFBD8B"/>
    <w:rsid w:val="71A4050B"/>
    <w:rsid w:val="72BDEB51"/>
    <w:rsid w:val="73F70623"/>
    <w:rsid w:val="73FBECB8"/>
    <w:rsid w:val="75526BCE"/>
    <w:rsid w:val="75B73C8E"/>
    <w:rsid w:val="76FBCC03"/>
    <w:rsid w:val="7753C757"/>
    <w:rsid w:val="777E72A1"/>
    <w:rsid w:val="77BA4E88"/>
    <w:rsid w:val="77BD53AE"/>
    <w:rsid w:val="78D863D1"/>
    <w:rsid w:val="78F9F292"/>
    <w:rsid w:val="797C3044"/>
    <w:rsid w:val="79DFEAB5"/>
    <w:rsid w:val="79F116A0"/>
    <w:rsid w:val="7ABC02D4"/>
    <w:rsid w:val="7BEE1FC4"/>
    <w:rsid w:val="7BFF6F34"/>
    <w:rsid w:val="7C43369E"/>
    <w:rsid w:val="7C6B1BE1"/>
    <w:rsid w:val="7D7F1C62"/>
    <w:rsid w:val="7DBF1C06"/>
    <w:rsid w:val="7DBFB2B1"/>
    <w:rsid w:val="7DFD391C"/>
    <w:rsid w:val="7E3B7ADC"/>
    <w:rsid w:val="7EF76977"/>
    <w:rsid w:val="7F793A8B"/>
    <w:rsid w:val="7F9F6F7F"/>
    <w:rsid w:val="7FCB2137"/>
    <w:rsid w:val="7FCFEC2D"/>
    <w:rsid w:val="7FD59506"/>
    <w:rsid w:val="7FD72760"/>
    <w:rsid w:val="7FDB3AFE"/>
    <w:rsid w:val="7FED017C"/>
    <w:rsid w:val="7FEE7096"/>
    <w:rsid w:val="7FFEDB64"/>
    <w:rsid w:val="7FFF7E07"/>
    <w:rsid w:val="979F2158"/>
    <w:rsid w:val="9AD69446"/>
    <w:rsid w:val="9FDF9D76"/>
    <w:rsid w:val="9FF7388A"/>
    <w:rsid w:val="A3AFE54B"/>
    <w:rsid w:val="A7F1C6C4"/>
    <w:rsid w:val="AFD8DA5D"/>
    <w:rsid w:val="B26D7538"/>
    <w:rsid w:val="B2FE5409"/>
    <w:rsid w:val="B3FE4F22"/>
    <w:rsid w:val="B5FF41AF"/>
    <w:rsid w:val="B7B75572"/>
    <w:rsid w:val="B97FFC73"/>
    <w:rsid w:val="B9CB2626"/>
    <w:rsid w:val="B9E910A3"/>
    <w:rsid w:val="BBE932E3"/>
    <w:rsid w:val="BD76156F"/>
    <w:rsid w:val="BDC6279A"/>
    <w:rsid w:val="BF79B64D"/>
    <w:rsid w:val="BFA49419"/>
    <w:rsid w:val="BFE745D0"/>
    <w:rsid w:val="BFEEFBF4"/>
    <w:rsid w:val="BFEF5E24"/>
    <w:rsid w:val="BFF3EFA8"/>
    <w:rsid w:val="BFF7E552"/>
    <w:rsid w:val="BFFEC186"/>
    <w:rsid w:val="CFF7225E"/>
    <w:rsid w:val="D3FC55C8"/>
    <w:rsid w:val="D5F990B5"/>
    <w:rsid w:val="D5FD8436"/>
    <w:rsid w:val="D7FF5948"/>
    <w:rsid w:val="DC75DD97"/>
    <w:rsid w:val="DCD7A85C"/>
    <w:rsid w:val="DDFF3FAE"/>
    <w:rsid w:val="DEEBD740"/>
    <w:rsid w:val="DEFF29CB"/>
    <w:rsid w:val="DFD5310D"/>
    <w:rsid w:val="DFF7A1B5"/>
    <w:rsid w:val="DFFF7EE6"/>
    <w:rsid w:val="E3F95ED8"/>
    <w:rsid w:val="E5BD7CC7"/>
    <w:rsid w:val="E5BF8A49"/>
    <w:rsid w:val="E5FF3F6A"/>
    <w:rsid w:val="E8BBE7D5"/>
    <w:rsid w:val="E8ED30AA"/>
    <w:rsid w:val="EBE3727D"/>
    <w:rsid w:val="EDCDCDD4"/>
    <w:rsid w:val="EF72D25D"/>
    <w:rsid w:val="EFBBFC92"/>
    <w:rsid w:val="EFBD7421"/>
    <w:rsid w:val="EFFD8DD3"/>
    <w:rsid w:val="F4BFADEE"/>
    <w:rsid w:val="F4F90ED8"/>
    <w:rsid w:val="F65F6C59"/>
    <w:rsid w:val="F95FD65D"/>
    <w:rsid w:val="FADA78D8"/>
    <w:rsid w:val="FB47A698"/>
    <w:rsid w:val="FBD120B9"/>
    <w:rsid w:val="FBFE4894"/>
    <w:rsid w:val="FBFEF518"/>
    <w:rsid w:val="FCEFF6F4"/>
    <w:rsid w:val="FD6E991B"/>
    <w:rsid w:val="FD9EFD0C"/>
    <w:rsid w:val="FDAB5DD0"/>
    <w:rsid w:val="FDAEBB0D"/>
    <w:rsid w:val="FDF7C39A"/>
    <w:rsid w:val="FDFDAAB1"/>
    <w:rsid w:val="FDFF4590"/>
    <w:rsid w:val="FE7C8C4E"/>
    <w:rsid w:val="FEF7CB59"/>
    <w:rsid w:val="FEFEB283"/>
    <w:rsid w:val="FEFF84B1"/>
    <w:rsid w:val="FFBC5644"/>
    <w:rsid w:val="FFCFFE1D"/>
    <w:rsid w:val="FFDFD856"/>
    <w:rsid w:val="FFE7875C"/>
    <w:rsid w:val="FFEF5334"/>
    <w:rsid w:val="FFEF618D"/>
    <w:rsid w:val="FFFB2B9B"/>
    <w:rsid w:val="FFFC1CF0"/>
    <w:rsid w:val="FFFD0D42"/>
    <w:rsid w:val="FFFDECC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szCs w:val="44"/>
    </w:rPr>
  </w:style>
  <w:style w:type="paragraph" w:styleId="3">
    <w:name w:val="heading 3"/>
    <w:basedOn w:val="1"/>
    <w:next w:val="1"/>
    <w:semiHidden/>
    <w:unhideWhenUsed/>
    <w:qFormat/>
    <w:uiPriority w:val="0"/>
    <w:pPr>
      <w:widowControl/>
      <w:spacing w:before="100" w:beforeLines="0" w:beforeAutospacing="1" w:after="100" w:afterLines="0" w:afterAutospacing="1"/>
      <w:jc w:val="left"/>
      <w:outlineLvl w:val="2"/>
    </w:pPr>
    <w:rPr>
      <w:rFonts w:ascii="宋体" w:hAnsi="宋体" w:eastAsia="宋体" w:cs="Times New Roman"/>
      <w:b/>
      <w:bCs/>
      <w:kern w:val="0"/>
      <w:sz w:val="27"/>
      <w:szCs w:val="27"/>
      <w:lang w:val="en-US" w:eastAsia="zh-CN" w:bidi="ar-SA"/>
    </w:rPr>
  </w:style>
  <w:style w:type="character" w:default="1" w:styleId="10">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4">
    <w:name w:val="Body Text"/>
    <w:basedOn w:val="1"/>
    <w:qFormat/>
    <w:uiPriority w:val="0"/>
    <w:pPr>
      <w:jc w:val="center"/>
    </w:pPr>
    <w:rPr>
      <w:rFonts w:ascii="Times New Roman" w:hAnsi="Times New Roman" w:eastAsia="宋体" w:cs="Times New Roman"/>
      <w:sz w:val="44"/>
      <w:szCs w:val="24"/>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kern w:val="0"/>
      <w:sz w:val="24"/>
      <w:szCs w:val="24"/>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rPr>
  </w:style>
  <w:style w:type="character" w:customStyle="1" w:styleId="12">
    <w:name w:val="页脚 Char"/>
    <w:basedOn w:val="10"/>
    <w:link w:val="5"/>
    <w:semiHidden/>
    <w:qFormat/>
    <w:uiPriority w:val="99"/>
    <w:rPr>
      <w:sz w:val="18"/>
      <w:szCs w:val="18"/>
    </w:rPr>
  </w:style>
  <w:style w:type="character" w:customStyle="1" w:styleId="13">
    <w:name w:val="页眉 Char"/>
    <w:basedOn w:val="10"/>
    <w:link w:val="6"/>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5</Pages>
  <Words>2446</Words>
  <Characters>2516</Characters>
  <Lines>5</Lines>
  <Paragraphs>1</Paragraphs>
  <TotalTime>2</TotalTime>
  <ScaleCrop>false</ScaleCrop>
  <LinksUpToDate>false</LinksUpToDate>
  <CharactersWithSpaces>2528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2022-02-05T01:36:00Z</dcterms:created>
  <dc:creator>liangdehe</dc:creator>
  <cp:lastModifiedBy>闲余</cp:lastModifiedBy>
  <cp:lastPrinted>2026-08-14T02:27:00Z</cp:lastPrinted>
  <dcterms:modified xsi:type="dcterms:W3CDTF">2026-08-14T03:01:34Z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18744A5370054E8492D553702D42EB42_13</vt:lpwstr>
  </property>
  <property fmtid="{D5CDD505-2E9C-101B-9397-08002B2CF9AE}" pid="4" name="KSOTemplateDocerSaveRecord">
    <vt:lpwstr>eyJoZGlkIjoiZGVhMjMxMjNmMDViM2I3NjMyMzMwOTkzMTE3ZGQzZmMiLCJ1c2VySWQiOiIxMzcwOTYzMjY1In0=</vt:lpwstr>
  </property>
</Properties>
</file>