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5C6B1">
      <w:pPr>
        <w:keepNext w:val="0"/>
        <w:keepLines w:val="0"/>
        <w:pageBreakBefore w:val="0"/>
        <w:widowControl w:val="0"/>
        <w:kinsoku/>
        <w:wordWrap/>
        <w:overflowPunct/>
        <w:topLinePunct w:val="0"/>
        <w:autoSpaceDE/>
        <w:autoSpaceDN/>
        <w:bidi w:val="0"/>
        <w:adjustRightInd/>
        <w:snapToGrid/>
        <w:spacing w:line="540" w:lineRule="exact"/>
        <w:ind w:right="0"/>
        <w:jc w:val="center"/>
        <w:textAlignment w:val="auto"/>
        <w:outlineLvl w:val="9"/>
        <w:rPr>
          <w:rFonts w:hint="eastAsia" w:ascii="方正小标宋简体" w:eastAsia="方正小标宋简体" w:cs="方正小标宋简体"/>
          <w:b w:val="0"/>
          <w:bCs/>
          <w:color w:val="auto"/>
          <w:spacing w:val="0"/>
          <w:w w:val="100"/>
          <w:sz w:val="44"/>
          <w:szCs w:val="44"/>
          <w:lang w:val="en-US" w:eastAsia="zh-CN"/>
        </w:rPr>
      </w:pPr>
      <w:r>
        <w:rPr>
          <w:rFonts w:hint="eastAsia" w:ascii="方正小标宋简体" w:eastAsia="方正小标宋简体" w:cs="方正小标宋简体"/>
          <w:b w:val="0"/>
          <w:bCs/>
          <w:color w:val="auto"/>
          <w:spacing w:val="0"/>
          <w:w w:val="100"/>
          <w:sz w:val="44"/>
          <w:szCs w:val="44"/>
          <w:lang w:val="en-US" w:eastAsia="zh-CN"/>
        </w:rPr>
        <w:t>关于《长汀县</w:t>
      </w:r>
      <w:r>
        <w:rPr>
          <w:rFonts w:ascii="方正小标宋简体" w:eastAsia="方正小标宋简体" w:cs="方正小标宋简体"/>
          <w:b w:val="0"/>
          <w:bCs/>
          <w:color w:val="auto"/>
          <w:spacing w:val="0"/>
          <w:w w:val="100"/>
          <w:sz w:val="44"/>
          <w:szCs w:val="44"/>
          <w:lang w:val="en-US" w:eastAsia="zh-CN"/>
        </w:rPr>
        <w:t>竞技体育奖励办法</w:t>
      </w:r>
      <w:r>
        <w:rPr>
          <w:rFonts w:hint="eastAsia" w:ascii="方正小标宋简体" w:eastAsia="方正小标宋简体" w:cs="方正小标宋简体"/>
          <w:b w:val="0"/>
          <w:bCs/>
          <w:color w:val="auto"/>
          <w:spacing w:val="0"/>
          <w:w w:val="100"/>
          <w:sz w:val="44"/>
          <w:szCs w:val="44"/>
          <w:lang w:val="en-US" w:eastAsia="zh-CN"/>
        </w:rPr>
        <w:t>》的起草说明</w:t>
      </w:r>
    </w:p>
    <w:p w14:paraId="09FFAB87">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hint="eastAsia" w:ascii="仿宋_GB2312" w:eastAsia="仿宋_GB2312" w:cs="仿宋_GB2312"/>
          <w:sz w:val="32"/>
          <w:szCs w:val="40"/>
          <w:lang w:val="en-US" w:eastAsia="zh-CN"/>
        </w:rPr>
      </w:pPr>
    </w:p>
    <w:p w14:paraId="74F44D5B">
      <w:pPr>
        <w:keepNext w:val="0"/>
        <w:keepLines w:val="0"/>
        <w:pageBreakBefore w:val="0"/>
        <w:widowControl w:val="0"/>
        <w:kinsoku/>
        <w:wordWrap/>
        <w:overflowPunct/>
        <w:topLinePunct w:val="0"/>
        <w:autoSpaceDE/>
        <w:autoSpaceDN/>
        <w:bidi w:val="0"/>
        <w:adjustRightInd/>
        <w:snapToGrid/>
        <w:spacing w:line="540" w:lineRule="exact"/>
        <w:ind w:firstLine="616" w:firstLineChars="200"/>
        <w:textAlignment w:val="auto"/>
        <w:rPr>
          <w:rFonts w:ascii="仿宋_GB2312" w:eastAsia="仿宋_GB2312" w:cs="仿宋_GB2312"/>
          <w:sz w:val="32"/>
          <w:szCs w:val="40"/>
          <w:lang w:val="en-US" w:eastAsia="zh-CN"/>
        </w:rPr>
      </w:pPr>
      <w:r>
        <w:rPr>
          <w:rFonts w:hint="eastAsia" w:ascii="仿宋_GB2312" w:eastAsia="仿宋_GB2312" w:cs="仿宋_GB2312"/>
          <w:sz w:val="32"/>
          <w:szCs w:val="40"/>
          <w:lang w:val="en-US" w:eastAsia="zh-CN"/>
        </w:rPr>
        <w:t>现就</w:t>
      </w:r>
      <w:r>
        <w:rPr>
          <w:rFonts w:hint="eastAsia" w:ascii="仿宋_GB2312" w:eastAsia="仿宋_GB2312" w:cs="仿宋_GB2312"/>
          <w:color w:val="000000"/>
          <w:sz w:val="32"/>
          <w:szCs w:val="32"/>
          <w:lang w:val="en-US" w:eastAsia="zh-CN"/>
        </w:rPr>
        <w:t>《</w:t>
      </w:r>
      <w:r>
        <w:rPr>
          <w:rFonts w:hint="eastAsia" w:ascii="仿宋_GB2312" w:cs="仿宋_GB2312"/>
          <w:color w:val="000000"/>
          <w:sz w:val="32"/>
          <w:szCs w:val="32"/>
          <w:lang w:val="en-US" w:eastAsia="zh-CN"/>
        </w:rPr>
        <w:t>长汀县</w:t>
      </w:r>
      <w:r>
        <w:rPr>
          <w:rFonts w:ascii="仿宋_GB2312" w:cs="仿宋_GB2312"/>
          <w:color w:val="000000"/>
          <w:sz w:val="32"/>
          <w:szCs w:val="32"/>
          <w:lang w:val="en-US" w:eastAsia="zh-CN"/>
        </w:rPr>
        <w:t>竞技体育奖励办法</w:t>
      </w:r>
      <w:r>
        <w:rPr>
          <w:rFonts w:hint="eastAsia" w:ascii="仿宋_GB2312" w:eastAsia="仿宋_GB2312" w:cs="仿宋_GB2312"/>
          <w:color w:val="000000"/>
          <w:sz w:val="32"/>
          <w:szCs w:val="32"/>
          <w:lang w:val="en-US" w:eastAsia="zh-CN"/>
        </w:rPr>
        <w:t>》</w:t>
      </w:r>
      <w:r>
        <w:rPr>
          <w:rFonts w:hint="eastAsia" w:ascii="仿宋_GB2312" w:cs="仿宋_GB2312"/>
          <w:color w:val="000000"/>
          <w:sz w:val="32"/>
          <w:szCs w:val="32"/>
          <w:lang w:val="en-US" w:eastAsia="zh-CN"/>
        </w:rPr>
        <w:t>文件</w:t>
      </w:r>
      <w:r>
        <w:rPr>
          <w:rFonts w:hint="eastAsia" w:ascii="仿宋_GB2312" w:eastAsia="仿宋_GB2312" w:cs="仿宋_GB2312"/>
          <w:sz w:val="32"/>
          <w:szCs w:val="40"/>
          <w:lang w:val="en-US" w:eastAsia="zh-CN"/>
        </w:rPr>
        <w:t>有关</w:t>
      </w:r>
      <w:r>
        <w:rPr>
          <w:rFonts w:hint="eastAsia" w:ascii="仿宋_GB2312" w:cs="仿宋_GB2312"/>
          <w:sz w:val="32"/>
          <w:szCs w:val="40"/>
          <w:lang w:val="en-US" w:eastAsia="zh-CN"/>
        </w:rPr>
        <w:t>起草</w:t>
      </w:r>
      <w:r>
        <w:rPr>
          <w:rFonts w:hint="eastAsia" w:ascii="仿宋_GB2312" w:eastAsia="仿宋_GB2312" w:cs="仿宋_GB2312"/>
          <w:sz w:val="32"/>
          <w:szCs w:val="40"/>
          <w:lang w:val="en-US" w:eastAsia="zh-CN"/>
        </w:rPr>
        <w:t>情况说明如下：</w:t>
      </w:r>
    </w:p>
    <w:p w14:paraId="67AFE81F">
      <w:pPr>
        <w:pStyle w:val="6"/>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outlineLvl w:val="9"/>
        <w:rPr>
          <w:rFonts w:hint="eastAsia" w:ascii="黑体" w:eastAsia="黑体" w:cs="宋体"/>
          <w:b w:val="0"/>
          <w:bCs/>
          <w:spacing w:val="0"/>
          <w:w w:val="100"/>
          <w:sz w:val="32"/>
          <w:szCs w:val="32"/>
          <w:lang w:val="en-US" w:eastAsia="zh-CN"/>
        </w:rPr>
      </w:pPr>
      <w:r>
        <w:rPr>
          <w:rFonts w:hint="eastAsia" w:ascii="黑体" w:eastAsia="黑体" w:cs="宋体"/>
          <w:b w:val="0"/>
          <w:bCs/>
          <w:spacing w:val="0"/>
          <w:w w:val="100"/>
          <w:sz w:val="32"/>
          <w:szCs w:val="32"/>
          <w:lang w:val="en-US" w:eastAsia="zh-CN"/>
        </w:rPr>
        <w:t>一、制定的背景和依据</w:t>
      </w:r>
    </w:p>
    <w:p w14:paraId="513C18FE">
      <w:pPr>
        <w:pStyle w:val="6"/>
        <w:keepNext w:val="0"/>
        <w:keepLines w:val="0"/>
        <w:pageBreakBefore w:val="0"/>
        <w:widowControl w:val="0"/>
        <w:kinsoku/>
        <w:wordWrap/>
        <w:overflowPunct/>
        <w:topLinePunct w:val="0"/>
        <w:autoSpaceDE/>
        <w:autoSpaceDN/>
        <w:bidi w:val="0"/>
        <w:adjustRightInd/>
        <w:snapToGrid/>
        <w:spacing w:line="540" w:lineRule="exact"/>
        <w:ind w:left="0" w:right="0" w:firstLine="643" w:firstLineChars="200"/>
        <w:jc w:val="both"/>
        <w:textAlignment w:val="auto"/>
        <w:outlineLvl w:val="9"/>
        <w:rPr>
          <w:rFonts w:hint="eastAsia" w:ascii="仿宋_GB2312" w:eastAsia="仿宋_GB2312" w:cs="仿宋_GB2312"/>
          <w:b/>
          <w:bCs w:val="0"/>
          <w:spacing w:val="0"/>
          <w:w w:val="100"/>
          <w:kern w:val="2"/>
          <w:sz w:val="32"/>
          <w:szCs w:val="32"/>
          <w:lang w:val="en-US" w:eastAsia="zh-CN" w:bidi="ar-SA"/>
        </w:rPr>
      </w:pPr>
      <w:r>
        <w:rPr>
          <w:rFonts w:hint="eastAsia" w:ascii="仿宋_GB2312" w:eastAsia="仿宋_GB2312" w:cs="仿宋_GB2312"/>
          <w:b/>
          <w:bCs w:val="0"/>
          <w:spacing w:val="0"/>
          <w:w w:val="100"/>
          <w:kern w:val="2"/>
          <w:sz w:val="32"/>
          <w:szCs w:val="32"/>
          <w:lang w:val="en-US" w:eastAsia="zh-CN" w:bidi="ar-SA"/>
        </w:rPr>
        <w:t>1.制定的必要性和可行性。</w:t>
      </w:r>
    </w:p>
    <w:p w14:paraId="0EA93134">
      <w:pPr>
        <w:pStyle w:val="6"/>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_GB2312" w:cs="仿宋_GB2312"/>
          <w:bCs/>
          <w:spacing w:val="0"/>
          <w:szCs w:val="32"/>
          <w:lang w:bidi="ar-SA"/>
        </w:rPr>
      </w:pPr>
      <w:r>
        <w:rPr>
          <w:rFonts w:hint="eastAsia" w:ascii="仿宋_GB2312" w:cs="仿宋_GB2312"/>
          <w:bCs/>
          <w:spacing w:val="0"/>
          <w:szCs w:val="32"/>
          <w:lang w:bidi="ar-SA"/>
        </w:rPr>
        <w:t>2010年10月30日中共长汀县委人才办、长汀县人力资源和社会保障局、长汀县财政局、长汀县文化体育和旅游局等四部门印发了《长汀县竞技体育奖励办法》。</w:t>
      </w:r>
      <w:r>
        <w:rPr>
          <w:rFonts w:hint="eastAsia" w:ascii="仿宋_GB2312" w:eastAsia="仿宋_GB2312" w:cs="仿宋_GB2312"/>
          <w:sz w:val="32"/>
          <w:szCs w:val="32"/>
          <w:lang w:bidi="ar-SA"/>
        </w:rPr>
        <w:t>为推动落实国家体育强国战略，激励我县运动员、教练员刻苦训练，努力培养和输送更多更好的优秀体育人才，为国争光，表彰在全国和全省、全市各类体育比赛中获得优秀成绩的运动员、教练员，调动我县广大运动员、教练员的积极性，确保我县竞技体育品牌可持续发展，</w:t>
      </w:r>
      <w:r>
        <w:rPr>
          <w:rFonts w:hint="eastAsia" w:ascii="仿宋_GB2312" w:cs="仿宋_GB2312"/>
          <w:bCs/>
          <w:spacing w:val="0"/>
          <w:szCs w:val="32"/>
          <w:lang w:bidi="ar-SA"/>
        </w:rPr>
        <w:t>结合我县竞技体育发展的实际情况，参照我市其他县（市、区）做法，我局起草修订了《长汀县竞技体育奖励办法》。</w:t>
      </w:r>
    </w:p>
    <w:p w14:paraId="43CAB80A">
      <w:pPr>
        <w:pStyle w:val="6"/>
        <w:keepNext w:val="0"/>
        <w:keepLines w:val="0"/>
        <w:pageBreakBefore w:val="0"/>
        <w:widowControl w:val="0"/>
        <w:kinsoku/>
        <w:wordWrap/>
        <w:overflowPunct/>
        <w:topLinePunct w:val="0"/>
        <w:autoSpaceDE/>
        <w:autoSpaceDN/>
        <w:bidi w:val="0"/>
        <w:adjustRightInd/>
        <w:snapToGrid/>
        <w:spacing w:line="540" w:lineRule="exact"/>
        <w:ind w:left="0" w:right="0" w:firstLine="643" w:firstLineChars="200"/>
        <w:jc w:val="both"/>
        <w:textAlignment w:val="auto"/>
        <w:outlineLvl w:val="9"/>
        <w:rPr>
          <w:rFonts w:hint="eastAsia" w:ascii="仿宋_GB2312" w:cs="仿宋_GB2312"/>
          <w:b/>
          <w:bCs w:val="0"/>
          <w:spacing w:val="0"/>
          <w:w w:val="100"/>
          <w:kern w:val="2"/>
          <w:sz w:val="32"/>
          <w:szCs w:val="32"/>
          <w:lang w:val="en-US" w:eastAsia="zh-CN" w:bidi="ar-SA"/>
        </w:rPr>
      </w:pPr>
      <w:r>
        <w:rPr>
          <w:rFonts w:hint="eastAsia" w:ascii="仿宋_GB2312" w:eastAsia="仿宋_GB2312" w:cs="仿宋_GB2312"/>
          <w:b/>
          <w:bCs w:val="0"/>
          <w:spacing w:val="0"/>
          <w:w w:val="100"/>
          <w:kern w:val="2"/>
          <w:sz w:val="32"/>
          <w:szCs w:val="32"/>
          <w:lang w:val="en-US" w:eastAsia="zh-CN" w:bidi="ar-SA"/>
        </w:rPr>
        <w:t>2.制定依据</w:t>
      </w:r>
      <w:r>
        <w:rPr>
          <w:rFonts w:hint="eastAsia" w:ascii="仿宋_GB2312" w:cs="仿宋_GB2312"/>
          <w:b/>
          <w:bCs w:val="0"/>
          <w:spacing w:val="0"/>
          <w:w w:val="100"/>
          <w:kern w:val="2"/>
          <w:sz w:val="32"/>
          <w:szCs w:val="32"/>
          <w:lang w:val="en-US" w:eastAsia="zh-CN" w:bidi="ar-SA"/>
        </w:rPr>
        <w:t>。</w:t>
      </w:r>
    </w:p>
    <w:p w14:paraId="0008AA6C">
      <w:pPr>
        <w:pStyle w:val="6"/>
        <w:keepNext w:val="0"/>
        <w:keepLines w:val="0"/>
        <w:pageBreakBefore w:val="0"/>
        <w:widowControl w:val="0"/>
        <w:kinsoku/>
        <w:wordWrap/>
        <w:overflowPunct/>
        <w:topLinePunct w:val="0"/>
        <w:autoSpaceDE/>
        <w:autoSpaceDN/>
        <w:adjustRightInd/>
        <w:snapToGrid/>
        <w:spacing w:line="540" w:lineRule="exact"/>
        <w:ind w:left="0" w:firstLine="640" w:firstLineChars="200"/>
        <w:jc w:val="both"/>
        <w:rPr>
          <w:rFonts w:hint="eastAsia" w:ascii="仿宋_GB2312" w:cs="仿宋_GB2312"/>
          <w:bCs/>
          <w:spacing w:val="0"/>
          <w:szCs w:val="32"/>
          <w:lang w:bidi="ar-SA"/>
        </w:rPr>
      </w:pPr>
      <w:r>
        <w:rPr>
          <w:rFonts w:hint="eastAsia" w:ascii="仿宋_GB2312" w:cs="仿宋_GB2312"/>
          <w:bCs/>
          <w:spacing w:val="0"/>
          <w:szCs w:val="32"/>
          <w:lang w:bidi="ar-SA"/>
        </w:rPr>
        <w:t>（1）《国家体育总局关于印发&lt;体育运动员贯彻事业单位工作人员收入分配制度改革方案的实施意见&gt;的通知》（国人部发〔2006〕129号）</w:t>
      </w:r>
    </w:p>
    <w:p w14:paraId="7F622049">
      <w:pPr>
        <w:pStyle w:val="6"/>
        <w:keepNext w:val="0"/>
        <w:keepLines w:val="0"/>
        <w:pageBreakBefore w:val="0"/>
        <w:widowControl w:val="0"/>
        <w:kinsoku/>
        <w:wordWrap/>
        <w:overflowPunct/>
        <w:topLinePunct w:val="0"/>
        <w:autoSpaceDE/>
        <w:autoSpaceDN/>
        <w:adjustRightInd/>
        <w:snapToGrid/>
        <w:spacing w:line="540" w:lineRule="exact"/>
        <w:ind w:left="0" w:firstLine="640" w:firstLineChars="200"/>
        <w:jc w:val="both"/>
        <w:rPr>
          <w:rFonts w:hint="eastAsia" w:ascii="仿宋_GB2312" w:cs="仿宋_GB2312"/>
          <w:bCs/>
          <w:spacing w:val="0"/>
          <w:szCs w:val="32"/>
          <w:lang w:bidi="ar-SA"/>
        </w:rPr>
      </w:pPr>
      <w:r>
        <w:rPr>
          <w:rFonts w:hint="eastAsia" w:ascii="仿宋_GB2312" w:cs="仿宋_GB2312"/>
          <w:bCs/>
          <w:spacing w:val="0"/>
          <w:szCs w:val="32"/>
          <w:lang w:bidi="ar-SA"/>
        </w:rPr>
        <w:t>（2）《福建省人事厅 福建省财政厅 福建省体育局关于印发&lt;福建省体育运动员奖金奖励办法&gt;&lt;福建省体育教练员奖金奖励办法&gt;的通知》（闽人发〔2008〕155号）</w:t>
      </w:r>
    </w:p>
    <w:p w14:paraId="78736269">
      <w:pPr>
        <w:pStyle w:val="6"/>
        <w:keepNext w:val="0"/>
        <w:keepLines w:val="0"/>
        <w:pageBreakBefore w:val="0"/>
        <w:widowControl w:val="0"/>
        <w:kinsoku/>
        <w:wordWrap/>
        <w:overflowPunct/>
        <w:topLinePunct w:val="0"/>
        <w:autoSpaceDE/>
        <w:autoSpaceDN/>
        <w:adjustRightInd/>
        <w:snapToGrid/>
        <w:spacing w:line="540" w:lineRule="exact"/>
        <w:ind w:left="0" w:firstLine="640" w:firstLineChars="200"/>
        <w:jc w:val="both"/>
        <w:rPr>
          <w:rFonts w:hint="eastAsia" w:ascii="仿宋_GB2312" w:cs="仿宋_GB2312"/>
          <w:bCs/>
          <w:spacing w:val="0"/>
          <w:szCs w:val="32"/>
          <w:lang w:bidi="ar-SA"/>
        </w:rPr>
      </w:pPr>
      <w:r>
        <w:rPr>
          <w:rFonts w:hint="eastAsia" w:ascii="仿宋_GB2312" w:cs="仿宋_GB2312"/>
          <w:bCs/>
          <w:spacing w:val="0"/>
          <w:szCs w:val="32"/>
          <w:lang w:bidi="ar-SA"/>
        </w:rPr>
        <w:t>（3）《福建省体育局关于印发&lt;综合性运动会奖金分配实施方案&gt;的通知》（闽体〔2023〕286号）</w:t>
      </w:r>
    </w:p>
    <w:p w14:paraId="1A353112">
      <w:pPr>
        <w:pStyle w:val="6"/>
        <w:keepNext w:val="0"/>
        <w:keepLines w:val="0"/>
        <w:pageBreakBefore w:val="0"/>
        <w:widowControl w:val="0"/>
        <w:kinsoku/>
        <w:wordWrap/>
        <w:overflowPunct/>
        <w:topLinePunct w:val="0"/>
        <w:autoSpaceDE/>
        <w:autoSpaceDN/>
        <w:adjustRightInd/>
        <w:snapToGrid/>
        <w:spacing w:line="540" w:lineRule="exact"/>
        <w:ind w:left="0" w:firstLine="640" w:firstLineChars="200"/>
        <w:jc w:val="both"/>
        <w:rPr>
          <w:rFonts w:hint="eastAsia" w:ascii="仿宋_GB2312" w:cs="仿宋_GB2312"/>
          <w:bCs/>
          <w:spacing w:val="0"/>
          <w:szCs w:val="32"/>
          <w:lang w:bidi="ar-SA"/>
        </w:rPr>
      </w:pPr>
      <w:r>
        <w:rPr>
          <w:rFonts w:hint="eastAsia" w:ascii="仿宋_GB2312" w:cs="仿宋_GB2312"/>
          <w:bCs/>
          <w:spacing w:val="0"/>
          <w:szCs w:val="32"/>
          <w:lang w:bidi="ar-SA"/>
        </w:rPr>
        <w:t>（4）《龙岩市人事局、龙岩市财政局、龙岩市体育局关于印发&lt;龙岩市竞技体育奖励办法&gt;的通知》（龙体〔2009〕51号）</w:t>
      </w:r>
    </w:p>
    <w:p w14:paraId="003AF1B7">
      <w:pPr>
        <w:pStyle w:val="6"/>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outlineLvl w:val="9"/>
        <w:rPr>
          <w:rFonts w:hint="eastAsia" w:ascii="黑体" w:eastAsia="黑体" w:cs="宋体"/>
          <w:b w:val="0"/>
          <w:bCs/>
          <w:spacing w:val="0"/>
          <w:w w:val="100"/>
          <w:sz w:val="32"/>
          <w:szCs w:val="32"/>
          <w:lang w:val="en-US" w:eastAsia="zh-CN"/>
        </w:rPr>
      </w:pPr>
      <w:r>
        <w:rPr>
          <w:rFonts w:hint="eastAsia" w:ascii="黑体" w:eastAsia="黑体" w:cs="宋体"/>
          <w:b w:val="0"/>
          <w:bCs/>
          <w:spacing w:val="0"/>
          <w:w w:val="100"/>
          <w:sz w:val="32"/>
          <w:szCs w:val="32"/>
          <w:lang w:val="en-US" w:eastAsia="zh-CN"/>
        </w:rPr>
        <w:t>二、制定过程</w:t>
      </w:r>
    </w:p>
    <w:p w14:paraId="0CBF116D">
      <w:pPr>
        <w:pStyle w:val="6"/>
        <w:keepNext w:val="0"/>
        <w:keepLines w:val="0"/>
        <w:pageBreakBefore w:val="0"/>
        <w:widowControl w:val="0"/>
        <w:kinsoku/>
        <w:wordWrap/>
        <w:overflowPunct/>
        <w:topLinePunct w:val="0"/>
        <w:autoSpaceDE/>
        <w:autoSpaceDN/>
        <w:adjustRightInd/>
        <w:snapToGrid/>
        <w:spacing w:line="540" w:lineRule="exact"/>
        <w:ind w:firstLine="640" w:firstLineChars="200"/>
        <w:rPr>
          <w:rFonts w:hint="eastAsia" w:ascii="仿宋_GB2312" w:cs="仿宋_GB2312"/>
          <w:bCs/>
          <w:spacing w:val="0"/>
          <w:szCs w:val="32"/>
          <w:lang w:bidi="ar-SA"/>
        </w:rPr>
      </w:pPr>
      <w:r>
        <w:rPr>
          <w:rFonts w:hint="eastAsia" w:ascii="仿宋_GB2312" w:cs="仿宋_GB2312"/>
          <w:bCs/>
          <w:spacing w:val="0"/>
          <w:szCs w:val="32"/>
          <w:lang w:bidi="ar-SA"/>
        </w:rPr>
        <w:t>1.2026年5月</w:t>
      </w:r>
      <w:r>
        <w:rPr>
          <w:rFonts w:ascii="仿宋_GB2312" w:cs="仿宋_GB2312"/>
          <w:bCs/>
          <w:spacing w:val="0"/>
          <w:szCs w:val="32"/>
          <w:lang w:bidi="ar-SA"/>
        </w:rPr>
        <w:t>10</w:t>
      </w:r>
      <w:r>
        <w:rPr>
          <w:rFonts w:hint="eastAsia" w:ascii="仿宋_GB2312" w:cs="仿宋_GB2312"/>
          <w:bCs/>
          <w:spacing w:val="0"/>
          <w:szCs w:val="32"/>
          <w:lang w:bidi="ar-SA"/>
        </w:rPr>
        <w:t>日，结合我县竞技体育发展的实际情况，参照我市其他县（市、区）做法，我局起草修订了《长汀县竞技体育奖励办法（征求意见稿）</w:t>
      </w:r>
      <w:bookmarkStart w:id="0" w:name="_GoBack"/>
      <w:bookmarkEnd w:id="0"/>
      <w:r>
        <w:rPr>
          <w:rFonts w:hint="eastAsia" w:ascii="仿宋_GB2312" w:cs="仿宋_GB2312"/>
          <w:bCs/>
          <w:spacing w:val="0"/>
          <w:szCs w:val="32"/>
          <w:lang w:bidi="ar-SA"/>
        </w:rPr>
        <w:t>》。</w:t>
      </w:r>
    </w:p>
    <w:p w14:paraId="52810908">
      <w:pPr>
        <w:pStyle w:val="6"/>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outlineLvl w:val="9"/>
        <w:rPr>
          <w:rFonts w:hint="eastAsia" w:ascii="仿宋_GB2312" w:cs="仿宋_GB2312"/>
          <w:bCs/>
          <w:spacing w:val="0"/>
          <w:szCs w:val="32"/>
          <w:lang w:bidi="ar-SA"/>
        </w:rPr>
      </w:pPr>
      <w:r>
        <w:rPr>
          <w:rFonts w:hint="eastAsia" w:ascii="仿宋_GB2312" w:cs="仿宋_GB2312"/>
          <w:bCs/>
          <w:spacing w:val="0"/>
          <w:szCs w:val="32"/>
          <w:lang w:bidi="ar-SA"/>
        </w:rPr>
        <w:t>2.5月12日—5月15日征求体育工作者及县直有关部门意见、建议；6月22日-7月22日通过县政府官网民意征集专栏征集广大群众意见、建议。</w:t>
      </w:r>
    </w:p>
    <w:p w14:paraId="65DAD66B">
      <w:pPr>
        <w:pStyle w:val="6"/>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outlineLvl w:val="9"/>
        <w:rPr>
          <w:rFonts w:hint="eastAsia" w:ascii="黑体" w:eastAsia="黑体" w:cs="宋体"/>
          <w:b w:val="0"/>
          <w:bCs/>
          <w:spacing w:val="0"/>
          <w:w w:val="100"/>
          <w:sz w:val="32"/>
          <w:szCs w:val="32"/>
          <w:lang w:val="en-US" w:eastAsia="zh-CN"/>
        </w:rPr>
      </w:pPr>
      <w:r>
        <w:rPr>
          <w:rFonts w:hint="eastAsia" w:ascii="黑体" w:eastAsia="黑体" w:cs="宋体"/>
          <w:b w:val="0"/>
          <w:bCs/>
          <w:spacing w:val="0"/>
          <w:w w:val="100"/>
          <w:sz w:val="32"/>
          <w:szCs w:val="32"/>
          <w:lang w:val="en-US" w:eastAsia="zh-CN"/>
        </w:rPr>
        <w:t>三、主要内容</w:t>
      </w:r>
    </w:p>
    <w:p w14:paraId="29E883EA">
      <w:pPr>
        <w:pStyle w:val="6"/>
        <w:keepNext w:val="0"/>
        <w:keepLines w:val="0"/>
        <w:pageBreakBefore w:val="0"/>
        <w:widowControl w:val="0"/>
        <w:kinsoku/>
        <w:wordWrap/>
        <w:overflowPunct/>
        <w:topLinePunct w:val="0"/>
        <w:autoSpaceDE/>
        <w:autoSpaceDN/>
        <w:adjustRightInd/>
        <w:snapToGrid/>
        <w:spacing w:line="540" w:lineRule="exact"/>
        <w:ind w:firstLine="640" w:firstLineChars="200"/>
        <w:rPr>
          <w:rFonts w:hint="eastAsia" w:ascii="仿宋_GB2312" w:cs="仿宋_GB2312"/>
          <w:bCs/>
          <w:spacing w:val="0"/>
          <w:szCs w:val="32"/>
          <w:lang w:bidi="ar-SA"/>
        </w:rPr>
      </w:pPr>
      <w:r>
        <w:rPr>
          <w:rFonts w:hint="eastAsia" w:ascii="仿宋_GB2312" w:cs="仿宋_GB2312"/>
          <w:bCs/>
          <w:spacing w:val="0"/>
          <w:szCs w:val="32"/>
          <w:lang w:bidi="ar-SA"/>
        </w:rPr>
        <w:t>《长汀县竞技体育奖励办法》主要包括八部分内容：一是长汀县体育运动员奖励办法；二是培养优秀体育人才奖励办法；三是后勤保障奖励；四是培养输送优秀体育人才奖励；五是体育贡献奖励、市运会排名奖励；六是特殊人才奖励；七是评审组织；八是其他事项。</w:t>
      </w:r>
    </w:p>
    <w:p w14:paraId="43F7F3C7">
      <w:pPr>
        <w:pStyle w:val="6"/>
        <w:keepNext w:val="0"/>
        <w:keepLines w:val="0"/>
        <w:pageBreakBefore w:val="0"/>
        <w:widowControl w:val="0"/>
        <w:kinsoku/>
        <w:wordWrap/>
        <w:overflowPunct/>
        <w:topLinePunct w:val="0"/>
        <w:autoSpaceDE/>
        <w:autoSpaceDN/>
        <w:bidi w:val="0"/>
        <w:adjustRightInd/>
        <w:snapToGrid/>
        <w:spacing w:line="540" w:lineRule="exact"/>
        <w:ind w:left="0" w:right="0" w:firstLine="616" w:firstLineChars="200"/>
        <w:jc w:val="both"/>
        <w:textAlignment w:val="auto"/>
        <w:outlineLvl w:val="9"/>
      </w:pPr>
    </w:p>
    <w:sectPr>
      <w:pgSz w:w="11906" w:h="16838"/>
      <w:pgMar w:top="2098" w:right="1474" w:bottom="1984" w:left="158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54"/>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docVars>
    <w:docVar w:name="commondata" w:val="eyJoZGlkIjoiYzQ3YjE2ZDc0MWI3ODg3NmJjMjlkOTg4OTE2MTRmZTEifQ=="/>
  </w:docVars>
  <w:rsids>
    <w:rsidRoot w:val="00000000"/>
    <w:rsid w:val="041800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szCs w:val="20"/>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Normal Indent"/>
    <w:basedOn w:val="1"/>
    <w:qFormat/>
    <w:uiPriority w:val="0"/>
    <w:pPr>
      <w:ind w:firstLine="200" w:firstLineChars="200"/>
    </w:pPr>
  </w:style>
  <w:style w:type="paragraph" w:styleId="6">
    <w:name w:val="Plain Text"/>
    <w:basedOn w:val="1"/>
    <w:qFormat/>
    <w:uiPriority w:val="0"/>
    <w:rPr>
      <w:rFonts w:ascii="宋体" w:hAnsi="宋体" w:cs="Courier New"/>
      <w:szCs w:val="21"/>
    </w:rPr>
  </w:style>
  <w:style w:type="paragraph" w:styleId="7">
    <w:name w:val="endnote text"/>
    <w:basedOn w:val="1"/>
    <w:qFormat/>
    <w:uiPriority w:val="0"/>
    <w:pPr>
      <w:snapToGrid w:val="0"/>
      <w:jc w:val="left"/>
    </w:pPr>
  </w:style>
  <w:style w:type="paragraph" w:styleId="8">
    <w:name w:val="Balloon Text"/>
    <w:basedOn w:val="1"/>
    <w:next w:val="7"/>
    <w:qFormat/>
    <w:uiPriority w:val="0"/>
    <w:rPr>
      <w:sz w:val="18"/>
      <w:szCs w:val="18"/>
    </w:rPr>
  </w:style>
  <w:style w:type="paragraph" w:styleId="9">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customStyle="1" w:styleId="12">
    <w:name w:val="Body Text Indent1"/>
    <w:basedOn w:val="1"/>
    <w:qFormat/>
    <w:uiPriority w:val="0"/>
    <w:pPr>
      <w:spacing w:after="120"/>
      <w:ind w:left="200" w:leftChars="200"/>
    </w:pPr>
  </w:style>
  <w:style w:type="paragraph" w:customStyle="1" w:styleId="13">
    <w:name w:val="Body Text First Indent 21"/>
    <w:basedOn w:val="12"/>
    <w:qFormat/>
    <w:uiPriority w:val="0"/>
    <w:pPr>
      <w:spacing w:line="340" w:lineRule="exact"/>
      <w:ind w:left="26" w:leftChars="0" w:right="-139" w:hanging="26" w:hangingChars="26"/>
    </w:pPr>
    <w:rPr>
      <w:rFonts w:ascii="华文中宋" w:eastAsia="华文中宋"/>
      <w:sz w:val="24"/>
      <w:szCs w:val="20"/>
    </w:rPr>
  </w:style>
  <w:style w:type="character" w:customStyle="1" w:styleId="14">
    <w:name w:val="font31"/>
    <w:basedOn w:val="11"/>
    <w:qFormat/>
    <w:uiPriority w:val="0"/>
    <w:rPr>
      <w:rFonts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Pages>
  <Words>804</Words>
  <Characters>844</Characters>
  <Lines>0</Lines>
  <Paragraphs>17</Paragraphs>
  <TotalTime>2</TotalTime>
  <ScaleCrop>false</ScaleCrop>
  <LinksUpToDate>false</LinksUpToDate>
  <CharactersWithSpaces>846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2022-01-17T19:48:00Z</dcterms:created>
  <dc:creator>lenovo</dc:creator>
  <cp:lastModifiedBy>闲余</cp:lastModifiedBy>
  <cp:lastPrinted>2024-07-22T16:49:00Z</cp:lastPrinted>
  <dcterms:modified xsi:type="dcterms:W3CDTF">2026-06-24T00:11:44Z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3345D21DE18C1C04BF35226A86A601F2</vt:lpwstr>
  </property>
  <property fmtid="{D5CDD505-2E9C-101B-9397-08002B2CF9AE}" pid="4" name="KSOTemplateDocerSaveRecord">
    <vt:lpwstr>eyJoZGlkIjoiZGVhMjMxMjNmMDViM2I3NjMyMzMwOTkzMTE3ZGQzZmMiLCJ1c2VySWQiOiIxMzcwOTYzMjY1In0=</vt:lpwstr>
  </property>
</Properties>
</file>