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ED4B7A">
      <w:pPr>
        <w:pStyle w:val="3"/>
        <w:keepNext w:val="0"/>
        <w:keepLines w:val="0"/>
        <w:pageBreakBefore w:val="0"/>
        <w:widowControl/>
        <w:kinsoku/>
        <w:wordWrap/>
        <w:overflowPunct/>
        <w:topLinePunct w:val="0"/>
        <w:autoSpaceDE/>
        <w:autoSpaceDN/>
        <w:bidi w:val="0"/>
        <w:adjustRightInd/>
        <w:snapToGrid/>
        <w:spacing w:before="120" w:after="300" w:line="540" w:lineRule="exact"/>
        <w:ind w:left="0" w:leftChars="0" w:firstLine="0" w:firstLineChars="0"/>
        <w:jc w:val="center"/>
        <w:textAlignment w:val="auto"/>
        <w:outlineLvl w:val="0"/>
        <w:rPr>
          <w:rFonts w:hint="eastAsia" w:ascii="方正小标宋简体" w:hAnsi="方正小标宋简体" w:eastAsia="方正小标宋简体" w:cs="方正小标宋简体"/>
          <w:b w:val="0"/>
          <w:bCs w:val="0"/>
          <w:color w:val="000000"/>
          <w:sz w:val="44"/>
        </w:rPr>
      </w:pPr>
      <w:r>
        <w:rPr>
          <w:rFonts w:hint="eastAsia" w:ascii="方正小标宋简体" w:hAnsi="方正小标宋简体" w:eastAsia="方正小标宋简体" w:cs="方正小标宋简体"/>
          <w:b w:val="0"/>
          <w:bCs w:val="0"/>
          <w:color w:val="000000"/>
          <w:sz w:val="44"/>
        </w:rPr>
        <w:t>《长汀县关于落实学前教育免保育</w:t>
      </w:r>
    </w:p>
    <w:p w14:paraId="1D7B65A0">
      <w:pPr>
        <w:pStyle w:val="3"/>
        <w:keepNext w:val="0"/>
        <w:keepLines w:val="0"/>
        <w:pageBreakBefore w:val="0"/>
        <w:widowControl/>
        <w:kinsoku/>
        <w:wordWrap/>
        <w:overflowPunct/>
        <w:topLinePunct w:val="0"/>
        <w:autoSpaceDE/>
        <w:autoSpaceDN/>
        <w:bidi w:val="0"/>
        <w:adjustRightInd/>
        <w:snapToGrid/>
        <w:spacing w:before="120" w:after="300" w:line="540" w:lineRule="exact"/>
        <w:ind w:left="0" w:leftChars="0" w:firstLine="0" w:firstLineChars="0"/>
        <w:jc w:val="center"/>
        <w:textAlignment w:val="auto"/>
        <w:outlineLvl w:val="0"/>
        <w:rPr>
          <w:rFonts w:hint="eastAsia" w:ascii="方正小标宋简体" w:hAnsi="方正小标宋简体" w:eastAsia="方正小标宋简体" w:cs="方正小标宋简体"/>
          <w:b w:val="0"/>
          <w:bCs w:val="0"/>
        </w:rPr>
      </w:pPr>
      <w:r>
        <w:rPr>
          <w:rFonts w:hint="eastAsia" w:ascii="方正小标宋简体" w:hAnsi="方正小标宋简体" w:eastAsia="方正小标宋简体" w:cs="方正小标宋简体"/>
          <w:b w:val="0"/>
          <w:bCs w:val="0"/>
          <w:color w:val="000000"/>
          <w:sz w:val="44"/>
        </w:rPr>
        <w:t>教育费的实施方案》起草说明</w:t>
      </w:r>
    </w:p>
    <w:p w14:paraId="0CB00DC6">
      <w:pPr>
        <w:pStyle w:val="4"/>
        <w:keepNext w:val="0"/>
        <w:keepLines w:val="0"/>
        <w:pageBreakBefore w:val="0"/>
        <w:widowControl/>
        <w:kinsoku/>
        <w:wordWrap/>
        <w:overflowPunct/>
        <w:topLinePunct w:val="0"/>
        <w:autoSpaceDE/>
        <w:autoSpaceDN/>
        <w:bidi w:val="0"/>
        <w:adjustRightInd/>
        <w:snapToGrid/>
        <w:spacing w:before="200" w:after="100" w:line="540" w:lineRule="exact"/>
        <w:ind w:firstLine="643" w:firstLineChars="200"/>
        <w:textAlignment w:val="auto"/>
        <w:outlineLvl w:val="1"/>
        <w:rPr>
          <w:rFonts w:ascii="黑体" w:hAnsi="黑体" w:eastAsia="黑体" w:cs="黑体"/>
          <w:b/>
          <w:color w:val="000000"/>
          <w:sz w:val="32"/>
        </w:rPr>
      </w:pPr>
    </w:p>
    <w:p w14:paraId="34613E71">
      <w:pPr>
        <w:pStyle w:val="4"/>
        <w:keepNext w:val="0"/>
        <w:keepLines w:val="0"/>
        <w:pageBreakBefore w:val="0"/>
        <w:widowControl/>
        <w:kinsoku/>
        <w:wordWrap/>
        <w:overflowPunct/>
        <w:topLinePunct w:val="0"/>
        <w:autoSpaceDE/>
        <w:autoSpaceDN/>
        <w:bidi w:val="0"/>
        <w:adjustRightInd/>
        <w:snapToGrid/>
        <w:spacing w:before="200" w:after="100" w:line="540" w:lineRule="exact"/>
        <w:ind w:firstLine="640" w:firstLineChars="200"/>
        <w:textAlignment w:val="auto"/>
        <w:outlineLvl w:val="1"/>
        <w:rPr>
          <w:rFonts w:hint="eastAsia" w:ascii="黑体" w:hAnsi="黑体" w:eastAsia="黑体" w:cs="黑体"/>
          <w:b w:val="0"/>
          <w:bCs w:val="0"/>
          <w:sz w:val="32"/>
          <w:szCs w:val="32"/>
        </w:rPr>
      </w:pPr>
      <w:r>
        <w:rPr>
          <w:rFonts w:hint="eastAsia" w:ascii="黑体" w:hAnsi="黑体" w:eastAsia="黑体" w:cs="黑体"/>
          <w:b w:val="0"/>
          <w:bCs w:val="0"/>
          <w:color w:val="000000"/>
          <w:sz w:val="32"/>
          <w:szCs w:val="32"/>
        </w:rPr>
        <w:t>一、制定背景和依据</w:t>
      </w:r>
    </w:p>
    <w:p w14:paraId="5CA0B2C7">
      <w:pPr>
        <w:keepNext w:val="0"/>
        <w:keepLines w:val="0"/>
        <w:pageBreakBefore w:val="0"/>
        <w:widowControl/>
        <w:kinsoku/>
        <w:wordWrap/>
        <w:overflowPunct/>
        <w:topLinePunct w:val="0"/>
        <w:autoSpaceDE/>
        <w:autoSpaceDN/>
        <w:bidi w:val="0"/>
        <w:adjustRightInd/>
        <w:snapToGrid/>
        <w:spacing w:after="120"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为深入贯彻落实党中央、国务院关于学前教育普及普惠发展的决策部署，逐步推进免费学前教育进程，切实减轻群众育儿负担，根据《国务院办公厅关于逐步推行免费学前教育的意见》（国办发〔2025〕27号）和《福建省关于落实学前教育免保育教育费的实施方案》（闽政办〔2025〕31号）文件精神，结合我县学前教育发展实际，制定本实施方案。</w:t>
      </w:r>
    </w:p>
    <w:p w14:paraId="4E7686E2">
      <w:pPr>
        <w:keepNext w:val="0"/>
        <w:keepLines w:val="0"/>
        <w:pageBreakBefore w:val="0"/>
        <w:widowControl/>
        <w:kinsoku/>
        <w:wordWrap/>
        <w:overflowPunct/>
        <w:topLinePunct w:val="0"/>
        <w:autoSpaceDE/>
        <w:autoSpaceDN/>
        <w:bidi w:val="0"/>
        <w:adjustRightInd/>
        <w:snapToGrid/>
        <w:spacing w:after="120"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近年来，我县学前教育事业取得长足发展，学前三年毛入园率达</w:t>
      </w:r>
      <w:r>
        <w:rPr>
          <w:rFonts w:hint="eastAsia" w:ascii="仿宋_GB2312" w:hAnsi="仿宋_GB2312" w:eastAsia="仿宋_GB2312" w:cs="仿宋_GB2312"/>
          <w:color w:val="000000"/>
          <w:sz w:val="32"/>
          <w:szCs w:val="32"/>
          <w:lang w:val="en-US" w:eastAsia="zh-CN"/>
        </w:rPr>
        <w:t>99.65</w:t>
      </w:r>
      <w:r>
        <w:rPr>
          <w:rFonts w:hint="eastAsia" w:ascii="仿宋_GB2312" w:hAnsi="仿宋_GB2312" w:eastAsia="仿宋_GB2312" w:cs="仿宋_GB2312"/>
          <w:color w:val="000000"/>
          <w:sz w:val="32"/>
          <w:szCs w:val="32"/>
        </w:rPr>
        <w:t>%，普惠性幼儿园覆盖率达</w:t>
      </w:r>
      <w:r>
        <w:rPr>
          <w:rFonts w:hint="eastAsia" w:ascii="仿宋_GB2312" w:hAnsi="仿宋_GB2312" w:eastAsia="仿宋_GB2312" w:cs="仿宋_GB2312"/>
          <w:color w:val="000000"/>
          <w:sz w:val="32"/>
          <w:szCs w:val="32"/>
          <w:lang w:val="en-US" w:eastAsia="zh-CN"/>
        </w:rPr>
        <w:t>97.6</w:t>
      </w:r>
      <w:r>
        <w:rPr>
          <w:rFonts w:hint="eastAsia" w:ascii="仿宋_GB2312" w:hAnsi="仿宋_GB2312" w:eastAsia="仿宋_GB2312" w:cs="仿宋_GB2312"/>
          <w:color w:val="000000"/>
          <w:sz w:val="32"/>
          <w:szCs w:val="32"/>
        </w:rPr>
        <w:t>%，公办幼儿园在园幼儿占比达</w:t>
      </w:r>
      <w:r>
        <w:rPr>
          <w:rFonts w:hint="eastAsia" w:ascii="仿宋_GB2312" w:hAnsi="仿宋_GB2312" w:eastAsia="仿宋_GB2312" w:cs="仿宋_GB2312"/>
          <w:color w:val="000000"/>
          <w:sz w:val="32"/>
          <w:szCs w:val="32"/>
          <w:lang w:val="en-US" w:eastAsia="zh-CN"/>
        </w:rPr>
        <w:t>77.3</w:t>
      </w:r>
      <w:bookmarkStart w:id="0" w:name="_GoBack"/>
      <w:bookmarkEnd w:id="0"/>
      <w:r>
        <w:rPr>
          <w:rFonts w:hint="eastAsia" w:ascii="仿宋_GB2312" w:hAnsi="仿宋_GB2312" w:eastAsia="仿宋_GB2312" w:cs="仿宋_GB2312"/>
          <w:color w:val="000000"/>
          <w:sz w:val="32"/>
          <w:szCs w:val="32"/>
        </w:rPr>
        <w:t>%，为实施学前教育免保育教育费政策奠定了坚实基础。出台本方案是我县落实民生保障、促进教育公平的重要举措，将有效提升学前教育公共服务水平，增强人民群众的获得感和幸福感。</w:t>
      </w:r>
    </w:p>
    <w:p w14:paraId="173A773C">
      <w:pPr>
        <w:pStyle w:val="4"/>
        <w:keepNext w:val="0"/>
        <w:keepLines w:val="0"/>
        <w:pageBreakBefore w:val="0"/>
        <w:widowControl/>
        <w:kinsoku/>
        <w:wordWrap/>
        <w:overflowPunct/>
        <w:topLinePunct w:val="0"/>
        <w:autoSpaceDE/>
        <w:autoSpaceDN/>
        <w:bidi w:val="0"/>
        <w:adjustRightInd/>
        <w:snapToGrid/>
        <w:spacing w:before="200" w:after="100" w:line="540" w:lineRule="exact"/>
        <w:ind w:firstLine="640" w:firstLineChars="200"/>
        <w:textAlignment w:val="auto"/>
        <w:outlineLvl w:val="1"/>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二、起草过程</w:t>
      </w:r>
    </w:p>
    <w:p w14:paraId="5EF3A6BF">
      <w:pPr>
        <w:keepNext w:val="0"/>
        <w:keepLines w:val="0"/>
        <w:pageBreakBefore w:val="0"/>
        <w:widowControl/>
        <w:kinsoku/>
        <w:wordWrap/>
        <w:overflowPunct/>
        <w:topLinePunct w:val="0"/>
        <w:autoSpaceDE/>
        <w:autoSpaceDN/>
        <w:bidi w:val="0"/>
        <w:adjustRightInd/>
        <w:snapToGrid/>
        <w:spacing w:after="120"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方案起草工作由县教育局牵头，会同县财政局共同开展。起草过程中，一是深入开展调研，全面梳理我县学前教育办学情况、收费标准、在园幼儿规模等基础数据，测算政策实施所需经费；二是广泛征求</w:t>
      </w:r>
      <w:r>
        <w:rPr>
          <w:rFonts w:hint="eastAsia" w:ascii="仿宋_GB2312" w:hAnsi="仿宋_GB2312" w:eastAsia="仿宋_GB2312" w:cs="仿宋_GB2312"/>
          <w:color w:val="000000"/>
          <w:sz w:val="32"/>
          <w:szCs w:val="32"/>
          <w:lang w:eastAsia="zh-CN"/>
        </w:rPr>
        <w:t>学校</w:t>
      </w:r>
      <w:r>
        <w:rPr>
          <w:rFonts w:hint="eastAsia" w:ascii="仿宋_GB2312" w:hAnsi="仿宋_GB2312" w:eastAsia="仿宋_GB2312" w:cs="仿宋_GB2312"/>
          <w:color w:val="000000"/>
          <w:sz w:val="32"/>
          <w:szCs w:val="32"/>
        </w:rPr>
        <w:t>意见，</w:t>
      </w:r>
      <w:r>
        <w:rPr>
          <w:rFonts w:hint="eastAsia" w:ascii="仿宋_GB2312" w:hAnsi="仿宋_GB2312" w:eastAsia="仿宋_GB2312" w:cs="仿宋_GB2312"/>
          <w:color w:val="000000"/>
          <w:sz w:val="32"/>
          <w:szCs w:val="32"/>
          <w:lang w:eastAsia="zh-CN"/>
        </w:rPr>
        <w:t>先后</w:t>
      </w:r>
      <w:r>
        <w:rPr>
          <w:rFonts w:hint="eastAsia" w:ascii="仿宋_GB2312" w:hAnsi="仿宋_GB2312" w:eastAsia="仿宋_GB2312" w:cs="仿宋_GB2312"/>
          <w:color w:val="000000"/>
          <w:sz w:val="32"/>
          <w:szCs w:val="32"/>
        </w:rPr>
        <w:t>听取各方面意见</w:t>
      </w:r>
      <w:r>
        <w:rPr>
          <w:rFonts w:hint="eastAsia" w:ascii="仿宋_GB2312" w:hAnsi="仿宋_GB2312" w:eastAsia="仿宋_GB2312" w:cs="仿宋_GB2312"/>
          <w:color w:val="000000"/>
          <w:sz w:val="32"/>
          <w:szCs w:val="32"/>
          <w:lang w:eastAsia="zh-CN"/>
        </w:rPr>
        <w:t>或</w:t>
      </w:r>
      <w:r>
        <w:rPr>
          <w:rFonts w:hint="eastAsia" w:ascii="仿宋_GB2312" w:hAnsi="仿宋_GB2312" w:eastAsia="仿宋_GB2312" w:cs="仿宋_GB2312"/>
          <w:color w:val="000000"/>
          <w:sz w:val="32"/>
          <w:szCs w:val="32"/>
        </w:rPr>
        <w:t>建议，对方案内容进行多次修改完善；三是</w:t>
      </w:r>
      <w:r>
        <w:rPr>
          <w:rFonts w:hint="eastAsia" w:ascii="仿宋_GB2312" w:hAnsi="仿宋_GB2312" w:eastAsia="仿宋_GB2312" w:cs="仿宋_GB2312"/>
          <w:color w:val="000000"/>
          <w:sz w:val="32"/>
          <w:szCs w:val="32"/>
          <w:lang w:eastAsia="zh-CN"/>
        </w:rPr>
        <w:t>需进行网站公开征求意见，通过长汀县人民政府网站面向所有公众，公开征求实施意见；四是</w:t>
      </w:r>
      <w:r>
        <w:rPr>
          <w:rFonts w:hint="eastAsia" w:ascii="仿宋_GB2312" w:hAnsi="仿宋_GB2312" w:eastAsia="仿宋_GB2312" w:cs="仿宋_GB2312"/>
          <w:color w:val="000000"/>
          <w:sz w:val="32"/>
          <w:szCs w:val="32"/>
        </w:rPr>
        <w:t>进行合法性审查，</w:t>
      </w:r>
      <w:r>
        <w:rPr>
          <w:rFonts w:hint="eastAsia" w:ascii="仿宋_GB2312" w:hAnsi="仿宋_GB2312" w:eastAsia="仿宋_GB2312" w:cs="仿宋_GB2312"/>
          <w:color w:val="000000"/>
          <w:sz w:val="32"/>
          <w:szCs w:val="32"/>
          <w:lang w:eastAsia="zh-CN"/>
        </w:rPr>
        <w:t>将</w:t>
      </w:r>
      <w:r>
        <w:rPr>
          <w:rFonts w:hint="eastAsia" w:ascii="仿宋_GB2312" w:hAnsi="仿宋_GB2312" w:eastAsia="仿宋_GB2312" w:cs="仿宋_GB2312"/>
          <w:color w:val="000000"/>
          <w:sz w:val="32"/>
          <w:szCs w:val="32"/>
        </w:rPr>
        <w:t>邀请县司法局对方案内容进行合法性审核，确保政策符合相关法律法规规定；</w:t>
      </w:r>
      <w:r>
        <w:rPr>
          <w:rFonts w:hint="eastAsia" w:ascii="仿宋_GB2312" w:hAnsi="仿宋_GB2312" w:eastAsia="仿宋_GB2312" w:cs="仿宋_GB2312"/>
          <w:color w:val="000000"/>
          <w:sz w:val="32"/>
          <w:szCs w:val="32"/>
          <w:lang w:eastAsia="zh-CN"/>
        </w:rPr>
        <w:t>五</w:t>
      </w:r>
      <w:r>
        <w:rPr>
          <w:rFonts w:hint="eastAsia" w:ascii="仿宋_GB2312" w:hAnsi="仿宋_GB2312" w:eastAsia="仿宋_GB2312" w:cs="仿宋_GB2312"/>
          <w:color w:val="000000"/>
          <w:sz w:val="32"/>
          <w:szCs w:val="32"/>
        </w:rPr>
        <w:t>是</w:t>
      </w:r>
      <w:r>
        <w:rPr>
          <w:rFonts w:hint="eastAsia" w:ascii="仿宋_GB2312" w:hAnsi="仿宋_GB2312" w:eastAsia="仿宋_GB2312" w:cs="仿宋_GB2312"/>
          <w:color w:val="000000"/>
          <w:sz w:val="32"/>
          <w:szCs w:val="32"/>
          <w:lang w:eastAsia="zh-CN"/>
        </w:rPr>
        <w:t>最后</w:t>
      </w:r>
      <w:r>
        <w:rPr>
          <w:rFonts w:hint="eastAsia" w:ascii="仿宋_GB2312" w:hAnsi="仿宋_GB2312" w:eastAsia="仿宋_GB2312" w:cs="仿宋_GB2312"/>
          <w:color w:val="000000"/>
          <w:sz w:val="32"/>
          <w:szCs w:val="32"/>
        </w:rPr>
        <w:t>报请县政府常务会议审议通过，最终形成本实施方案。</w:t>
      </w:r>
    </w:p>
    <w:p w14:paraId="00961319">
      <w:pPr>
        <w:pStyle w:val="4"/>
        <w:keepNext w:val="0"/>
        <w:keepLines w:val="0"/>
        <w:pageBreakBefore w:val="0"/>
        <w:widowControl/>
        <w:kinsoku/>
        <w:wordWrap/>
        <w:overflowPunct/>
        <w:topLinePunct w:val="0"/>
        <w:autoSpaceDE/>
        <w:autoSpaceDN/>
        <w:bidi w:val="0"/>
        <w:adjustRightInd/>
        <w:snapToGrid/>
        <w:spacing w:before="200" w:after="100" w:line="540" w:lineRule="exact"/>
        <w:ind w:firstLine="640" w:firstLineChars="200"/>
        <w:textAlignment w:val="auto"/>
        <w:outlineLvl w:val="1"/>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三、主要内容说明</w:t>
      </w:r>
    </w:p>
    <w:p w14:paraId="0FE6DE78">
      <w:pPr>
        <w:keepNext w:val="0"/>
        <w:keepLines w:val="0"/>
        <w:pageBreakBefore w:val="0"/>
        <w:widowControl/>
        <w:kinsoku/>
        <w:wordWrap/>
        <w:overflowPunct/>
        <w:topLinePunct w:val="0"/>
        <w:autoSpaceDE/>
        <w:autoSpaceDN/>
        <w:bidi w:val="0"/>
        <w:adjustRightInd/>
        <w:snapToGrid/>
        <w:spacing w:after="120"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本方案共分为五个部分，主要内容如下：</w:t>
      </w:r>
    </w:p>
    <w:p w14:paraId="584D550A">
      <w:pPr>
        <w:pStyle w:val="5"/>
        <w:keepNext w:val="0"/>
        <w:keepLines w:val="0"/>
        <w:pageBreakBefore w:val="0"/>
        <w:widowControl/>
        <w:kinsoku/>
        <w:wordWrap/>
        <w:overflowPunct/>
        <w:topLinePunct w:val="0"/>
        <w:autoSpaceDE/>
        <w:autoSpaceDN/>
        <w:bidi w:val="0"/>
        <w:adjustRightInd/>
        <w:snapToGrid/>
        <w:spacing w:before="80" w:after="60" w:line="540" w:lineRule="exact"/>
        <w:ind w:firstLine="643"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b/>
          <w:color w:val="000000"/>
          <w:sz w:val="32"/>
          <w:szCs w:val="32"/>
        </w:rPr>
        <w:t>（一）免保育教育费政策内容</w:t>
      </w:r>
    </w:p>
    <w:p w14:paraId="2C797079">
      <w:pPr>
        <w:keepNext w:val="0"/>
        <w:keepLines w:val="0"/>
        <w:pageBreakBefore w:val="0"/>
        <w:widowControl/>
        <w:kinsoku/>
        <w:wordWrap/>
        <w:overflowPunct/>
        <w:topLinePunct w:val="0"/>
        <w:autoSpaceDE/>
        <w:autoSpaceDN/>
        <w:bidi w:val="0"/>
        <w:adjustRightInd/>
        <w:snapToGrid/>
        <w:spacing w:after="120" w:line="54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color w:val="000000"/>
          <w:sz w:val="32"/>
          <w:szCs w:val="32"/>
        </w:rPr>
        <w:t>1. 免保教费对象</w:t>
      </w:r>
      <w:r>
        <w:rPr>
          <w:rFonts w:hint="eastAsia" w:ascii="仿宋_GB2312" w:hAnsi="仿宋_GB2312" w:eastAsia="仿宋_GB2312" w:cs="仿宋_GB2312"/>
          <w:color w:val="000000"/>
          <w:sz w:val="32"/>
          <w:szCs w:val="32"/>
        </w:rPr>
        <w:t>：从2025年秋季学期起，免除公办幼儿园学前一年在园儿童（5周岁及以上）保育教育费。对在县教育局批准设立的民办幼儿园就读的适龄儿童，参照同类型公办幼儿园免除水平相应减免保育教育费。</w:t>
      </w:r>
    </w:p>
    <w:p w14:paraId="34644D19">
      <w:pPr>
        <w:keepNext w:val="0"/>
        <w:keepLines w:val="0"/>
        <w:pageBreakBefore w:val="0"/>
        <w:widowControl/>
        <w:kinsoku/>
        <w:wordWrap/>
        <w:overflowPunct/>
        <w:topLinePunct w:val="0"/>
        <w:autoSpaceDE/>
        <w:autoSpaceDN/>
        <w:bidi w:val="0"/>
        <w:adjustRightInd/>
        <w:snapToGrid/>
        <w:spacing w:after="120" w:line="54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color w:val="000000"/>
          <w:sz w:val="32"/>
          <w:szCs w:val="32"/>
        </w:rPr>
        <w:t>2. 免保教费标准</w:t>
      </w:r>
      <w:r>
        <w:rPr>
          <w:rFonts w:hint="eastAsia" w:ascii="仿宋_GB2312" w:hAnsi="仿宋_GB2312" w:eastAsia="仿宋_GB2312" w:cs="仿宋_GB2312"/>
          <w:color w:val="000000"/>
          <w:sz w:val="32"/>
          <w:szCs w:val="32"/>
        </w:rPr>
        <w:t>：</w:t>
      </w:r>
    </w:p>
    <w:p w14:paraId="53418F46">
      <w:pPr>
        <w:keepNext w:val="0"/>
        <w:keepLines w:val="0"/>
        <w:pageBreakBefore w:val="0"/>
        <w:widowControl/>
        <w:kinsoku/>
        <w:wordWrap/>
        <w:overflowPunct/>
        <w:topLinePunct w:val="0"/>
        <w:autoSpaceDE/>
        <w:autoSpaceDN/>
        <w:bidi w:val="0"/>
        <w:adjustRightInd/>
        <w:snapToGrid/>
        <w:spacing w:after="120"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1）公办幼儿园：全额免除经核定的保育教育费，具体标准按照《长汀县发展和改革局长汀县财政局关于调整我县公办幼儿园保育教育费收费标准的通知》（汀发改价〔2024〕6号）执行，省级示范园520元/生·月，市级示范园420元/生·月，县级示范园350元/生·月，普通幼儿园280元/生·月。</w:t>
      </w:r>
    </w:p>
    <w:p w14:paraId="09BA808D">
      <w:pPr>
        <w:keepNext w:val="0"/>
        <w:keepLines w:val="0"/>
        <w:pageBreakBefore w:val="0"/>
        <w:widowControl/>
        <w:kinsoku/>
        <w:wordWrap/>
        <w:overflowPunct/>
        <w:topLinePunct w:val="0"/>
        <w:autoSpaceDE/>
        <w:autoSpaceDN/>
        <w:bidi w:val="0"/>
        <w:adjustRightInd/>
        <w:snapToGrid/>
        <w:spacing w:after="120"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2）民办幼儿园：普惠性民办幼儿园根据等级对应同类型公办园标准减免；非普惠性民办幼儿园中评定为三级园以上的，参照县级示范园标准350元/生·月减免。民办幼儿园收费高出减免标准部分可继续收取，低于标准的按实际收费减免。</w:t>
      </w:r>
    </w:p>
    <w:p w14:paraId="2662F0B0">
      <w:pPr>
        <w:keepNext w:val="0"/>
        <w:keepLines w:val="0"/>
        <w:pageBreakBefore w:val="0"/>
        <w:widowControl/>
        <w:kinsoku/>
        <w:wordWrap/>
        <w:overflowPunct/>
        <w:topLinePunct w:val="0"/>
        <w:autoSpaceDE/>
        <w:autoSpaceDN/>
        <w:bidi w:val="0"/>
        <w:adjustRightInd/>
        <w:snapToGrid/>
        <w:spacing w:after="120" w:line="54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color w:val="000000"/>
          <w:sz w:val="32"/>
          <w:szCs w:val="32"/>
        </w:rPr>
        <w:t>3. 财政补助方式</w:t>
      </w:r>
      <w:r>
        <w:rPr>
          <w:rFonts w:hint="eastAsia" w:ascii="仿宋_GB2312" w:hAnsi="仿宋_GB2312" w:eastAsia="仿宋_GB2312" w:cs="仿宋_GB2312"/>
          <w:color w:val="000000"/>
          <w:sz w:val="32"/>
          <w:szCs w:val="32"/>
        </w:rPr>
        <w:t>：对幼儿园因免保教费减少的收入，由县财政会同教育局按实际免除情况给予补助。补助资金由中央、省、县共同承担，除省级及以上补助外，其余部分由县级财政承担。</w:t>
      </w:r>
    </w:p>
    <w:p w14:paraId="030127B3">
      <w:pPr>
        <w:pStyle w:val="5"/>
        <w:keepNext w:val="0"/>
        <w:keepLines w:val="0"/>
        <w:pageBreakBefore w:val="0"/>
        <w:widowControl/>
        <w:kinsoku/>
        <w:wordWrap/>
        <w:overflowPunct/>
        <w:topLinePunct w:val="0"/>
        <w:autoSpaceDE/>
        <w:autoSpaceDN/>
        <w:bidi w:val="0"/>
        <w:adjustRightInd/>
        <w:snapToGrid/>
        <w:spacing w:before="80" w:after="60" w:line="540" w:lineRule="exact"/>
        <w:ind w:firstLine="643"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b/>
          <w:color w:val="000000"/>
          <w:sz w:val="32"/>
          <w:szCs w:val="32"/>
        </w:rPr>
        <w:t>（二）学前教育资助政策</w:t>
      </w:r>
    </w:p>
    <w:p w14:paraId="4610C3C9">
      <w:pPr>
        <w:keepNext w:val="0"/>
        <w:keepLines w:val="0"/>
        <w:pageBreakBefore w:val="0"/>
        <w:widowControl/>
        <w:kinsoku/>
        <w:wordWrap/>
        <w:overflowPunct/>
        <w:topLinePunct w:val="0"/>
        <w:autoSpaceDE/>
        <w:autoSpaceDN/>
        <w:bidi w:val="0"/>
        <w:adjustRightInd/>
        <w:snapToGrid/>
        <w:spacing w:after="120"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继续实施学前教育政府助学金政策，资助家庭经济困难幼儿，资金按原有分担比例执行。同时鼓励社会捐资助学，鼓励幼儿园从事业收入中安排经费帮助困难群体。</w:t>
      </w:r>
    </w:p>
    <w:p w14:paraId="33391135">
      <w:pPr>
        <w:pStyle w:val="5"/>
        <w:keepNext w:val="0"/>
        <w:keepLines w:val="0"/>
        <w:pageBreakBefore w:val="0"/>
        <w:widowControl/>
        <w:kinsoku/>
        <w:wordWrap/>
        <w:overflowPunct/>
        <w:topLinePunct w:val="0"/>
        <w:autoSpaceDE/>
        <w:autoSpaceDN/>
        <w:bidi w:val="0"/>
        <w:adjustRightInd/>
        <w:snapToGrid/>
        <w:spacing w:before="80" w:after="60" w:line="540" w:lineRule="exact"/>
        <w:ind w:firstLine="643"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b/>
          <w:color w:val="000000"/>
          <w:sz w:val="32"/>
          <w:szCs w:val="32"/>
        </w:rPr>
        <w:t>（三）学前教育投入机制</w:t>
      </w:r>
    </w:p>
    <w:p w14:paraId="127C7035">
      <w:pPr>
        <w:keepNext w:val="0"/>
        <w:keepLines w:val="0"/>
        <w:pageBreakBefore w:val="0"/>
        <w:widowControl/>
        <w:kinsoku/>
        <w:wordWrap/>
        <w:overflowPunct/>
        <w:topLinePunct w:val="0"/>
        <w:autoSpaceDE/>
        <w:autoSpaceDN/>
        <w:bidi w:val="0"/>
        <w:adjustRightInd/>
        <w:snapToGrid/>
        <w:spacing w:after="120"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健全学前教育财政投入机制，支持幼儿园改善办学条件，将公办幼儿园教师工资纳入财政保障，落实公办园生均公用经费标准，普惠性民办园参照公办园标准给予补助，建立动态调整机制。</w:t>
      </w:r>
    </w:p>
    <w:p w14:paraId="253EBC33">
      <w:pPr>
        <w:pStyle w:val="5"/>
        <w:keepNext w:val="0"/>
        <w:keepLines w:val="0"/>
        <w:pageBreakBefore w:val="0"/>
        <w:widowControl/>
        <w:kinsoku/>
        <w:wordWrap/>
        <w:overflowPunct/>
        <w:topLinePunct w:val="0"/>
        <w:autoSpaceDE/>
        <w:autoSpaceDN/>
        <w:bidi w:val="0"/>
        <w:adjustRightInd/>
        <w:snapToGrid/>
        <w:spacing w:before="80" w:after="60" w:line="540" w:lineRule="exact"/>
        <w:ind w:firstLine="643"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b/>
          <w:color w:val="000000"/>
          <w:sz w:val="32"/>
          <w:szCs w:val="32"/>
        </w:rPr>
        <w:t>（四）工作要求</w:t>
      </w:r>
    </w:p>
    <w:p w14:paraId="7709A19E">
      <w:pPr>
        <w:keepNext w:val="0"/>
        <w:keepLines w:val="0"/>
        <w:pageBreakBefore w:val="0"/>
        <w:widowControl/>
        <w:kinsoku/>
        <w:wordWrap/>
        <w:overflowPunct/>
        <w:topLinePunct w:val="0"/>
        <w:autoSpaceDE/>
        <w:autoSpaceDN/>
        <w:bidi w:val="0"/>
        <w:adjustRightInd/>
        <w:snapToGrid/>
        <w:spacing w:after="120"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从强化组织领导、夯实工作基础、规范资金管理、加强政策宣传、加强全面监管五个方面提出具体要求，确保政策平稳落地实施。</w:t>
      </w:r>
    </w:p>
    <w:p w14:paraId="1C520678">
      <w:pPr>
        <w:pStyle w:val="5"/>
        <w:keepNext w:val="0"/>
        <w:keepLines w:val="0"/>
        <w:pageBreakBefore w:val="0"/>
        <w:widowControl/>
        <w:kinsoku/>
        <w:wordWrap/>
        <w:overflowPunct/>
        <w:topLinePunct w:val="0"/>
        <w:autoSpaceDE/>
        <w:autoSpaceDN/>
        <w:bidi w:val="0"/>
        <w:adjustRightInd/>
        <w:snapToGrid/>
        <w:spacing w:before="80" w:after="60" w:line="540" w:lineRule="exact"/>
        <w:ind w:firstLine="643"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b/>
          <w:color w:val="000000"/>
          <w:sz w:val="32"/>
          <w:szCs w:val="32"/>
        </w:rPr>
        <w:t>（五）施行时间</w:t>
      </w:r>
    </w:p>
    <w:p w14:paraId="70581211">
      <w:pPr>
        <w:keepNext w:val="0"/>
        <w:keepLines w:val="0"/>
        <w:pageBreakBefore w:val="0"/>
        <w:widowControl/>
        <w:kinsoku/>
        <w:wordWrap/>
        <w:overflowPunct/>
        <w:topLinePunct w:val="0"/>
        <w:autoSpaceDE/>
        <w:autoSpaceDN/>
        <w:bidi w:val="0"/>
        <w:adjustRightInd/>
        <w:snapToGrid/>
        <w:spacing w:after="120"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本方案自发文之日起施行，实施期间如遇上级政策调整，按新规定执行。</w:t>
      </w:r>
    </w:p>
    <w:p w14:paraId="535891E3">
      <w:pPr>
        <w:pStyle w:val="4"/>
        <w:keepNext w:val="0"/>
        <w:keepLines w:val="0"/>
        <w:pageBreakBefore w:val="0"/>
        <w:widowControl/>
        <w:kinsoku/>
        <w:wordWrap/>
        <w:overflowPunct/>
        <w:topLinePunct w:val="0"/>
        <w:autoSpaceDE/>
        <w:autoSpaceDN/>
        <w:bidi w:val="0"/>
        <w:adjustRightInd/>
        <w:snapToGrid/>
        <w:spacing w:before="200" w:after="100" w:line="540" w:lineRule="exact"/>
        <w:ind w:firstLine="640" w:firstLineChars="200"/>
        <w:textAlignment w:val="auto"/>
        <w:outlineLvl w:val="1"/>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四、预期效益分析</w:t>
      </w:r>
    </w:p>
    <w:p w14:paraId="26F9D137">
      <w:pPr>
        <w:keepNext w:val="0"/>
        <w:keepLines w:val="0"/>
        <w:pageBreakBefore w:val="0"/>
        <w:widowControl/>
        <w:kinsoku/>
        <w:wordWrap/>
        <w:overflowPunct/>
        <w:topLinePunct w:val="0"/>
        <w:autoSpaceDE/>
        <w:autoSpaceDN/>
        <w:bidi w:val="0"/>
        <w:adjustRightInd/>
        <w:snapToGrid/>
        <w:spacing w:after="120"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本方案实施后，预计每年将惠及3</w:t>
      </w:r>
      <w:r>
        <w:rPr>
          <w:rFonts w:hint="eastAsia" w:ascii="仿宋_GB2312" w:hAnsi="仿宋_GB2312" w:eastAsia="仿宋_GB2312" w:cs="仿宋_GB2312"/>
          <w:color w:val="000000"/>
          <w:sz w:val="32"/>
          <w:szCs w:val="32"/>
          <w:lang w:val="en-US" w:eastAsia="zh-CN"/>
        </w:rPr>
        <w:t>0</w:t>
      </w:r>
      <w:r>
        <w:rPr>
          <w:rFonts w:hint="eastAsia" w:ascii="仿宋_GB2312" w:hAnsi="仿宋_GB2312" w:eastAsia="仿宋_GB2312" w:cs="仿宋_GB2312"/>
          <w:color w:val="000000"/>
          <w:sz w:val="32"/>
          <w:szCs w:val="32"/>
        </w:rPr>
        <w:t>00</w:t>
      </w:r>
      <w:r>
        <w:rPr>
          <w:rFonts w:hint="eastAsia" w:ascii="仿宋_GB2312" w:hAnsi="仿宋_GB2312" w:eastAsia="仿宋_GB2312" w:cs="仿宋_GB2312"/>
          <w:color w:val="000000"/>
          <w:sz w:val="32"/>
          <w:szCs w:val="32"/>
          <w:lang w:eastAsia="zh-CN"/>
        </w:rPr>
        <w:t>多名幼儿</w:t>
      </w:r>
      <w:r>
        <w:rPr>
          <w:rFonts w:hint="eastAsia" w:ascii="仿宋_GB2312" w:hAnsi="仿宋_GB2312" w:eastAsia="仿宋_GB2312" w:cs="仿宋_GB2312"/>
          <w:color w:val="000000"/>
          <w:sz w:val="32"/>
          <w:szCs w:val="32"/>
        </w:rPr>
        <w:t>，平均每</w:t>
      </w:r>
      <w:r>
        <w:rPr>
          <w:rFonts w:hint="eastAsia" w:ascii="仿宋_GB2312" w:hAnsi="仿宋_GB2312" w:eastAsia="仿宋_GB2312" w:cs="仿宋_GB2312"/>
          <w:color w:val="000000"/>
          <w:sz w:val="32"/>
          <w:szCs w:val="32"/>
          <w:lang w:eastAsia="zh-CN"/>
        </w:rPr>
        <w:t>名幼儿家庭</w:t>
      </w:r>
      <w:r>
        <w:rPr>
          <w:rFonts w:hint="eastAsia" w:ascii="仿宋_GB2312" w:hAnsi="仿宋_GB2312" w:eastAsia="仿宋_GB2312" w:cs="仿宋_GB2312"/>
          <w:color w:val="000000"/>
          <w:sz w:val="32"/>
          <w:szCs w:val="32"/>
        </w:rPr>
        <w:t>每年</w:t>
      </w:r>
      <w:r>
        <w:rPr>
          <w:rFonts w:hint="eastAsia" w:ascii="仿宋_GB2312" w:hAnsi="仿宋_GB2312" w:eastAsia="仿宋_GB2312" w:cs="仿宋_GB2312"/>
          <w:color w:val="000000"/>
          <w:sz w:val="32"/>
          <w:szCs w:val="32"/>
          <w:lang w:eastAsia="zh-CN"/>
        </w:rPr>
        <w:t>可</w:t>
      </w:r>
      <w:r>
        <w:rPr>
          <w:rFonts w:hint="eastAsia" w:ascii="仿宋_GB2312" w:hAnsi="仿宋_GB2312" w:eastAsia="仿宋_GB2312" w:cs="仿宋_GB2312"/>
          <w:color w:val="000000"/>
          <w:sz w:val="32"/>
          <w:szCs w:val="32"/>
        </w:rPr>
        <w:t>减少支出约</w:t>
      </w:r>
      <w:r>
        <w:rPr>
          <w:rFonts w:hint="eastAsia" w:ascii="仿宋_GB2312" w:hAnsi="仿宋_GB2312" w:eastAsia="仿宋_GB2312" w:cs="仿宋_GB2312"/>
          <w:color w:val="000000"/>
          <w:sz w:val="32"/>
          <w:szCs w:val="32"/>
          <w:lang w:val="en-US" w:eastAsia="zh-CN"/>
        </w:rPr>
        <w:t>3500</w:t>
      </w:r>
      <w:r>
        <w:rPr>
          <w:rFonts w:hint="eastAsia" w:ascii="仿宋_GB2312" w:hAnsi="仿宋_GB2312" w:eastAsia="仿宋_GB2312" w:cs="仿宋_GB2312"/>
          <w:color w:val="000000"/>
          <w:sz w:val="32"/>
          <w:szCs w:val="32"/>
        </w:rPr>
        <w:t>元，有效减轻家庭育儿负担，进一步提高学前教育入园率和巩固率。同时，将促进学前教育公平，提升办园质量，推动我县学前教育普及普惠安全优质发展，为我县人口长期均衡发展提供有力支撑。</w:t>
      </w:r>
    </w:p>
    <w:p w14:paraId="69A28164">
      <w:pPr>
        <w:keepNext w:val="0"/>
        <w:keepLines w:val="0"/>
        <w:pageBreakBefore w:val="0"/>
        <w:widowControl/>
        <w:kinsoku/>
        <w:wordWrap/>
        <w:overflowPunct/>
        <w:topLinePunct w:val="0"/>
        <w:autoSpaceDE/>
        <w:autoSpaceDN/>
        <w:bidi w:val="0"/>
        <w:adjustRightInd/>
        <w:snapToGrid/>
        <w:spacing w:after="120" w:line="540" w:lineRule="exact"/>
        <w:ind w:firstLine="640" w:firstLineChars="200"/>
        <w:textAlignment w:val="auto"/>
        <w:rPr>
          <w:rFonts w:hint="eastAsia" w:ascii="仿宋_GB2312" w:hAnsi="仿宋_GB2312" w:eastAsia="仿宋_GB2312" w:cs="仿宋_GB2312"/>
          <w:sz w:val="32"/>
          <w:szCs w:val="32"/>
        </w:rPr>
      </w:pPr>
    </w:p>
    <w:p w14:paraId="18E91034">
      <w:pPr>
        <w:keepNext w:val="0"/>
        <w:keepLines w:val="0"/>
        <w:pageBreakBefore w:val="0"/>
        <w:widowControl/>
        <w:kinsoku/>
        <w:wordWrap w:val="0"/>
        <w:overflowPunct/>
        <w:topLinePunct w:val="0"/>
        <w:autoSpaceDE/>
        <w:autoSpaceDN/>
        <w:bidi w:val="0"/>
        <w:adjustRightInd/>
        <w:snapToGrid/>
        <w:spacing w:before="400" w:after="120" w:line="540" w:lineRule="exact"/>
        <w:ind w:firstLine="640" w:firstLineChars="200"/>
        <w:jc w:val="righ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color w:val="000000"/>
          <w:sz w:val="32"/>
          <w:szCs w:val="32"/>
        </w:rPr>
        <w:t>长汀县教育局</w:t>
      </w:r>
      <w:r>
        <w:rPr>
          <w:rFonts w:hint="eastAsia" w:ascii="仿宋_GB2312" w:hAnsi="仿宋_GB2312" w:eastAsia="仿宋_GB2312" w:cs="仿宋_GB2312"/>
          <w:color w:val="000000"/>
          <w:sz w:val="32"/>
          <w:szCs w:val="32"/>
          <w:lang w:val="en-US" w:eastAsia="zh-CN"/>
        </w:rPr>
        <w:t xml:space="preserve">       </w:t>
      </w:r>
    </w:p>
    <w:p w14:paraId="146A9458">
      <w:pPr>
        <w:keepNext w:val="0"/>
        <w:keepLines w:val="0"/>
        <w:pageBreakBefore w:val="0"/>
        <w:widowControl/>
        <w:kinsoku/>
        <w:wordWrap w:val="0"/>
        <w:overflowPunct/>
        <w:topLinePunct w:val="0"/>
        <w:autoSpaceDE/>
        <w:autoSpaceDN/>
        <w:bidi w:val="0"/>
        <w:adjustRightInd/>
        <w:snapToGrid/>
        <w:spacing w:after="120" w:line="540" w:lineRule="exact"/>
        <w:ind w:firstLine="640" w:firstLineChars="200"/>
        <w:jc w:val="righ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color w:val="000000"/>
          <w:sz w:val="32"/>
          <w:szCs w:val="32"/>
        </w:rPr>
        <w:t>2026年3月</w:t>
      </w:r>
      <w:r>
        <w:rPr>
          <w:rFonts w:hint="eastAsia" w:ascii="仿宋_GB2312" w:hAnsi="仿宋_GB2312" w:eastAsia="仿宋_GB2312" w:cs="仿宋_GB2312"/>
          <w:color w:val="000000"/>
          <w:sz w:val="32"/>
          <w:szCs w:val="32"/>
          <w:lang w:val="en-US" w:eastAsia="zh-CN"/>
        </w:rPr>
        <w:t>31</w:t>
      </w:r>
      <w:r>
        <w:rPr>
          <w:rFonts w:hint="eastAsia" w:ascii="仿宋_GB2312" w:hAnsi="仿宋_GB2312" w:eastAsia="仿宋_GB2312" w:cs="仿宋_GB2312"/>
          <w:color w:val="000000"/>
          <w:sz w:val="32"/>
          <w:szCs w:val="32"/>
        </w:rPr>
        <w:t>日</w:t>
      </w:r>
      <w:r>
        <w:rPr>
          <w:rFonts w:hint="eastAsia" w:ascii="仿宋_GB2312" w:hAnsi="仿宋_GB2312" w:eastAsia="仿宋_GB2312" w:cs="仿宋_GB2312"/>
          <w:color w:val="000000"/>
          <w:sz w:val="32"/>
          <w:szCs w:val="32"/>
          <w:lang w:val="en-US" w:eastAsia="zh-CN"/>
        </w:rPr>
        <w:t xml:space="preserve">     </w:t>
      </w:r>
    </w:p>
    <w:sectPr>
      <w:pgSz w:w="12240" w:h="15840"/>
      <w:pgMar w:top="2098" w:right="1474" w:bottom="1984"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auto"/>
    <w:pitch w:val="default"/>
    <w:sig w:usb0="E00002FF" w:usb1="400004FF" w:usb2="00000000" w:usb3="00000000" w:csb0="2000019F" w:csb1="00000000"/>
  </w:font>
  <w:font w:name="MS Mincho">
    <w:panose1 w:val="02020609040205080304"/>
    <w:charset w:val="80"/>
    <w:family w:val="roman"/>
    <w:pitch w:val="default"/>
    <w:sig w:usb0="E00002FF" w:usb1="6AC7FDFB" w:usb2="00000012" w:usb3="00000000" w:csb0="4002009F" w:csb1="DFD70000"/>
  </w:font>
  <w:font w:name="微软雅黑">
    <w:panose1 w:val="020B0503020204020204"/>
    <w:charset w:val="86"/>
    <w:family w:val="auto"/>
    <w:pitch w:val="default"/>
    <w:sig w:usb0="80000287" w:usb1="280F3C52" w:usb2="00000016" w:usb3="00000000" w:csb0="0004001F" w:csb1="00000000"/>
  </w:font>
  <w:font w:name="MS Gothic">
    <w:panose1 w:val="020B0609070205080204"/>
    <w:charset w:val="80"/>
    <w:family w:val="modern"/>
    <w:pitch w:val="default"/>
    <w:sig w:usb0="E00002FF" w:usb1="6AC7FDFB" w:usb2="00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Courier New">
    <w:panose1 w:val="02070309020205020404"/>
    <w:charset w:val="00"/>
    <w:family w:val="auto"/>
    <w:pitch w:val="default"/>
    <w:sig w:usb0="E0002AFF" w:usb1="C0007843" w:usb2="00000009" w:usb3="00000000" w:csb0="400001FF" w:csb1="FFFF0000"/>
  </w:font>
  <w:font w:name="方正小标宋简体">
    <w:panose1 w:val="02010601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F9E2E3C"/>
    <w:rsid w:val="15E30196"/>
    <w:rsid w:val="2DA9033A"/>
    <w:rsid w:val="375B3350"/>
    <w:rsid w:val="3C686245"/>
    <w:rsid w:val="43BB7B3B"/>
    <w:rsid w:val="57324EB7"/>
    <w:rsid w:val="63F22205"/>
    <w:rsid w:val="6B6C68F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unhideWhenUsed="0" w:uiPriority="64" w:semiHidden="0" w:name="Medium Shading 2 Accent 2"/>
    <w:lsdException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unhideWhenUsed="0" w:uiPriority="68" w:semiHidden="0" w:name="Medium Grid 2 Accent 6"/>
    <w:lsdException w:unhideWhenUsed="0" w:uiPriority="69" w:semiHidden="0" w:name="Medium Grid 3 Accent 6"/>
    <w:lsdException w:qFormat="1"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0" w:after="0" w:line="276" w:lineRule="auto"/>
    </w:pPr>
    <w:rPr>
      <w:rFonts w:ascii="微软雅黑" w:hAnsi="微软雅黑" w:eastAsia="微软雅黑"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微软雅黑" w:hAnsi="微软雅黑" w:eastAsia="微软雅黑" w:cs="微软雅黑"/>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微软雅黑" w:hAnsi="微软雅黑" w:eastAsia="微软雅黑" w:cs="微软雅黑"/>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微软雅黑" w:hAnsi="微软雅黑" w:eastAsia="微软雅黑" w:cs="微软雅黑"/>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微软雅黑" w:hAnsi="微软雅黑" w:eastAsia="微软雅黑" w:cs="微软雅黑"/>
      <w:b/>
      <w:b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微软雅黑" w:hAnsi="微软雅黑" w:eastAsia="微软雅黑" w:cs="微软雅黑"/>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微软雅黑" w:hAnsi="微软雅黑" w:eastAsia="微软雅黑" w:cs="微软雅黑"/>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1695</Words>
  <Characters>1764</Characters>
  <Lines>0</Lines>
  <Paragraphs>0</Paragraphs>
  <TotalTime>9</TotalTime>
  <ScaleCrop>false</ScaleCrop>
  <LinksUpToDate>false</LinksUpToDate>
  <CharactersWithSpaces>1768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李文楷</cp:lastModifiedBy>
  <dcterms:modified xsi:type="dcterms:W3CDTF">2026-03-31T01:52:13Z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eyJoZGlkIjoiYzFlOTQ1ZTc2MzlhNDY3ZjkwZGUzZWIzNjQyZmI5Y2YiLCJ1c2VySWQiOiI1MDU3MTIzMzgifQ==</vt:lpwstr>
  </property>
  <property fmtid="{D5CDD505-2E9C-101B-9397-08002B2CF9AE}" pid="3" name="KSOProductBuildVer">
    <vt:lpwstr>2052-12.1.0.25225</vt:lpwstr>
  </property>
  <property fmtid="{D5CDD505-2E9C-101B-9397-08002B2CF9AE}" pid="4" name="ICV">
    <vt:lpwstr>14563625080C4A24AE993DBF0688E34C_13</vt:lpwstr>
  </property>
</Properties>
</file>