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AF108">
      <w:pPr>
        <w:widowControl/>
        <w:shd w:val="clear" w:color="auto" w:fill="FFFFFF"/>
        <w:spacing w:line="570" w:lineRule="atLeast"/>
        <w:jc w:val="center"/>
        <w:outlineLvl w:val="0"/>
        <w:rPr>
          <w:rFonts w:ascii="微软雅黑" w:hAnsi="微软雅黑" w:eastAsia="微软雅黑" w:cs="宋体"/>
          <w:b/>
          <w:bCs/>
          <w:color w:val="333333"/>
          <w:kern w:val="36"/>
          <w:sz w:val="39"/>
          <w:szCs w:val="39"/>
        </w:rPr>
      </w:pPr>
      <w:r>
        <w:rPr>
          <w:rFonts w:hint="eastAsia" w:ascii="微软雅黑" w:hAnsi="微软雅黑" w:eastAsia="微软雅黑" w:cs="宋体"/>
          <w:b/>
          <w:bCs/>
          <w:color w:val="333333"/>
          <w:kern w:val="36"/>
          <w:sz w:val="39"/>
          <w:szCs w:val="39"/>
        </w:rPr>
        <w:t>2025年</w:t>
      </w:r>
      <w:r>
        <w:rPr>
          <w:rFonts w:hint="eastAsia" w:ascii="微软雅黑" w:hAnsi="微软雅黑" w:eastAsia="微软雅黑" w:cs="宋体"/>
          <w:b/>
          <w:bCs/>
          <w:color w:val="333333"/>
          <w:kern w:val="36"/>
          <w:sz w:val="39"/>
          <w:szCs w:val="39"/>
          <w:lang w:eastAsia="zh-CN"/>
        </w:rPr>
        <w:t>长汀</w:t>
      </w:r>
      <w:r>
        <w:rPr>
          <w:rFonts w:hint="eastAsia" w:ascii="微软雅黑" w:hAnsi="微软雅黑" w:eastAsia="微软雅黑" w:cs="宋体"/>
          <w:b/>
          <w:bCs/>
          <w:color w:val="333333"/>
          <w:kern w:val="36"/>
          <w:sz w:val="39"/>
          <w:szCs w:val="39"/>
        </w:rPr>
        <w:t>县政府性基金目录清单</w:t>
      </w:r>
    </w:p>
    <w:tbl>
      <w:tblPr>
        <w:tblStyle w:val="3"/>
        <w:tblW w:w="12450" w:type="dxa"/>
        <w:jc w:val="center"/>
        <w:tblLayout w:type="fixed"/>
        <w:tblCellMar>
          <w:top w:w="0" w:type="dxa"/>
          <w:left w:w="0" w:type="dxa"/>
          <w:bottom w:w="0" w:type="dxa"/>
          <w:right w:w="0" w:type="dxa"/>
        </w:tblCellMar>
      </w:tblPr>
      <w:tblGrid>
        <w:gridCol w:w="1050"/>
        <w:gridCol w:w="1510"/>
        <w:gridCol w:w="4383"/>
        <w:gridCol w:w="5507"/>
      </w:tblGrid>
      <w:tr w14:paraId="37E7117D">
        <w:tblPrEx>
          <w:tblCellMar>
            <w:top w:w="0" w:type="dxa"/>
            <w:left w:w="0" w:type="dxa"/>
            <w:bottom w:w="0" w:type="dxa"/>
            <w:right w:w="0" w:type="dxa"/>
          </w:tblCellMar>
        </w:tblPrEx>
        <w:trPr>
          <w:trHeight w:val="960" w:hRule="atLeast"/>
          <w:jc w:val="center"/>
        </w:trPr>
        <w:tc>
          <w:tcPr>
            <w:tcW w:w="1050" w:type="dxa"/>
            <w:tcBorders>
              <w:top w:val="single" w:color="auto" w:sz="6" w:space="0"/>
              <w:left w:val="single" w:color="auto" w:sz="6" w:space="0"/>
              <w:bottom w:val="single" w:color="auto" w:sz="6" w:space="0"/>
              <w:right w:val="single" w:color="auto" w:sz="6" w:space="0"/>
            </w:tcBorders>
            <w:vAlign w:val="center"/>
          </w:tcPr>
          <w:p w14:paraId="5F5C8C1B">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序号</w:t>
            </w:r>
          </w:p>
        </w:tc>
        <w:tc>
          <w:tcPr>
            <w:tcW w:w="1510" w:type="dxa"/>
            <w:tcBorders>
              <w:top w:val="single" w:color="auto" w:sz="6" w:space="0"/>
              <w:left w:val="nil"/>
              <w:bottom w:val="single" w:color="auto" w:sz="6" w:space="0"/>
              <w:right w:val="single" w:color="auto" w:sz="6" w:space="0"/>
            </w:tcBorders>
            <w:vAlign w:val="center"/>
          </w:tcPr>
          <w:p w14:paraId="65E87487">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项目名称</w:t>
            </w:r>
          </w:p>
        </w:tc>
        <w:tc>
          <w:tcPr>
            <w:tcW w:w="4383" w:type="dxa"/>
            <w:tcBorders>
              <w:top w:val="single" w:color="auto" w:sz="6" w:space="0"/>
              <w:left w:val="nil"/>
              <w:bottom w:val="single" w:color="auto" w:sz="6" w:space="0"/>
              <w:right w:val="single" w:color="auto" w:sz="6" w:space="0"/>
            </w:tcBorders>
            <w:vAlign w:val="center"/>
          </w:tcPr>
          <w:p w14:paraId="3B3C874E">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lang w:eastAsia="zh-CN"/>
              </w:rPr>
              <w:t>收费</w:t>
            </w:r>
            <w:r>
              <w:rPr>
                <w:rFonts w:hint="eastAsia" w:ascii="宋体" w:hAnsi="宋体" w:eastAsia="宋体" w:cs="宋体"/>
                <w:b/>
                <w:bCs/>
                <w:kern w:val="0"/>
                <w:sz w:val="24"/>
                <w:szCs w:val="24"/>
              </w:rPr>
              <w:t>依据</w:t>
            </w:r>
          </w:p>
        </w:tc>
        <w:tc>
          <w:tcPr>
            <w:tcW w:w="5507" w:type="dxa"/>
            <w:tcBorders>
              <w:top w:val="single" w:color="auto" w:sz="6" w:space="0"/>
              <w:left w:val="nil"/>
              <w:bottom w:val="single" w:color="auto" w:sz="6" w:space="0"/>
              <w:right w:val="single" w:color="auto" w:sz="6" w:space="0"/>
            </w:tcBorders>
            <w:vAlign w:val="center"/>
          </w:tcPr>
          <w:p w14:paraId="44DF1ADB">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收费标准</w:t>
            </w:r>
          </w:p>
        </w:tc>
      </w:tr>
      <w:tr w14:paraId="26F02A77">
        <w:tblPrEx>
          <w:tblCellMar>
            <w:top w:w="0" w:type="dxa"/>
            <w:left w:w="0" w:type="dxa"/>
            <w:bottom w:w="0" w:type="dxa"/>
            <w:right w:w="0" w:type="dxa"/>
          </w:tblCellMar>
        </w:tblPrEx>
        <w:trPr>
          <w:trHeight w:val="1440" w:hRule="atLeast"/>
          <w:jc w:val="center"/>
        </w:trPr>
        <w:tc>
          <w:tcPr>
            <w:tcW w:w="1050" w:type="dxa"/>
            <w:tcBorders>
              <w:top w:val="nil"/>
              <w:left w:val="single" w:color="auto" w:sz="6" w:space="0"/>
              <w:bottom w:val="single" w:color="auto" w:sz="6" w:space="0"/>
              <w:right w:val="single" w:color="auto" w:sz="6" w:space="0"/>
            </w:tcBorders>
            <w:vAlign w:val="center"/>
          </w:tcPr>
          <w:p w14:paraId="0D51BFE7">
            <w:pPr>
              <w:widowControl/>
              <w:jc w:val="center"/>
              <w:rPr>
                <w:rFonts w:hint="eastAsia" w:ascii="楷体_GB2312" w:hAnsi="楷体_GB2312" w:eastAsia="楷体_GB2312" w:cs="楷体_GB2312"/>
                <w:kern w:val="0"/>
                <w:sz w:val="21"/>
                <w:szCs w:val="21"/>
                <w:lang w:val="en-US" w:eastAsia="zh-CN"/>
              </w:rPr>
            </w:pPr>
            <w:r>
              <w:rPr>
                <w:rFonts w:hint="eastAsia" w:ascii="楷体_GB2312" w:hAnsi="楷体_GB2312" w:eastAsia="楷体_GB2312" w:cs="楷体_GB2312"/>
                <w:kern w:val="0"/>
                <w:sz w:val="21"/>
                <w:szCs w:val="21"/>
                <w:lang w:val="en-US" w:eastAsia="zh-CN"/>
              </w:rPr>
              <w:t>1</w:t>
            </w:r>
          </w:p>
        </w:tc>
        <w:tc>
          <w:tcPr>
            <w:tcW w:w="1510" w:type="dxa"/>
            <w:tcBorders>
              <w:top w:val="nil"/>
              <w:left w:val="nil"/>
              <w:bottom w:val="single" w:color="auto" w:sz="6" w:space="0"/>
              <w:right w:val="single" w:color="auto" w:sz="6" w:space="0"/>
            </w:tcBorders>
            <w:vAlign w:val="center"/>
          </w:tcPr>
          <w:p w14:paraId="0639F138">
            <w:pPr>
              <w:widowControl/>
              <w:jc w:val="left"/>
              <w:rPr>
                <w:rFonts w:hint="eastAsia" w:ascii="楷体_GB2312" w:hAnsi="楷体_GB2312" w:eastAsia="楷体_GB2312" w:cs="楷体_GB2312"/>
                <w:b/>
                <w:bCs/>
                <w:kern w:val="0"/>
                <w:sz w:val="21"/>
                <w:szCs w:val="21"/>
              </w:rPr>
            </w:pPr>
            <w:r>
              <w:rPr>
                <w:rFonts w:hint="eastAsia" w:ascii="楷体_GB2312" w:hAnsi="楷体_GB2312" w:eastAsia="楷体_GB2312" w:cs="楷体_GB2312"/>
                <w:b/>
                <w:bCs/>
                <w:kern w:val="0"/>
                <w:sz w:val="21"/>
                <w:szCs w:val="21"/>
              </w:rPr>
              <w:t>国有土地使用权出让收入</w:t>
            </w:r>
          </w:p>
        </w:tc>
        <w:tc>
          <w:tcPr>
            <w:tcW w:w="4383" w:type="dxa"/>
            <w:tcBorders>
              <w:top w:val="nil"/>
              <w:left w:val="nil"/>
              <w:bottom w:val="single" w:color="auto" w:sz="6" w:space="0"/>
              <w:right w:val="single" w:color="auto" w:sz="6" w:space="0"/>
            </w:tcBorders>
            <w:vAlign w:val="center"/>
          </w:tcPr>
          <w:p w14:paraId="37733A58">
            <w:pPr>
              <w:widowControl/>
              <w:jc w:val="left"/>
              <w:rPr>
                <w:rFonts w:hint="eastAsia" w:ascii="楷体_GB2312" w:hAnsi="楷体_GB2312" w:eastAsia="楷体_GB2312" w:cs="楷体_GB2312"/>
                <w:kern w:val="0"/>
                <w:sz w:val="21"/>
                <w:szCs w:val="21"/>
              </w:rPr>
            </w:pPr>
            <w:r>
              <w:rPr>
                <w:rFonts w:hint="eastAsia" w:ascii="楷体_GB2312" w:hAnsi="楷体_GB2312" w:eastAsia="楷体_GB2312" w:cs="楷体_GB2312"/>
                <w:kern w:val="0"/>
                <w:sz w:val="21"/>
                <w:szCs w:val="21"/>
              </w:rPr>
              <w:t>根据《招标拍卖挂牌出让国有建设用地使用权规定》（国土资源部令第39号）、《协议出让国有土地使用权规定》（国土资源部令第21号）、《国土资源部关于加强房地产用地供应和监管有关问题的通知》（国土资发[2010］34号）</w:t>
            </w:r>
          </w:p>
        </w:tc>
        <w:tc>
          <w:tcPr>
            <w:tcW w:w="5507" w:type="dxa"/>
            <w:tcBorders>
              <w:top w:val="nil"/>
              <w:left w:val="nil"/>
              <w:bottom w:val="single" w:color="auto" w:sz="6" w:space="0"/>
              <w:right w:val="single" w:color="auto" w:sz="6" w:space="0"/>
            </w:tcBorders>
            <w:vAlign w:val="center"/>
          </w:tcPr>
          <w:p w14:paraId="1D5FE35A">
            <w:pPr>
              <w:widowControl/>
              <w:jc w:val="left"/>
              <w:rPr>
                <w:rFonts w:hint="eastAsia" w:ascii="楷体_GB2312" w:hAnsi="楷体_GB2312" w:eastAsia="楷体_GB2312" w:cs="楷体_GB2312"/>
                <w:kern w:val="0"/>
                <w:sz w:val="21"/>
                <w:szCs w:val="21"/>
                <w:lang w:eastAsia="zh-CN"/>
              </w:rPr>
            </w:pPr>
            <w:r>
              <w:rPr>
                <w:rFonts w:hint="eastAsia" w:ascii="楷体_GB2312" w:hAnsi="楷体_GB2312" w:eastAsia="楷体_GB2312" w:cs="楷体_GB2312"/>
                <w:kern w:val="0"/>
                <w:sz w:val="21"/>
                <w:szCs w:val="21"/>
              </w:rPr>
              <w:t>招标拍卖挂牌出让出让底价不得低于国家规定的最低价标准，同时根据[关于发布实施《全国工业用地出让最低价标准》的通知](国土资发[2006]307号)，长汀县所在的土地等别为十五等，对应的工业用地出让最低价标准为60元/m²</w:t>
            </w:r>
          </w:p>
        </w:tc>
      </w:tr>
      <w:tr w14:paraId="413A7562">
        <w:tblPrEx>
          <w:tblCellMar>
            <w:top w:w="0" w:type="dxa"/>
            <w:left w:w="0" w:type="dxa"/>
            <w:bottom w:w="0" w:type="dxa"/>
            <w:right w:w="0" w:type="dxa"/>
          </w:tblCellMar>
        </w:tblPrEx>
        <w:trPr>
          <w:trHeight w:val="1065" w:hRule="atLeast"/>
          <w:jc w:val="center"/>
        </w:trPr>
        <w:tc>
          <w:tcPr>
            <w:tcW w:w="1050" w:type="dxa"/>
            <w:tcBorders>
              <w:top w:val="nil"/>
              <w:left w:val="single" w:color="auto" w:sz="6" w:space="0"/>
              <w:bottom w:val="single" w:color="auto" w:sz="6" w:space="0"/>
              <w:right w:val="single" w:color="auto" w:sz="6" w:space="0"/>
            </w:tcBorders>
            <w:vAlign w:val="center"/>
          </w:tcPr>
          <w:p w14:paraId="79D2E1DE">
            <w:pPr>
              <w:widowControl/>
              <w:jc w:val="center"/>
              <w:rPr>
                <w:rFonts w:hint="eastAsia" w:ascii="楷体_GB2312" w:hAnsi="楷体_GB2312" w:eastAsia="楷体_GB2312" w:cs="楷体_GB2312"/>
                <w:kern w:val="0"/>
                <w:sz w:val="21"/>
                <w:szCs w:val="21"/>
                <w:lang w:val="en-US" w:eastAsia="zh-CN"/>
              </w:rPr>
            </w:pPr>
            <w:r>
              <w:rPr>
                <w:rFonts w:hint="eastAsia" w:ascii="楷体_GB2312" w:hAnsi="楷体_GB2312" w:eastAsia="楷体_GB2312" w:cs="楷体_GB2312"/>
                <w:kern w:val="0"/>
                <w:sz w:val="21"/>
                <w:szCs w:val="21"/>
                <w:lang w:val="en-US" w:eastAsia="zh-CN"/>
              </w:rPr>
              <w:t>2</w:t>
            </w:r>
          </w:p>
        </w:tc>
        <w:tc>
          <w:tcPr>
            <w:tcW w:w="1510" w:type="dxa"/>
            <w:tcBorders>
              <w:top w:val="nil"/>
              <w:left w:val="nil"/>
              <w:bottom w:val="single" w:color="auto" w:sz="6" w:space="0"/>
              <w:right w:val="single" w:color="auto" w:sz="6" w:space="0"/>
            </w:tcBorders>
            <w:vAlign w:val="center"/>
          </w:tcPr>
          <w:p w14:paraId="302061B1">
            <w:pPr>
              <w:widowControl/>
              <w:jc w:val="left"/>
              <w:rPr>
                <w:rFonts w:hint="eastAsia" w:ascii="楷体_GB2312" w:hAnsi="楷体_GB2312" w:eastAsia="楷体_GB2312" w:cs="楷体_GB2312"/>
                <w:b/>
                <w:bCs/>
                <w:kern w:val="0"/>
                <w:sz w:val="21"/>
                <w:szCs w:val="21"/>
              </w:rPr>
            </w:pPr>
            <w:r>
              <w:rPr>
                <w:rFonts w:hint="eastAsia" w:ascii="楷体_GB2312" w:hAnsi="楷体_GB2312" w:eastAsia="楷体_GB2312" w:cs="楷体_GB2312"/>
                <w:b/>
                <w:bCs/>
                <w:kern w:val="0"/>
                <w:sz w:val="21"/>
                <w:szCs w:val="21"/>
              </w:rPr>
              <w:t>城市基础设施配套费收入</w:t>
            </w:r>
          </w:p>
        </w:tc>
        <w:tc>
          <w:tcPr>
            <w:tcW w:w="4383" w:type="dxa"/>
            <w:tcBorders>
              <w:top w:val="nil"/>
              <w:left w:val="nil"/>
              <w:bottom w:val="single" w:color="auto" w:sz="6" w:space="0"/>
              <w:right w:val="single" w:color="auto" w:sz="6" w:space="0"/>
            </w:tcBorders>
            <w:shd w:val="clear" w:color="auto" w:fill="auto"/>
            <w:vAlign w:val="center"/>
          </w:tcPr>
          <w:p w14:paraId="48BE57E7">
            <w:pPr>
              <w:widowControl/>
              <w:jc w:val="left"/>
              <w:rPr>
                <w:rFonts w:hint="eastAsia" w:ascii="楷体_GB2312" w:hAnsi="楷体_GB2312" w:eastAsia="楷体_GB2312" w:cs="楷体_GB2312"/>
                <w:kern w:val="0"/>
                <w:sz w:val="21"/>
                <w:szCs w:val="21"/>
              </w:rPr>
            </w:pPr>
            <w:r>
              <w:rPr>
                <w:rFonts w:hint="eastAsia" w:ascii="楷体_GB2312" w:hAnsi="楷体_GB2312" w:eastAsia="楷体_GB2312" w:cs="楷体_GB2312"/>
                <w:kern w:val="0"/>
                <w:sz w:val="21"/>
                <w:szCs w:val="21"/>
                <w:lang w:val="en-US" w:eastAsia="zh-CN"/>
              </w:rPr>
              <w:t>1.《福建省人民政府关于印发福建省城市基础设施配套费征收管理规定的通知》（闽政〔2002〕53号）</w:t>
            </w:r>
          </w:p>
          <w:p w14:paraId="2B951019">
            <w:pPr>
              <w:widowControl/>
              <w:jc w:val="left"/>
              <w:rPr>
                <w:rFonts w:hint="eastAsia" w:ascii="楷体_GB2312" w:hAnsi="楷体_GB2312" w:eastAsia="楷体_GB2312" w:cs="楷体_GB2312"/>
                <w:kern w:val="0"/>
                <w:sz w:val="21"/>
                <w:szCs w:val="21"/>
                <w:lang w:val="en-US" w:eastAsia="zh-CN"/>
              </w:rPr>
            </w:pPr>
            <w:r>
              <w:rPr>
                <w:rFonts w:hint="eastAsia" w:ascii="楷体_GB2312" w:hAnsi="楷体_GB2312" w:eastAsia="楷体_GB2312" w:cs="楷体_GB2312"/>
                <w:kern w:val="0"/>
                <w:sz w:val="21"/>
                <w:szCs w:val="21"/>
                <w:lang w:val="en-US" w:eastAsia="zh-CN"/>
              </w:rPr>
              <w:t>2.《长汀县人民政府批转关于执行&lt;福建省城市基础设施配套费征收管理规定&gt;的实施办法的通知》（汀政综〔2003〕460号）》</w:t>
            </w:r>
          </w:p>
          <w:p w14:paraId="5A8DB933">
            <w:pPr>
              <w:widowControl/>
              <w:jc w:val="left"/>
              <w:rPr>
                <w:rFonts w:hint="default" w:ascii="楷体_GB2312" w:hAnsi="楷体_GB2312" w:eastAsia="楷体_GB2312" w:cs="楷体_GB2312"/>
                <w:kern w:val="0"/>
                <w:sz w:val="21"/>
                <w:szCs w:val="21"/>
                <w:lang w:val="en-US" w:eastAsia="zh-CN"/>
              </w:rPr>
            </w:pPr>
            <w:r>
              <w:rPr>
                <w:rFonts w:hint="eastAsia" w:ascii="楷体_GB2312" w:hAnsi="楷体_GB2312" w:eastAsia="楷体_GB2312" w:cs="楷体_GB2312"/>
                <w:kern w:val="0"/>
                <w:sz w:val="21"/>
                <w:szCs w:val="21"/>
                <w:lang w:val="en-US" w:eastAsia="zh-CN"/>
              </w:rPr>
              <w:t>3.《长汀县人民政府关于印发长汀县工业企业招商引资优惠政策的通知》（汀政综〔2021〕178号）</w:t>
            </w:r>
          </w:p>
          <w:p w14:paraId="156FACBE">
            <w:pPr>
              <w:widowControl/>
              <w:jc w:val="left"/>
              <w:rPr>
                <w:rFonts w:hint="eastAsia" w:ascii="楷体_GB2312" w:hAnsi="楷体_GB2312" w:eastAsia="楷体_GB2312" w:cs="楷体_GB2312"/>
                <w:kern w:val="0"/>
                <w:sz w:val="21"/>
                <w:szCs w:val="21"/>
                <w:lang w:val="en-US" w:eastAsia="zh-CN" w:bidi="ar-SA"/>
              </w:rPr>
            </w:pPr>
          </w:p>
        </w:tc>
        <w:tc>
          <w:tcPr>
            <w:tcW w:w="5507" w:type="dxa"/>
            <w:tcBorders>
              <w:top w:val="nil"/>
              <w:left w:val="nil"/>
              <w:bottom w:val="single" w:color="auto" w:sz="6" w:space="0"/>
              <w:right w:val="single" w:color="auto" w:sz="6" w:space="0"/>
            </w:tcBorders>
            <w:shd w:val="clear" w:color="auto" w:fill="auto"/>
            <w:vAlign w:val="center"/>
          </w:tcPr>
          <w:p w14:paraId="3F87CF6C">
            <w:pPr>
              <w:widowControl/>
              <w:jc w:val="left"/>
              <w:rPr>
                <w:rFonts w:hint="eastAsia" w:ascii="楷体_GB2312" w:hAnsi="楷体_GB2312" w:eastAsia="楷体_GB2312" w:cs="楷体_GB2312"/>
                <w:kern w:val="0"/>
                <w:sz w:val="21"/>
                <w:szCs w:val="21"/>
                <w:lang w:val="en-US" w:eastAsia="zh-CN"/>
              </w:rPr>
            </w:pPr>
            <w:r>
              <w:rPr>
                <w:rFonts w:hint="eastAsia" w:ascii="楷体_GB2312" w:hAnsi="楷体_GB2312" w:eastAsia="楷体_GB2312" w:cs="楷体_GB2312"/>
                <w:kern w:val="0"/>
                <w:sz w:val="21"/>
                <w:szCs w:val="21"/>
                <w:lang w:val="en-US" w:eastAsia="zh-CN"/>
              </w:rPr>
              <w:t>1.住宅：一类40元/平方米，二类25元/平方米，三类15元/平方米；2.商业（含写字楼）：一类45元/平方米，二类35元/平方米，三类25元/平方米；3.工业：一类25元/平方米；二类15元/平方米；三类10元/平方米；3.学校非经营性建设项目按住宅的收费标准减半征收，医疗、科研、非经营性建设项目按商业收费标准减半征收。</w:t>
            </w:r>
          </w:p>
          <w:p w14:paraId="5441AD3A">
            <w:pPr>
              <w:widowControl/>
              <w:jc w:val="left"/>
              <w:rPr>
                <w:rFonts w:hint="eastAsia" w:ascii="楷体_GB2312" w:hAnsi="楷体_GB2312" w:eastAsia="楷体_GB2312" w:cs="楷体_GB2312"/>
                <w:kern w:val="0"/>
                <w:sz w:val="21"/>
                <w:szCs w:val="21"/>
                <w:lang w:val="en-US" w:eastAsia="zh-CN" w:bidi="ar-SA"/>
              </w:rPr>
            </w:pPr>
          </w:p>
        </w:tc>
      </w:tr>
      <w:tr w14:paraId="63B35357">
        <w:tblPrEx>
          <w:tblCellMar>
            <w:top w:w="0" w:type="dxa"/>
            <w:left w:w="0" w:type="dxa"/>
            <w:bottom w:w="0" w:type="dxa"/>
            <w:right w:w="0" w:type="dxa"/>
          </w:tblCellMar>
        </w:tblPrEx>
        <w:trPr>
          <w:trHeight w:val="2280" w:hRule="atLeast"/>
          <w:jc w:val="center"/>
        </w:trPr>
        <w:tc>
          <w:tcPr>
            <w:tcW w:w="1050" w:type="dxa"/>
            <w:tcBorders>
              <w:top w:val="nil"/>
              <w:left w:val="single" w:color="auto" w:sz="6" w:space="0"/>
              <w:bottom w:val="single" w:color="auto" w:sz="6" w:space="0"/>
              <w:right w:val="single" w:color="auto" w:sz="6" w:space="0"/>
            </w:tcBorders>
            <w:vAlign w:val="center"/>
          </w:tcPr>
          <w:p w14:paraId="47CF32E6">
            <w:pPr>
              <w:widowControl/>
              <w:jc w:val="center"/>
              <w:rPr>
                <w:rFonts w:hint="eastAsia" w:ascii="楷体_GB2312" w:hAnsi="楷体_GB2312" w:eastAsia="楷体_GB2312" w:cs="楷体_GB2312"/>
                <w:kern w:val="0"/>
                <w:sz w:val="21"/>
                <w:szCs w:val="21"/>
                <w:lang w:val="en-US" w:eastAsia="zh-CN"/>
              </w:rPr>
            </w:pPr>
            <w:r>
              <w:rPr>
                <w:rFonts w:hint="eastAsia" w:ascii="楷体_GB2312" w:hAnsi="楷体_GB2312" w:eastAsia="楷体_GB2312" w:cs="楷体_GB2312"/>
                <w:kern w:val="0"/>
                <w:sz w:val="21"/>
                <w:szCs w:val="21"/>
                <w:lang w:val="en-US" w:eastAsia="zh-CN"/>
              </w:rPr>
              <w:t>3</w:t>
            </w:r>
          </w:p>
        </w:tc>
        <w:tc>
          <w:tcPr>
            <w:tcW w:w="1510" w:type="dxa"/>
            <w:tcBorders>
              <w:top w:val="nil"/>
              <w:left w:val="nil"/>
              <w:bottom w:val="single" w:color="auto" w:sz="6" w:space="0"/>
              <w:right w:val="single" w:color="auto" w:sz="6" w:space="0"/>
            </w:tcBorders>
            <w:vAlign w:val="center"/>
          </w:tcPr>
          <w:p w14:paraId="6EFD2268">
            <w:pPr>
              <w:widowControl/>
              <w:jc w:val="left"/>
              <w:rPr>
                <w:rFonts w:hint="eastAsia" w:ascii="楷体_GB2312" w:hAnsi="楷体_GB2312" w:eastAsia="楷体_GB2312" w:cs="楷体_GB2312"/>
                <w:b/>
                <w:bCs/>
                <w:kern w:val="0"/>
                <w:sz w:val="21"/>
                <w:szCs w:val="21"/>
              </w:rPr>
            </w:pPr>
            <w:r>
              <w:rPr>
                <w:rFonts w:hint="eastAsia" w:ascii="楷体_GB2312" w:hAnsi="楷体_GB2312" w:eastAsia="楷体_GB2312" w:cs="楷体_GB2312"/>
                <w:b/>
                <w:bCs/>
                <w:kern w:val="0"/>
                <w:sz w:val="21"/>
                <w:szCs w:val="21"/>
              </w:rPr>
              <w:t>污水处理费收入</w:t>
            </w:r>
          </w:p>
        </w:tc>
        <w:tc>
          <w:tcPr>
            <w:tcW w:w="4383" w:type="dxa"/>
            <w:tcBorders>
              <w:top w:val="nil"/>
              <w:left w:val="nil"/>
              <w:bottom w:val="single" w:color="auto" w:sz="6" w:space="0"/>
              <w:right w:val="single" w:color="auto" w:sz="6" w:space="0"/>
            </w:tcBorders>
            <w:vAlign w:val="center"/>
          </w:tcPr>
          <w:p w14:paraId="223AF143">
            <w:pPr>
              <w:widowControl/>
              <w:jc w:val="left"/>
              <w:rPr>
                <w:rFonts w:hint="eastAsia" w:ascii="楷体_GB2312" w:hAnsi="楷体_GB2312" w:eastAsia="楷体_GB2312" w:cs="楷体_GB2312"/>
                <w:kern w:val="0"/>
                <w:sz w:val="21"/>
                <w:szCs w:val="21"/>
                <w:lang w:eastAsia="zh-CN"/>
              </w:rPr>
            </w:pPr>
            <w:r>
              <w:rPr>
                <w:rFonts w:hint="eastAsia" w:ascii="楷体_GB2312" w:hAnsi="楷体_GB2312" w:eastAsia="楷体_GB2312" w:cs="楷体_GB2312"/>
                <w:kern w:val="0"/>
                <w:sz w:val="21"/>
                <w:szCs w:val="21"/>
                <w:lang w:eastAsia="zh-CN"/>
              </w:rPr>
              <w:t>根据《污水处理费征收使用管理办法》（财政部、国家发改委、住房城乡建设部以财税【</w:t>
            </w:r>
            <w:r>
              <w:rPr>
                <w:rFonts w:hint="eastAsia" w:ascii="楷体_GB2312" w:hAnsi="楷体_GB2312" w:eastAsia="楷体_GB2312" w:cs="楷体_GB2312"/>
                <w:kern w:val="0"/>
                <w:sz w:val="21"/>
                <w:szCs w:val="21"/>
                <w:lang w:val="en-US" w:eastAsia="zh-CN"/>
              </w:rPr>
              <w:t>2014</w:t>
            </w:r>
            <w:r>
              <w:rPr>
                <w:rFonts w:hint="eastAsia" w:ascii="楷体_GB2312" w:hAnsi="楷体_GB2312" w:eastAsia="楷体_GB2312" w:cs="楷体_GB2312"/>
                <w:kern w:val="0"/>
                <w:sz w:val="21"/>
                <w:szCs w:val="21"/>
                <w:lang w:eastAsia="zh-CN"/>
              </w:rPr>
              <w:t>】</w:t>
            </w:r>
            <w:r>
              <w:rPr>
                <w:rFonts w:hint="eastAsia" w:ascii="楷体_GB2312" w:hAnsi="楷体_GB2312" w:eastAsia="楷体_GB2312" w:cs="楷体_GB2312"/>
                <w:kern w:val="0"/>
                <w:sz w:val="21"/>
                <w:szCs w:val="21"/>
                <w:lang w:val="en-US" w:eastAsia="zh-CN"/>
              </w:rPr>
              <w:t>151号</w:t>
            </w:r>
            <w:r>
              <w:rPr>
                <w:rFonts w:hint="eastAsia" w:ascii="楷体_GB2312" w:hAnsi="楷体_GB2312" w:eastAsia="楷体_GB2312" w:cs="楷体_GB2312"/>
                <w:kern w:val="0"/>
                <w:sz w:val="21"/>
                <w:szCs w:val="21"/>
                <w:lang w:eastAsia="zh-CN"/>
              </w:rPr>
              <w:t>）、《长汀县发改局</w:t>
            </w:r>
            <w:r>
              <w:rPr>
                <w:rFonts w:hint="eastAsia" w:ascii="楷体_GB2312" w:hAnsi="楷体_GB2312" w:eastAsia="楷体_GB2312" w:cs="楷体_GB2312"/>
                <w:kern w:val="0"/>
                <w:sz w:val="21"/>
                <w:szCs w:val="21"/>
                <w:lang w:val="en-US" w:eastAsia="zh-CN"/>
              </w:rPr>
              <w:t xml:space="preserve"> 长汀县财政局 长汀县住建局关于调整长汀城区污水处理收费标准的公告（三）</w:t>
            </w:r>
            <w:r>
              <w:rPr>
                <w:rFonts w:hint="eastAsia" w:ascii="楷体_GB2312" w:hAnsi="楷体_GB2312" w:eastAsia="楷体_GB2312" w:cs="楷体_GB2312"/>
                <w:kern w:val="0"/>
                <w:sz w:val="21"/>
                <w:szCs w:val="21"/>
                <w:lang w:eastAsia="zh-CN"/>
              </w:rPr>
              <w:t>》（汀发改价【</w:t>
            </w:r>
            <w:r>
              <w:rPr>
                <w:rFonts w:hint="eastAsia" w:ascii="楷体_GB2312" w:hAnsi="楷体_GB2312" w:eastAsia="楷体_GB2312" w:cs="楷体_GB2312"/>
                <w:kern w:val="0"/>
                <w:sz w:val="21"/>
                <w:szCs w:val="21"/>
                <w:lang w:val="en-US" w:eastAsia="zh-CN"/>
              </w:rPr>
              <w:t>2016</w:t>
            </w:r>
            <w:r>
              <w:rPr>
                <w:rFonts w:hint="eastAsia" w:ascii="楷体_GB2312" w:hAnsi="楷体_GB2312" w:eastAsia="楷体_GB2312" w:cs="楷体_GB2312"/>
                <w:kern w:val="0"/>
                <w:sz w:val="21"/>
                <w:szCs w:val="21"/>
                <w:lang w:eastAsia="zh-CN"/>
              </w:rPr>
              <w:t>】</w:t>
            </w:r>
            <w:r>
              <w:rPr>
                <w:rFonts w:hint="eastAsia" w:ascii="楷体_GB2312" w:hAnsi="楷体_GB2312" w:eastAsia="楷体_GB2312" w:cs="楷体_GB2312"/>
                <w:kern w:val="0"/>
                <w:sz w:val="21"/>
                <w:szCs w:val="21"/>
                <w:lang w:val="en-US" w:eastAsia="zh-CN"/>
              </w:rPr>
              <w:t>35号</w:t>
            </w:r>
            <w:r>
              <w:rPr>
                <w:rFonts w:hint="eastAsia" w:ascii="楷体_GB2312" w:hAnsi="楷体_GB2312" w:eastAsia="楷体_GB2312" w:cs="楷体_GB2312"/>
                <w:kern w:val="0"/>
                <w:sz w:val="21"/>
                <w:szCs w:val="21"/>
                <w:lang w:eastAsia="zh-CN"/>
              </w:rPr>
              <w:t>）、《长汀县人民政府关于印发</w:t>
            </w:r>
            <w:r>
              <w:rPr>
                <w:rFonts w:hint="eastAsia" w:ascii="楷体_GB2312" w:hAnsi="楷体_GB2312" w:eastAsia="楷体_GB2312" w:cs="楷体_GB2312"/>
                <w:kern w:val="0"/>
                <w:sz w:val="21"/>
                <w:szCs w:val="21"/>
                <w:lang w:val="en-US" w:eastAsia="zh-CN"/>
              </w:rPr>
              <w:t>&lt;长汀县污水处理费征收使用管理规定&gt;的通知</w:t>
            </w:r>
            <w:r>
              <w:rPr>
                <w:rFonts w:hint="eastAsia" w:ascii="楷体_GB2312" w:hAnsi="楷体_GB2312" w:eastAsia="楷体_GB2312" w:cs="楷体_GB2312"/>
                <w:kern w:val="0"/>
                <w:sz w:val="21"/>
                <w:szCs w:val="21"/>
                <w:lang w:eastAsia="zh-CN"/>
              </w:rPr>
              <w:t>》（汀政综【</w:t>
            </w:r>
            <w:r>
              <w:rPr>
                <w:rFonts w:hint="eastAsia" w:ascii="楷体_GB2312" w:hAnsi="楷体_GB2312" w:eastAsia="楷体_GB2312" w:cs="楷体_GB2312"/>
                <w:kern w:val="0"/>
                <w:sz w:val="21"/>
                <w:szCs w:val="21"/>
                <w:lang w:val="en-US" w:eastAsia="zh-CN"/>
              </w:rPr>
              <w:t>2007</w:t>
            </w:r>
            <w:r>
              <w:rPr>
                <w:rFonts w:hint="eastAsia" w:ascii="楷体_GB2312" w:hAnsi="楷体_GB2312" w:eastAsia="楷体_GB2312" w:cs="楷体_GB2312"/>
                <w:kern w:val="0"/>
                <w:sz w:val="21"/>
                <w:szCs w:val="21"/>
                <w:lang w:eastAsia="zh-CN"/>
              </w:rPr>
              <w:t>】</w:t>
            </w:r>
            <w:r>
              <w:rPr>
                <w:rFonts w:hint="eastAsia" w:ascii="楷体_GB2312" w:hAnsi="楷体_GB2312" w:eastAsia="楷体_GB2312" w:cs="楷体_GB2312"/>
                <w:kern w:val="0"/>
                <w:sz w:val="21"/>
                <w:szCs w:val="21"/>
                <w:lang w:val="en-US" w:eastAsia="zh-CN"/>
              </w:rPr>
              <w:t>118号</w:t>
            </w:r>
            <w:r>
              <w:rPr>
                <w:rFonts w:hint="eastAsia" w:ascii="楷体_GB2312" w:hAnsi="楷体_GB2312" w:eastAsia="楷体_GB2312" w:cs="楷体_GB2312"/>
                <w:kern w:val="0"/>
                <w:sz w:val="21"/>
                <w:szCs w:val="21"/>
                <w:lang w:eastAsia="zh-CN"/>
              </w:rPr>
              <w:t>）</w:t>
            </w:r>
          </w:p>
        </w:tc>
        <w:tc>
          <w:tcPr>
            <w:tcW w:w="5507" w:type="dxa"/>
            <w:tcBorders>
              <w:top w:val="nil"/>
              <w:left w:val="nil"/>
              <w:bottom w:val="single" w:color="auto" w:sz="6" w:space="0"/>
              <w:right w:val="single" w:color="auto" w:sz="6" w:space="0"/>
            </w:tcBorders>
            <w:vAlign w:val="center"/>
          </w:tcPr>
          <w:p w14:paraId="76CF9736">
            <w:pPr>
              <w:widowControl/>
              <w:jc w:val="left"/>
              <w:rPr>
                <w:rFonts w:hint="default" w:ascii="楷体_GB2312" w:hAnsi="楷体_GB2312" w:eastAsia="楷体_GB2312" w:cs="楷体_GB2312"/>
                <w:kern w:val="0"/>
                <w:sz w:val="21"/>
                <w:szCs w:val="21"/>
                <w:lang w:val="en-US" w:eastAsia="zh-CN"/>
              </w:rPr>
            </w:pPr>
            <w:r>
              <w:rPr>
                <w:rFonts w:hint="eastAsia" w:ascii="楷体_GB2312" w:hAnsi="楷体_GB2312" w:eastAsia="楷体_GB2312" w:cs="楷体_GB2312"/>
                <w:kern w:val="0"/>
                <w:sz w:val="21"/>
                <w:szCs w:val="21"/>
                <w:lang w:val="en-US" w:eastAsia="zh-CN"/>
              </w:rPr>
              <w:t>1.居民用水污水处理费至0.85元/吨；2.其他行业用水污水处理费1.2元/吨；3.特种行业用水污水处理收1.4元/吨。</w:t>
            </w:r>
          </w:p>
        </w:tc>
      </w:tr>
    </w:tbl>
    <w:p w14:paraId="0D6C3668">
      <w:bookmarkStart w:id="0" w:name="_GoBack"/>
      <w:bookmarkEnd w:id="0"/>
    </w:p>
    <w:sectPr>
      <w:pgSz w:w="16838" w:h="11906" w:orient="landscape"/>
      <w:pgMar w:top="1519" w:right="1440" w:bottom="1293"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2FC"/>
    <w:rsid w:val="00067746"/>
    <w:rsid w:val="00156C5B"/>
    <w:rsid w:val="00536C2E"/>
    <w:rsid w:val="005539A0"/>
    <w:rsid w:val="00C212FC"/>
    <w:rsid w:val="00CE1757"/>
    <w:rsid w:val="00F772D1"/>
    <w:rsid w:val="053C67C2"/>
    <w:rsid w:val="0688393B"/>
    <w:rsid w:val="0D4E3725"/>
    <w:rsid w:val="10C57253"/>
    <w:rsid w:val="1C381D54"/>
    <w:rsid w:val="1CCE7C09"/>
    <w:rsid w:val="1CEB326A"/>
    <w:rsid w:val="22FB3ADB"/>
    <w:rsid w:val="268838D8"/>
    <w:rsid w:val="2ABE39B7"/>
    <w:rsid w:val="2AE14B12"/>
    <w:rsid w:val="2CF54821"/>
    <w:rsid w:val="33647D96"/>
    <w:rsid w:val="36DF7544"/>
    <w:rsid w:val="396F2643"/>
    <w:rsid w:val="3A1629B3"/>
    <w:rsid w:val="3BC907C3"/>
    <w:rsid w:val="3F5D194E"/>
    <w:rsid w:val="41CC6917"/>
    <w:rsid w:val="4A591D72"/>
    <w:rsid w:val="4B6057DD"/>
    <w:rsid w:val="4C2D49DC"/>
    <w:rsid w:val="5FC92290"/>
    <w:rsid w:val="606D6287"/>
    <w:rsid w:val="61D91121"/>
    <w:rsid w:val="63367C3C"/>
    <w:rsid w:val="63C05795"/>
    <w:rsid w:val="640D6BEF"/>
    <w:rsid w:val="6E160D96"/>
    <w:rsid w:val="6FE642A4"/>
    <w:rsid w:val="724C3314"/>
    <w:rsid w:val="750C2ABB"/>
    <w:rsid w:val="7DB73B0C"/>
    <w:rsid w:val="7F855D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5">
    <w:name w:val="Hyperlink"/>
    <w:basedOn w:val="4"/>
    <w:semiHidden/>
    <w:unhideWhenUsed/>
    <w:qFormat/>
    <w:uiPriority w:val="99"/>
    <w:rPr>
      <w:color w:val="0000FF"/>
      <w:u w:val="single"/>
    </w:rPr>
  </w:style>
  <w:style w:type="character" w:customStyle="1" w:styleId="6">
    <w:name w:val="标题 1 Char"/>
    <w:basedOn w:val="4"/>
    <w:link w:val="2"/>
    <w:qFormat/>
    <w:uiPriority w:val="9"/>
    <w:rPr>
      <w:rFonts w:ascii="宋体" w:hAnsi="宋体" w:eastAsia="宋体" w:cs="宋体"/>
      <w:b/>
      <w:bCs/>
      <w:kern w:val="36"/>
      <w:sz w:val="48"/>
      <w:szCs w:val="48"/>
    </w:rPr>
  </w:style>
  <w:style w:type="character" w:customStyle="1" w:styleId="7">
    <w:name w:val="font"/>
    <w:basedOn w:val="4"/>
    <w:qFormat/>
    <w:uiPriority w:val="0"/>
  </w:style>
  <w:style w:type="character" w:customStyle="1" w:styleId="8">
    <w:name w:val="wza-old-dn"/>
    <w:basedOn w:val="4"/>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749</Words>
  <Characters>825</Characters>
  <Lines>1</Lines>
  <Paragraphs>1</Paragraphs>
  <TotalTime>2</TotalTime>
  <ScaleCrop>false</ScaleCrop>
  <LinksUpToDate>false</LinksUpToDate>
  <CharactersWithSpaces>827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2025-11-06T02:51:00Z</dcterms:created>
  <dc:creator>Administrator</dc:creator>
  <cp:lastModifiedBy>张</cp:lastModifiedBy>
  <dcterms:modified xsi:type="dcterms:W3CDTF">2025-12-05T02:50:12Z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eyJoZGlkIjoiZTQ3N2FjZjQzYTRlOGNjM2I1YzRhYTc3YTRhYzZmYzAiLCJ1c2VySWQiOiI1NzU3Mzk5MzkifQ==</vt:lpwstr>
  </property>
  <property fmtid="{D5CDD505-2E9C-101B-9397-08002B2CF9AE}" pid="4" name="ICV">
    <vt:lpwstr>8FC1CED104224FBB9864ECF03775EB0F_13</vt:lpwstr>
  </property>
</Properties>
</file>