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3909A">
      <w:pPr>
        <w:jc w:val="center"/>
        <w:rPr>
          <w:rFonts w:ascii="方正小标宋简体" w:hAnsi="宋体" w:eastAsia="方正小标宋简体" w:cs="宋体"/>
          <w:kern w:val="0"/>
          <w:sz w:val="40"/>
          <w:szCs w:val="36"/>
        </w:rPr>
      </w:pPr>
      <w:r>
        <w:rPr>
          <w:rFonts w:hint="eastAsia" w:ascii="方正小标宋简体" w:hAnsi="宋体" w:eastAsia="方正小标宋简体" w:cs="宋体"/>
          <w:kern w:val="0"/>
          <w:sz w:val="40"/>
          <w:szCs w:val="36"/>
        </w:rPr>
        <w:t>2025年长汀县国民经济和社会发展统计公报</w:t>
      </w:r>
    </w:p>
    <w:p w14:paraId="68CE77B8">
      <w:pPr>
        <w:widowControl/>
        <w:jc w:val="center"/>
        <w:rPr>
          <w:rFonts w:ascii="仿宋_GB2312" w:hAnsi="宋体" w:eastAsia="仿宋_GB2312" w:cs="宋体"/>
          <w:b/>
          <w:kern w:val="0"/>
          <w:sz w:val="32"/>
          <w:szCs w:val="28"/>
        </w:rPr>
      </w:pPr>
      <w:r>
        <w:rPr>
          <w:rFonts w:hint="eastAsia" w:ascii="仿宋_GB2312" w:hAnsi="宋体" w:eastAsia="仿宋_GB2312" w:cs="宋体"/>
          <w:b/>
          <w:kern w:val="0"/>
          <w:sz w:val="32"/>
          <w:szCs w:val="28"/>
        </w:rPr>
        <w:t xml:space="preserve">长汀县统计局 </w:t>
      </w:r>
    </w:p>
    <w:p w14:paraId="27833EDD">
      <w:pPr>
        <w:widowControl/>
        <w:jc w:val="center"/>
        <w:rPr>
          <w:rFonts w:ascii="楷体_GB2312" w:eastAsia="楷体_GB2312" w:cs="宋体"/>
          <w:b/>
          <w:kern w:val="0"/>
          <w:sz w:val="28"/>
          <w:szCs w:val="28"/>
        </w:rPr>
      </w:pPr>
      <w:r>
        <w:rPr>
          <w:rFonts w:hint="eastAsia" w:ascii="仿宋_GB2312" w:hAnsi="宋体" w:eastAsia="仿宋_GB2312" w:cs="宋体"/>
          <w:b/>
          <w:kern w:val="0"/>
          <w:sz w:val="32"/>
          <w:szCs w:val="28"/>
        </w:rPr>
        <w:t>2026年</w:t>
      </w:r>
      <w:r>
        <w:rPr>
          <w:rFonts w:hint="eastAsia" w:ascii="仿宋_GB2312" w:hAnsi="宋体" w:eastAsia="仿宋_GB2312" w:cs="宋体"/>
          <w:b/>
          <w:kern w:val="0"/>
          <w:sz w:val="32"/>
          <w:szCs w:val="28"/>
          <w:lang w:val="en-US" w:eastAsia="zh-CN"/>
        </w:rPr>
        <w:t>5</w:t>
      </w:r>
      <w:bookmarkStart w:id="1" w:name="_GoBack"/>
      <w:bookmarkEnd w:id="1"/>
      <w:r>
        <w:rPr>
          <w:rFonts w:hint="eastAsia" w:ascii="仿宋_GB2312" w:hAnsi="宋体" w:eastAsia="仿宋_GB2312" w:cs="宋体"/>
          <w:b/>
          <w:kern w:val="0"/>
          <w:sz w:val="32"/>
          <w:szCs w:val="28"/>
        </w:rPr>
        <w:t>月</w:t>
      </w:r>
    </w:p>
    <w:p w14:paraId="6EAAF0B7">
      <w:pPr>
        <w:widowControl/>
        <w:spacing w:beforeLines="100" w:afterLines="100"/>
        <w:jc w:val="center"/>
        <w:rPr>
          <w:rFonts w:ascii="黑体" w:hAnsi="宋体" w:eastAsia="黑体" w:cs="宋体"/>
          <w:kern w:val="0"/>
          <w:sz w:val="32"/>
          <w:szCs w:val="30"/>
        </w:rPr>
      </w:pPr>
      <w:r>
        <w:rPr>
          <w:rFonts w:hint="eastAsia" w:ascii="黑体" w:hAnsi="宋体" w:eastAsia="黑体" w:cs="宋体"/>
          <w:kern w:val="0"/>
          <w:sz w:val="32"/>
          <w:szCs w:val="30"/>
        </w:rPr>
        <w:t>一、综合</w:t>
      </w:r>
    </w:p>
    <w:p w14:paraId="5C2C5540">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据市统计局初步反馈，2025年，长汀县全年实现地区生产总值372.5亿元，同比增长4.6%。其中，第一产业增加值43.7亿元，增长3.5%；第二产业增加值146.7亿元，增长5.6%；第三产业增加值182.1亿元，增长4.2%。人均地区生产总值95768元，增长5.6%。第一产业增加值占地区生产总值的比重为11.7%，第二产业增加值比重为39.4%，第三产业增加值比重为48.9%。</w:t>
      </w:r>
    </w:p>
    <w:p w14:paraId="55D77947">
      <w:pPr>
        <w:widowControl/>
        <w:rPr>
          <w:rFonts w:ascii="仿宋_GB2312" w:hAnsi="宋体" w:eastAsia="仿宋_GB2312" w:cs="宋体"/>
          <w:kern w:val="0"/>
          <w:sz w:val="28"/>
          <w:szCs w:val="28"/>
        </w:rPr>
      </w:pPr>
      <w:r>
        <w:rPr>
          <w:rFonts w:ascii="仿宋_GB2312" w:hAnsi="宋体" w:eastAsia="仿宋_GB2312" w:cs="宋体"/>
          <w:kern w:val="0"/>
          <w:sz w:val="28"/>
          <w:szCs w:val="28"/>
        </w:rPr>
        <w:drawing>
          <wp:inline distT="0" distB="0" distL="0" distR="0">
            <wp:extent cx="5615940" cy="3346450"/>
            <wp:effectExtent l="19050" t="0" r="3810" b="0"/>
            <wp:docPr id="17" name="图片 16" descr="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图片4.png"/>
                    <pic:cNvPicPr>
                      <a:picLocks noChangeAspect="1"/>
                    </pic:cNvPicPr>
                  </pic:nvPicPr>
                  <pic:blipFill>
                    <a:blip r:embed="rId7"/>
                    <a:stretch>
                      <a:fillRect/>
                    </a:stretch>
                  </pic:blipFill>
                  <pic:spPr>
                    <a:xfrm>
                      <a:off x="0" y="0"/>
                      <a:ext cx="5615940" cy="3346450"/>
                    </a:xfrm>
                    <a:prstGeom prst="rect">
                      <a:avLst/>
                    </a:prstGeom>
                  </pic:spPr>
                </pic:pic>
              </a:graphicData>
            </a:graphic>
          </wp:inline>
        </w:drawing>
      </w:r>
    </w:p>
    <w:p w14:paraId="6C242DC5">
      <w:pPr>
        <w:widowControl/>
        <w:rPr>
          <w:rFonts w:ascii="仿宋_GB2312" w:hAnsi="宋体" w:eastAsia="仿宋_GB2312" w:cs="宋体"/>
          <w:kern w:val="0"/>
          <w:sz w:val="28"/>
          <w:szCs w:val="28"/>
        </w:rPr>
      </w:pPr>
      <w:r>
        <w:rPr>
          <w:rFonts w:ascii="仿宋_GB2312" w:hAnsi="宋体" w:eastAsia="仿宋_GB2312" w:cs="宋体"/>
          <w:kern w:val="0"/>
          <w:sz w:val="28"/>
          <w:szCs w:val="28"/>
        </w:rPr>
        <w:drawing>
          <wp:inline distT="0" distB="0" distL="0" distR="0">
            <wp:extent cx="5615940" cy="3180715"/>
            <wp:effectExtent l="19050" t="0" r="3810" b="0"/>
            <wp:docPr id="15" name="图片 14"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图片3.png"/>
                    <pic:cNvPicPr>
                      <a:picLocks noChangeAspect="1"/>
                    </pic:cNvPicPr>
                  </pic:nvPicPr>
                  <pic:blipFill>
                    <a:blip r:embed="rId8"/>
                    <a:stretch>
                      <a:fillRect/>
                    </a:stretch>
                  </pic:blipFill>
                  <pic:spPr>
                    <a:xfrm>
                      <a:off x="0" y="0"/>
                      <a:ext cx="5615940" cy="3180715"/>
                    </a:xfrm>
                    <a:prstGeom prst="rect">
                      <a:avLst/>
                    </a:prstGeom>
                  </pic:spPr>
                </pic:pic>
              </a:graphicData>
            </a:graphic>
          </wp:inline>
        </w:drawing>
      </w:r>
    </w:p>
    <w:p w14:paraId="1223A706">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年末全县常住人口38.6万人，同比下降1.5%。常住人口城镇化率57.75%，比上年提高1.17个百分点。</w:t>
      </w:r>
    </w:p>
    <w:p w14:paraId="5856F502">
      <w:pPr>
        <w:widowControl/>
        <w:spacing w:line="560" w:lineRule="exact"/>
        <w:ind w:firstLine="640" w:firstLineChars="200"/>
      </w:pPr>
      <w:r>
        <w:rPr>
          <w:rFonts w:hint="eastAsia" w:ascii="仿宋_GB2312" w:hAnsi="宋体" w:eastAsia="仿宋_GB2312" w:cs="宋体"/>
          <w:kern w:val="0"/>
          <w:sz w:val="32"/>
          <w:szCs w:val="28"/>
        </w:rPr>
        <w:t>全县总户数172273</w:t>
      </w:r>
      <w:r>
        <w:rPr>
          <w:rFonts w:ascii="仿宋_GB2312" w:hAnsi="宋体" w:eastAsia="仿宋_GB2312" w:cs="宋体"/>
          <w:kern w:val="0"/>
          <w:sz w:val="32"/>
          <w:szCs w:val="28"/>
        </w:rPr>
        <w:t>户，</w:t>
      </w:r>
      <w:r>
        <w:rPr>
          <w:rFonts w:hint="eastAsia" w:ascii="仿宋_GB2312" w:hAnsi="宋体" w:eastAsia="仿宋_GB2312" w:cs="宋体"/>
          <w:kern w:val="0"/>
          <w:sz w:val="32"/>
          <w:szCs w:val="28"/>
        </w:rPr>
        <w:t>总人口53.55万人，其中农村人口31.58万</w:t>
      </w:r>
      <w:r>
        <w:rPr>
          <w:rFonts w:ascii="仿宋_GB2312" w:hAnsi="宋体" w:eastAsia="仿宋_GB2312" w:cs="宋体"/>
          <w:kern w:val="0"/>
          <w:sz w:val="32"/>
          <w:szCs w:val="28"/>
        </w:rPr>
        <w:t>人，非农村人口</w:t>
      </w:r>
      <w:r>
        <w:rPr>
          <w:rFonts w:hint="eastAsia" w:ascii="仿宋_GB2312" w:hAnsi="宋体" w:eastAsia="仿宋_GB2312" w:cs="宋体"/>
          <w:kern w:val="0"/>
          <w:sz w:val="32"/>
          <w:szCs w:val="28"/>
        </w:rPr>
        <w:t>21.97万</w:t>
      </w:r>
      <w:r>
        <w:rPr>
          <w:rFonts w:ascii="仿宋_GB2312" w:hAnsi="宋体" w:eastAsia="仿宋_GB2312" w:cs="宋体"/>
          <w:kern w:val="0"/>
          <w:sz w:val="32"/>
          <w:szCs w:val="28"/>
        </w:rPr>
        <w:t>人。</w:t>
      </w:r>
      <w:r>
        <w:rPr>
          <w:rFonts w:hint="eastAsia" w:ascii="仿宋_GB2312" w:hAnsi="宋体" w:eastAsia="仿宋_GB2312" w:cs="宋体"/>
          <w:kern w:val="0"/>
          <w:sz w:val="32"/>
          <w:szCs w:val="28"/>
        </w:rPr>
        <w:t>总出生人口3847人，出生率为7.18‰；死亡人口4355人，死亡率为8.13‰；自然增长率为-0.95‰。</w:t>
      </w:r>
    </w:p>
    <w:p w14:paraId="4C052B4D">
      <w:pPr>
        <w:widowControl/>
        <w:ind w:firstLine="140" w:firstLineChars="50"/>
        <w:rPr>
          <w:rFonts w:ascii="仿宋_GB2312" w:hAnsi="宋体" w:eastAsia="仿宋_GB2312" w:cs="宋体"/>
          <w:kern w:val="0"/>
          <w:sz w:val="28"/>
          <w:szCs w:val="28"/>
        </w:rPr>
      </w:pPr>
      <w:r>
        <w:rPr>
          <w:rFonts w:ascii="仿宋_GB2312" w:hAnsi="宋体" w:eastAsia="仿宋_GB2312" w:cs="宋体"/>
          <w:kern w:val="0"/>
          <w:sz w:val="28"/>
          <w:szCs w:val="28"/>
        </w:rPr>
        <w:drawing>
          <wp:inline distT="0" distB="0" distL="0" distR="0">
            <wp:extent cx="5615940" cy="2766060"/>
            <wp:effectExtent l="19050" t="0" r="3810" b="0"/>
            <wp:docPr id="2" name="图片 1"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1.png"/>
                    <pic:cNvPicPr>
                      <a:picLocks noChangeAspect="1"/>
                    </pic:cNvPicPr>
                  </pic:nvPicPr>
                  <pic:blipFill>
                    <a:blip r:embed="rId9"/>
                    <a:stretch>
                      <a:fillRect/>
                    </a:stretch>
                  </pic:blipFill>
                  <pic:spPr>
                    <a:xfrm>
                      <a:off x="0" y="0"/>
                      <a:ext cx="5615940" cy="2766060"/>
                    </a:xfrm>
                    <a:prstGeom prst="rect">
                      <a:avLst/>
                    </a:prstGeom>
                  </pic:spPr>
                </pic:pic>
              </a:graphicData>
            </a:graphic>
          </wp:inline>
        </w:drawing>
      </w:r>
    </w:p>
    <w:p w14:paraId="1D6DF2C8">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全年城镇新增就业-194人，无下岗人员实现了再就业。</w:t>
      </w:r>
    </w:p>
    <w:p w14:paraId="1D31DC93">
      <w:pPr>
        <w:widowControl/>
        <w:spacing w:line="560" w:lineRule="exact"/>
        <w:ind w:firstLine="640" w:firstLineChars="200"/>
        <w:rPr>
          <w:rFonts w:ascii="仿宋_GB2312" w:hAnsi="宋体" w:eastAsia="仿宋_GB2312" w:cs="宋体"/>
          <w:kern w:val="0"/>
          <w:sz w:val="28"/>
          <w:szCs w:val="28"/>
        </w:rPr>
      </w:pPr>
      <w:r>
        <w:rPr>
          <w:rFonts w:hint="eastAsia" w:ascii="仿宋_GB2312" w:hAnsi="宋体" w:eastAsia="仿宋_GB2312" w:cs="宋体"/>
          <w:kern w:val="0"/>
          <w:sz w:val="32"/>
          <w:szCs w:val="28"/>
        </w:rPr>
        <w:t>全年新登记市场主体5241户，日均（按工作日计算）新登记市场主体21.1户，2025年末实有市场主体62011户。</w:t>
      </w:r>
    </w:p>
    <w:p w14:paraId="61EA68B4">
      <w:pPr>
        <w:widowControl/>
        <w:spacing w:beforeLines="100" w:afterLines="100"/>
        <w:jc w:val="center"/>
        <w:rPr>
          <w:rFonts w:ascii="黑体" w:hAnsi="宋体" w:eastAsia="黑体" w:cs="宋体"/>
          <w:kern w:val="0"/>
          <w:sz w:val="32"/>
          <w:szCs w:val="30"/>
        </w:rPr>
      </w:pPr>
      <w:r>
        <w:rPr>
          <w:rFonts w:hint="eastAsia" w:ascii="黑体" w:hAnsi="宋体" w:eastAsia="黑体" w:cs="宋体"/>
          <w:kern w:val="0"/>
          <w:sz w:val="32"/>
          <w:szCs w:val="30"/>
        </w:rPr>
        <w:t>二、农业</w:t>
      </w:r>
    </w:p>
    <w:p w14:paraId="57536957">
      <w:pPr>
        <w:widowControl/>
        <w:spacing w:line="560" w:lineRule="exact"/>
        <w:ind w:firstLine="640" w:firstLineChars="200"/>
        <w:rPr>
          <w:rFonts w:ascii="仿宋_GB2312" w:hAnsi="宋体" w:eastAsia="仿宋_GB2312" w:cs="宋体"/>
          <w:kern w:val="0"/>
          <w:sz w:val="28"/>
          <w:szCs w:val="28"/>
        </w:rPr>
      </w:pPr>
      <w:r>
        <w:rPr>
          <w:rFonts w:hint="eastAsia" w:ascii="仿宋_GB2312" w:hAnsi="宋体" w:eastAsia="仿宋_GB2312" w:cs="宋体"/>
          <w:kern w:val="0"/>
          <w:sz w:val="32"/>
          <w:szCs w:val="28"/>
        </w:rPr>
        <w:t>全年农林牧渔业完成总产值77.8亿元，增长3.5%。其中，农业产值32.1亿元，增长3.4%；林业产值</w:t>
      </w:r>
      <w:r>
        <w:rPr>
          <w:rFonts w:ascii="仿宋_GB2312" w:hAnsi="宋体" w:eastAsia="仿宋_GB2312" w:cs="宋体"/>
          <w:kern w:val="0"/>
          <w:sz w:val="32"/>
          <w:szCs w:val="28"/>
        </w:rPr>
        <w:t>10.</w:t>
      </w:r>
      <w:r>
        <w:rPr>
          <w:rFonts w:hint="eastAsia" w:ascii="仿宋_GB2312" w:hAnsi="宋体" w:eastAsia="仿宋_GB2312" w:cs="宋体"/>
          <w:kern w:val="0"/>
          <w:sz w:val="32"/>
          <w:szCs w:val="28"/>
        </w:rPr>
        <w:t>9亿元，增长4.1%；牧业产值30.0亿元，增长3.4%；渔业产值</w:t>
      </w:r>
      <w:r>
        <w:rPr>
          <w:rFonts w:ascii="仿宋_GB2312" w:hAnsi="宋体" w:eastAsia="仿宋_GB2312" w:cs="宋体"/>
          <w:kern w:val="0"/>
          <w:sz w:val="32"/>
          <w:szCs w:val="28"/>
        </w:rPr>
        <w:t>2.8</w:t>
      </w:r>
      <w:r>
        <w:rPr>
          <w:rFonts w:hint="eastAsia" w:ascii="仿宋_GB2312" w:hAnsi="宋体" w:eastAsia="仿宋_GB2312" w:cs="宋体"/>
          <w:kern w:val="0"/>
          <w:sz w:val="32"/>
          <w:szCs w:val="28"/>
        </w:rPr>
        <w:t>亿元，增长4.9%；农林牧渔服务业产值2.0</w:t>
      </w:r>
      <w:r>
        <w:rPr>
          <w:rFonts w:ascii="仿宋_GB2312" w:hAnsi="宋体" w:eastAsia="仿宋_GB2312" w:cs="宋体"/>
          <w:kern w:val="0"/>
          <w:sz w:val="32"/>
          <w:szCs w:val="28"/>
        </w:rPr>
        <w:t>亿元，增长</w:t>
      </w:r>
      <w:r>
        <w:rPr>
          <w:rFonts w:hint="eastAsia" w:ascii="仿宋_GB2312" w:hAnsi="宋体" w:eastAsia="仿宋_GB2312" w:cs="宋体"/>
          <w:kern w:val="0"/>
          <w:sz w:val="32"/>
          <w:szCs w:val="28"/>
        </w:rPr>
        <w:t>3.7</w:t>
      </w:r>
      <w:r>
        <w:rPr>
          <w:rFonts w:ascii="仿宋_GB2312" w:hAnsi="宋体" w:eastAsia="仿宋_GB2312" w:cs="宋体"/>
          <w:kern w:val="0"/>
          <w:sz w:val="32"/>
          <w:szCs w:val="28"/>
        </w:rPr>
        <w:t>%</w:t>
      </w:r>
      <w:r>
        <w:rPr>
          <w:rFonts w:hint="eastAsia" w:ascii="仿宋_GB2312" w:hAnsi="宋体" w:eastAsia="仿宋_GB2312" w:cs="宋体"/>
          <w:kern w:val="0"/>
          <w:sz w:val="32"/>
          <w:szCs w:val="28"/>
        </w:rPr>
        <w:t>。</w:t>
      </w:r>
    </w:p>
    <w:p w14:paraId="24E474FA">
      <w:pPr>
        <w:widowControl/>
        <w:jc w:val="center"/>
      </w:pPr>
      <w:r>
        <w:drawing>
          <wp:inline distT="0" distB="0" distL="0" distR="0">
            <wp:extent cx="5615940" cy="3082925"/>
            <wp:effectExtent l="19050" t="0" r="3810" b="0"/>
            <wp:docPr id="1" name="图片 0" descr="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图片4.png"/>
                    <pic:cNvPicPr>
                      <a:picLocks noChangeAspect="1"/>
                    </pic:cNvPicPr>
                  </pic:nvPicPr>
                  <pic:blipFill>
                    <a:blip r:embed="rId10"/>
                    <a:stretch>
                      <a:fillRect/>
                    </a:stretch>
                  </pic:blipFill>
                  <pic:spPr>
                    <a:xfrm>
                      <a:off x="0" y="0"/>
                      <a:ext cx="5615940" cy="3082925"/>
                    </a:xfrm>
                    <a:prstGeom prst="rect">
                      <a:avLst/>
                    </a:prstGeom>
                  </pic:spPr>
                </pic:pic>
              </a:graphicData>
            </a:graphic>
          </wp:inline>
        </w:drawing>
      </w:r>
    </w:p>
    <w:p w14:paraId="202FC331">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全年粮食种植面积38.8</w:t>
      </w:r>
      <w:r>
        <w:rPr>
          <w:rFonts w:hint="eastAsia" w:ascii="仿宋_GB2312" w:hAnsi="华文仿宋" w:eastAsia="仿宋_GB2312" w:cs="华文仿宋"/>
          <w:bCs/>
          <w:sz w:val="32"/>
          <w:szCs w:val="28"/>
        </w:rPr>
        <w:t>万亩，</w:t>
      </w:r>
      <w:r>
        <w:rPr>
          <w:rFonts w:hint="eastAsia" w:ascii="仿宋_GB2312" w:hAnsi="宋体" w:eastAsia="仿宋_GB2312"/>
          <w:sz w:val="32"/>
          <w:szCs w:val="28"/>
        </w:rPr>
        <w:t>增长0.4%</w:t>
      </w:r>
      <w:r>
        <w:rPr>
          <w:rFonts w:hint="eastAsia" w:ascii="仿宋_GB2312" w:hAnsi="宋体" w:eastAsia="仿宋_GB2312" w:cs="宋体"/>
          <w:kern w:val="0"/>
          <w:sz w:val="32"/>
          <w:szCs w:val="28"/>
        </w:rPr>
        <w:t>，其中稻谷面积34.0万亩，比上年增加0.2万亩；全年烟叶种植面积7.9万亩，增长1.9%，比上年增加0.1万亩；油料种植面积3.0万亩，比上年增加0.1万亩；蔬菜种植面积17.5万亩，增长3.3%；瓜果种植面积0.3</w:t>
      </w:r>
      <w:r>
        <w:rPr>
          <w:rFonts w:ascii="仿宋_GB2312" w:hAnsi="宋体" w:eastAsia="仿宋_GB2312" w:cs="宋体"/>
          <w:kern w:val="0"/>
          <w:sz w:val="32"/>
          <w:szCs w:val="28"/>
        </w:rPr>
        <w:t>万亩，增长</w:t>
      </w:r>
      <w:r>
        <w:rPr>
          <w:rFonts w:hint="eastAsia" w:ascii="仿宋_GB2312" w:hAnsi="宋体" w:eastAsia="仿宋_GB2312" w:cs="宋体"/>
          <w:kern w:val="0"/>
          <w:sz w:val="32"/>
          <w:szCs w:val="28"/>
        </w:rPr>
        <w:t>4.7</w:t>
      </w:r>
      <w:r>
        <w:rPr>
          <w:rFonts w:ascii="仿宋_GB2312" w:hAnsi="宋体" w:eastAsia="仿宋_GB2312" w:cs="宋体"/>
          <w:kern w:val="0"/>
          <w:sz w:val="32"/>
          <w:szCs w:val="28"/>
        </w:rPr>
        <w:t>%</w:t>
      </w:r>
      <w:r>
        <w:rPr>
          <w:rFonts w:hint="eastAsia" w:ascii="仿宋_GB2312" w:hAnsi="宋体" w:eastAsia="仿宋_GB2312" w:cs="宋体"/>
          <w:kern w:val="0"/>
          <w:sz w:val="32"/>
          <w:szCs w:val="28"/>
        </w:rPr>
        <w:t>。</w:t>
      </w:r>
    </w:p>
    <w:p w14:paraId="2961A05C">
      <w:pPr>
        <w:widowControl/>
        <w:spacing w:line="560" w:lineRule="exact"/>
        <w:ind w:firstLine="640" w:firstLineChars="200"/>
        <w:rPr>
          <w:rFonts w:ascii="仿宋_GB2312" w:hAnsi="宋体" w:eastAsia="仿宋_GB2312" w:cs="宋体"/>
          <w:kern w:val="0"/>
          <w:sz w:val="28"/>
          <w:szCs w:val="28"/>
        </w:rPr>
      </w:pPr>
      <w:r>
        <w:rPr>
          <w:rFonts w:hint="eastAsia" w:ascii="仿宋_GB2312" w:hAnsi="宋体" w:eastAsia="仿宋_GB2312" w:cs="宋体"/>
          <w:kern w:val="0"/>
          <w:sz w:val="32"/>
          <w:szCs w:val="28"/>
        </w:rPr>
        <w:t>全年粮食产量17.8</w:t>
      </w:r>
      <w:r>
        <w:rPr>
          <w:rFonts w:hint="eastAsia" w:ascii="仿宋_GB2312" w:hAnsi="宋体" w:eastAsia="仿宋_GB2312"/>
          <w:sz w:val="32"/>
          <w:szCs w:val="28"/>
        </w:rPr>
        <w:t>万</w:t>
      </w:r>
      <w:r>
        <w:rPr>
          <w:rFonts w:hint="eastAsia" w:ascii="仿宋_GB2312" w:hAnsi="宋体" w:eastAsia="仿宋_GB2312" w:cs="宋体"/>
          <w:kern w:val="0"/>
          <w:sz w:val="32"/>
          <w:szCs w:val="28"/>
        </w:rPr>
        <w:t>吨，增长1.3%。按收获季节分，春收粮食0.6</w:t>
      </w:r>
      <w:r>
        <w:rPr>
          <w:rFonts w:ascii="仿宋_GB2312" w:hAnsi="宋体" w:eastAsia="仿宋_GB2312" w:cs="宋体"/>
          <w:kern w:val="0"/>
          <w:sz w:val="32"/>
          <w:szCs w:val="28"/>
        </w:rPr>
        <w:t>万吨，</w:t>
      </w:r>
      <w:r>
        <w:rPr>
          <w:rFonts w:hint="eastAsia" w:ascii="仿宋_GB2312" w:hAnsi="宋体" w:eastAsia="仿宋_GB2312" w:cs="宋体"/>
          <w:kern w:val="0"/>
          <w:sz w:val="32"/>
          <w:szCs w:val="28"/>
        </w:rPr>
        <w:t>增长1.2</w:t>
      </w:r>
      <w:r>
        <w:rPr>
          <w:rFonts w:ascii="仿宋_GB2312" w:hAnsi="宋体" w:eastAsia="仿宋_GB2312" w:cs="宋体"/>
          <w:kern w:val="0"/>
          <w:sz w:val="32"/>
          <w:szCs w:val="28"/>
        </w:rPr>
        <w:t>%；夏收粮食</w:t>
      </w:r>
      <w:r>
        <w:rPr>
          <w:rFonts w:hint="eastAsia" w:ascii="仿宋_GB2312" w:hAnsi="宋体" w:eastAsia="仿宋_GB2312" w:cs="宋体"/>
          <w:kern w:val="0"/>
          <w:sz w:val="32"/>
          <w:szCs w:val="28"/>
        </w:rPr>
        <w:t>3.8</w:t>
      </w:r>
      <w:r>
        <w:rPr>
          <w:rFonts w:ascii="仿宋_GB2312" w:hAnsi="宋体" w:eastAsia="仿宋_GB2312" w:cs="宋体"/>
          <w:kern w:val="0"/>
          <w:sz w:val="32"/>
          <w:szCs w:val="28"/>
        </w:rPr>
        <w:t>万吨，增长</w:t>
      </w:r>
      <w:r>
        <w:rPr>
          <w:rFonts w:hint="eastAsia" w:ascii="仿宋_GB2312" w:hAnsi="宋体" w:eastAsia="仿宋_GB2312" w:cs="宋体"/>
          <w:kern w:val="0"/>
          <w:sz w:val="32"/>
          <w:szCs w:val="28"/>
        </w:rPr>
        <w:t>0.6</w:t>
      </w:r>
      <w:r>
        <w:rPr>
          <w:rFonts w:ascii="仿宋_GB2312" w:hAnsi="宋体" w:eastAsia="仿宋_GB2312" w:cs="宋体"/>
          <w:kern w:val="0"/>
          <w:sz w:val="32"/>
          <w:szCs w:val="28"/>
        </w:rPr>
        <w:t>%；秋收粮食</w:t>
      </w:r>
      <w:r>
        <w:rPr>
          <w:rFonts w:hint="eastAsia" w:ascii="仿宋_GB2312" w:hAnsi="宋体" w:eastAsia="仿宋_GB2312" w:cs="宋体"/>
          <w:kern w:val="0"/>
          <w:sz w:val="32"/>
          <w:szCs w:val="28"/>
        </w:rPr>
        <w:t>13.4</w:t>
      </w:r>
      <w:r>
        <w:rPr>
          <w:rFonts w:ascii="仿宋_GB2312" w:hAnsi="宋体" w:eastAsia="仿宋_GB2312" w:cs="宋体"/>
          <w:kern w:val="0"/>
          <w:sz w:val="32"/>
          <w:szCs w:val="28"/>
        </w:rPr>
        <w:t>万吨，增长</w:t>
      </w:r>
      <w:r>
        <w:rPr>
          <w:rFonts w:hint="eastAsia" w:ascii="仿宋_GB2312" w:hAnsi="宋体" w:eastAsia="仿宋_GB2312" w:cs="宋体"/>
          <w:kern w:val="0"/>
          <w:sz w:val="32"/>
          <w:szCs w:val="28"/>
        </w:rPr>
        <w:t>1.5</w:t>
      </w:r>
      <w:r>
        <w:rPr>
          <w:rFonts w:ascii="仿宋_GB2312" w:hAnsi="宋体" w:eastAsia="仿宋_GB2312" w:cs="宋体"/>
          <w:kern w:val="0"/>
          <w:sz w:val="32"/>
          <w:szCs w:val="28"/>
        </w:rPr>
        <w:t>%。按品种分，稻谷</w:t>
      </w:r>
      <w:r>
        <w:rPr>
          <w:rFonts w:hint="eastAsia" w:ascii="仿宋_GB2312" w:hAnsi="宋体" w:eastAsia="仿宋_GB2312" w:cs="宋体"/>
          <w:kern w:val="0"/>
          <w:sz w:val="32"/>
          <w:szCs w:val="28"/>
        </w:rPr>
        <w:t>15.9</w:t>
      </w:r>
      <w:r>
        <w:rPr>
          <w:rFonts w:ascii="仿宋_GB2312" w:hAnsi="宋体" w:eastAsia="仿宋_GB2312" w:cs="宋体"/>
          <w:kern w:val="0"/>
          <w:sz w:val="32"/>
          <w:szCs w:val="28"/>
        </w:rPr>
        <w:t>万吨，</w:t>
      </w:r>
      <w:r>
        <w:rPr>
          <w:rFonts w:hint="eastAsia" w:ascii="仿宋_GB2312" w:hAnsi="宋体" w:eastAsia="仿宋_GB2312" w:cs="宋体"/>
          <w:kern w:val="0"/>
          <w:sz w:val="32"/>
          <w:szCs w:val="28"/>
        </w:rPr>
        <w:t>增长1.4</w:t>
      </w:r>
      <w:r>
        <w:rPr>
          <w:rFonts w:ascii="仿宋_GB2312" w:hAnsi="宋体" w:eastAsia="仿宋_GB2312" w:cs="宋体"/>
          <w:kern w:val="0"/>
          <w:sz w:val="32"/>
          <w:szCs w:val="28"/>
        </w:rPr>
        <w:t>%；甘薯</w:t>
      </w:r>
      <w:r>
        <w:rPr>
          <w:rFonts w:hint="eastAsia" w:ascii="仿宋_GB2312" w:hAnsi="宋体" w:eastAsia="仿宋_GB2312" w:cs="宋体"/>
          <w:kern w:val="0"/>
          <w:sz w:val="32"/>
          <w:szCs w:val="28"/>
        </w:rPr>
        <w:t>0.9</w:t>
      </w:r>
      <w:r>
        <w:rPr>
          <w:rFonts w:ascii="仿宋_GB2312" w:hAnsi="宋体" w:eastAsia="仿宋_GB2312" w:cs="宋体"/>
          <w:kern w:val="0"/>
          <w:sz w:val="32"/>
          <w:szCs w:val="28"/>
        </w:rPr>
        <w:t>万吨，</w:t>
      </w:r>
      <w:r>
        <w:rPr>
          <w:rFonts w:hint="eastAsia" w:ascii="仿宋_GB2312" w:hAnsi="宋体" w:eastAsia="仿宋_GB2312" w:cs="宋体"/>
          <w:kern w:val="0"/>
          <w:sz w:val="32"/>
          <w:szCs w:val="28"/>
        </w:rPr>
        <w:t>增长0.3</w:t>
      </w:r>
      <w:r>
        <w:rPr>
          <w:rFonts w:ascii="仿宋_GB2312" w:hAnsi="宋体" w:eastAsia="仿宋_GB2312" w:cs="宋体"/>
          <w:kern w:val="0"/>
          <w:sz w:val="32"/>
          <w:szCs w:val="28"/>
        </w:rPr>
        <w:t>%；马铃薯</w:t>
      </w:r>
      <w:r>
        <w:rPr>
          <w:rFonts w:hint="eastAsia" w:ascii="仿宋_GB2312" w:hAnsi="宋体" w:eastAsia="仿宋_GB2312" w:cs="宋体"/>
          <w:kern w:val="0"/>
          <w:sz w:val="32"/>
          <w:szCs w:val="28"/>
        </w:rPr>
        <w:t>0.6</w:t>
      </w:r>
      <w:r>
        <w:rPr>
          <w:rFonts w:ascii="仿宋_GB2312" w:hAnsi="宋体" w:eastAsia="仿宋_GB2312" w:cs="宋体"/>
          <w:kern w:val="0"/>
          <w:sz w:val="32"/>
          <w:szCs w:val="28"/>
        </w:rPr>
        <w:t>万吨，</w:t>
      </w:r>
      <w:r>
        <w:rPr>
          <w:rFonts w:hint="eastAsia" w:ascii="仿宋_GB2312" w:hAnsi="宋体" w:eastAsia="仿宋_GB2312" w:cs="宋体"/>
          <w:kern w:val="0"/>
          <w:sz w:val="32"/>
          <w:szCs w:val="28"/>
        </w:rPr>
        <w:t>增长1.7</w:t>
      </w:r>
      <w:r>
        <w:rPr>
          <w:rFonts w:ascii="仿宋_GB2312" w:hAnsi="宋体" w:eastAsia="仿宋_GB2312" w:cs="宋体"/>
          <w:kern w:val="0"/>
          <w:sz w:val="32"/>
          <w:szCs w:val="28"/>
        </w:rPr>
        <w:t>%；杂粮</w:t>
      </w:r>
      <w:r>
        <w:rPr>
          <w:rFonts w:hint="eastAsia" w:ascii="仿宋_GB2312" w:hAnsi="宋体" w:eastAsia="仿宋_GB2312" w:cs="宋体"/>
          <w:kern w:val="0"/>
          <w:sz w:val="32"/>
          <w:szCs w:val="28"/>
        </w:rPr>
        <w:t>0.2</w:t>
      </w:r>
      <w:r>
        <w:rPr>
          <w:rFonts w:ascii="仿宋_GB2312" w:hAnsi="宋体" w:eastAsia="仿宋_GB2312" w:cs="宋体"/>
          <w:kern w:val="0"/>
          <w:sz w:val="32"/>
          <w:szCs w:val="28"/>
        </w:rPr>
        <w:t>万吨，增长</w:t>
      </w:r>
      <w:r>
        <w:rPr>
          <w:rFonts w:hint="eastAsia" w:ascii="仿宋_GB2312" w:hAnsi="宋体" w:eastAsia="仿宋_GB2312" w:cs="宋体"/>
          <w:kern w:val="0"/>
          <w:sz w:val="32"/>
          <w:szCs w:val="28"/>
        </w:rPr>
        <w:t>0.4</w:t>
      </w:r>
      <w:r>
        <w:rPr>
          <w:rFonts w:ascii="仿宋_GB2312" w:hAnsi="宋体" w:eastAsia="仿宋_GB2312" w:cs="宋体"/>
          <w:kern w:val="0"/>
          <w:sz w:val="32"/>
          <w:szCs w:val="28"/>
        </w:rPr>
        <w:t>%；大豆</w:t>
      </w:r>
      <w:r>
        <w:rPr>
          <w:rFonts w:hint="eastAsia" w:ascii="仿宋_GB2312" w:hAnsi="宋体" w:eastAsia="仿宋_GB2312" w:cs="宋体"/>
          <w:kern w:val="0"/>
          <w:sz w:val="32"/>
          <w:szCs w:val="28"/>
        </w:rPr>
        <w:t>0.2</w:t>
      </w:r>
      <w:r>
        <w:rPr>
          <w:rFonts w:ascii="仿宋_GB2312" w:hAnsi="宋体" w:eastAsia="仿宋_GB2312" w:cs="宋体"/>
          <w:kern w:val="0"/>
          <w:sz w:val="32"/>
          <w:szCs w:val="28"/>
        </w:rPr>
        <w:t>万吨，下降</w:t>
      </w:r>
      <w:r>
        <w:rPr>
          <w:rFonts w:hint="eastAsia" w:ascii="仿宋_GB2312" w:hAnsi="宋体" w:eastAsia="仿宋_GB2312" w:cs="宋体"/>
          <w:kern w:val="0"/>
          <w:sz w:val="32"/>
          <w:szCs w:val="28"/>
        </w:rPr>
        <w:t>0.2</w:t>
      </w:r>
      <w:r>
        <w:rPr>
          <w:rFonts w:ascii="仿宋_GB2312" w:hAnsi="宋体" w:eastAsia="仿宋_GB2312" w:cs="宋体"/>
          <w:kern w:val="0"/>
          <w:sz w:val="32"/>
          <w:szCs w:val="28"/>
        </w:rPr>
        <w:t>%；杂豆</w:t>
      </w:r>
      <w:r>
        <w:rPr>
          <w:rFonts w:hint="eastAsia" w:ascii="仿宋_GB2312" w:hAnsi="宋体" w:eastAsia="仿宋_GB2312" w:cs="宋体"/>
          <w:kern w:val="0"/>
          <w:sz w:val="32"/>
          <w:szCs w:val="28"/>
        </w:rPr>
        <w:t>110</w:t>
      </w:r>
      <w:r>
        <w:rPr>
          <w:rFonts w:ascii="仿宋_GB2312" w:hAnsi="宋体" w:eastAsia="仿宋_GB2312" w:cs="宋体"/>
          <w:kern w:val="0"/>
          <w:sz w:val="32"/>
          <w:szCs w:val="28"/>
        </w:rPr>
        <w:t>吨，下降</w:t>
      </w:r>
      <w:r>
        <w:rPr>
          <w:rFonts w:hint="eastAsia" w:ascii="仿宋_GB2312" w:hAnsi="宋体" w:eastAsia="仿宋_GB2312" w:cs="宋体"/>
          <w:kern w:val="0"/>
          <w:sz w:val="32"/>
          <w:szCs w:val="28"/>
        </w:rPr>
        <w:t>22.0</w:t>
      </w:r>
      <w:r>
        <w:rPr>
          <w:rFonts w:ascii="仿宋_GB2312" w:hAnsi="宋体" w:eastAsia="仿宋_GB2312" w:cs="宋体"/>
          <w:kern w:val="0"/>
          <w:sz w:val="32"/>
          <w:szCs w:val="28"/>
        </w:rPr>
        <w:t>%；油料产量</w:t>
      </w:r>
      <w:r>
        <w:rPr>
          <w:rFonts w:hint="eastAsia" w:ascii="仿宋_GB2312" w:hAnsi="宋体" w:eastAsia="仿宋_GB2312" w:cs="宋体"/>
          <w:kern w:val="0"/>
          <w:sz w:val="32"/>
          <w:szCs w:val="28"/>
        </w:rPr>
        <w:t>0.6</w:t>
      </w:r>
      <w:r>
        <w:rPr>
          <w:rFonts w:ascii="仿宋_GB2312" w:hAnsi="宋体" w:eastAsia="仿宋_GB2312" w:cs="宋体"/>
          <w:kern w:val="0"/>
          <w:sz w:val="32"/>
          <w:szCs w:val="28"/>
        </w:rPr>
        <w:t>万吨，增长</w:t>
      </w:r>
      <w:r>
        <w:rPr>
          <w:rFonts w:hint="eastAsia" w:ascii="仿宋_GB2312" w:hAnsi="宋体" w:eastAsia="仿宋_GB2312" w:cs="宋体"/>
          <w:kern w:val="0"/>
          <w:sz w:val="32"/>
          <w:szCs w:val="28"/>
        </w:rPr>
        <w:t>4.7</w:t>
      </w:r>
      <w:r>
        <w:rPr>
          <w:rFonts w:ascii="仿宋_GB2312" w:hAnsi="宋体" w:eastAsia="仿宋_GB2312" w:cs="宋体"/>
          <w:kern w:val="0"/>
          <w:sz w:val="32"/>
          <w:szCs w:val="28"/>
        </w:rPr>
        <w:t>%。</w:t>
      </w:r>
    </w:p>
    <w:p w14:paraId="57527585">
      <w:pPr>
        <w:widowControl/>
        <w:rPr>
          <w:rFonts w:ascii="仿宋_GB2312" w:hAnsi="宋体" w:eastAsia="仿宋_GB2312" w:cs="宋体"/>
          <w:kern w:val="0"/>
          <w:sz w:val="28"/>
          <w:szCs w:val="28"/>
        </w:rPr>
      </w:pPr>
      <w:r>
        <w:rPr>
          <w:rFonts w:ascii="仿宋_GB2312" w:hAnsi="宋体" w:eastAsia="仿宋_GB2312" w:cs="宋体"/>
          <w:kern w:val="0"/>
          <w:sz w:val="28"/>
          <w:szCs w:val="28"/>
        </w:rPr>
        <w:drawing>
          <wp:inline distT="0" distB="0" distL="0" distR="0">
            <wp:extent cx="5615940" cy="3227705"/>
            <wp:effectExtent l="19050" t="0" r="3810" b="0"/>
            <wp:docPr id="10" name="图片 9"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图片1.png"/>
                    <pic:cNvPicPr>
                      <a:picLocks noChangeAspect="1"/>
                    </pic:cNvPicPr>
                  </pic:nvPicPr>
                  <pic:blipFill>
                    <a:blip r:embed="rId11"/>
                    <a:stretch>
                      <a:fillRect/>
                    </a:stretch>
                  </pic:blipFill>
                  <pic:spPr>
                    <a:xfrm>
                      <a:off x="0" y="0"/>
                      <a:ext cx="5615940" cy="3227705"/>
                    </a:xfrm>
                    <a:prstGeom prst="rect">
                      <a:avLst/>
                    </a:prstGeom>
                  </pic:spPr>
                </pic:pic>
              </a:graphicData>
            </a:graphic>
          </wp:inline>
        </w:drawing>
      </w:r>
    </w:p>
    <w:p w14:paraId="7C08CF32">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w:t>
      </w:r>
      <w:r>
        <w:rPr>
          <w:rFonts w:hint="eastAsia" w:ascii="仿宋_GB2312" w:hAnsi="华文仿宋" w:eastAsia="仿宋_GB2312" w:cs="华文仿宋"/>
          <w:bCs/>
          <w:sz w:val="32"/>
          <w:szCs w:val="28"/>
        </w:rPr>
        <w:t>茶叶总产量0.2万吨，增长4.7%；园林水果</w:t>
      </w:r>
      <w:r>
        <w:rPr>
          <w:rFonts w:hint="eastAsia" w:ascii="仿宋_GB2312" w:hAnsi="宋体" w:eastAsia="仿宋_GB2312" w:cs="宋体"/>
          <w:kern w:val="0"/>
          <w:sz w:val="32"/>
          <w:szCs w:val="28"/>
        </w:rPr>
        <w:t>产量2.6万吨，增长5.4%；食用菌产量0.7</w:t>
      </w:r>
      <w:r>
        <w:rPr>
          <w:rFonts w:ascii="仿宋_GB2312" w:hAnsi="宋体" w:eastAsia="仿宋_GB2312" w:cs="宋体"/>
          <w:kern w:val="0"/>
          <w:sz w:val="32"/>
          <w:szCs w:val="28"/>
        </w:rPr>
        <w:t>万吨，增长</w:t>
      </w:r>
      <w:r>
        <w:rPr>
          <w:rFonts w:hint="eastAsia" w:ascii="仿宋_GB2312" w:hAnsi="宋体" w:eastAsia="仿宋_GB2312" w:cs="宋体"/>
          <w:kern w:val="0"/>
          <w:sz w:val="32"/>
          <w:szCs w:val="28"/>
        </w:rPr>
        <w:t>4.3</w:t>
      </w:r>
      <w:r>
        <w:rPr>
          <w:rFonts w:ascii="仿宋_GB2312" w:hAnsi="宋体" w:eastAsia="仿宋_GB2312" w:cs="宋体"/>
          <w:kern w:val="0"/>
          <w:sz w:val="32"/>
          <w:szCs w:val="28"/>
        </w:rPr>
        <w:t>%</w:t>
      </w:r>
      <w:r>
        <w:rPr>
          <w:rFonts w:hint="eastAsia" w:ascii="仿宋_GB2312" w:hAnsi="宋体" w:eastAsia="仿宋_GB2312" w:cs="宋体"/>
          <w:kern w:val="0"/>
          <w:sz w:val="32"/>
          <w:szCs w:val="28"/>
        </w:rPr>
        <w:t>；油茶籽产量0.3</w:t>
      </w:r>
      <w:r>
        <w:rPr>
          <w:rFonts w:ascii="仿宋_GB2312" w:hAnsi="宋体" w:eastAsia="仿宋_GB2312" w:cs="宋体"/>
          <w:kern w:val="0"/>
          <w:sz w:val="32"/>
          <w:szCs w:val="28"/>
        </w:rPr>
        <w:t>万吨，增长</w:t>
      </w:r>
      <w:r>
        <w:rPr>
          <w:rFonts w:hint="eastAsia" w:ascii="仿宋_GB2312" w:hAnsi="宋体" w:eastAsia="仿宋_GB2312" w:cs="宋体"/>
          <w:kern w:val="0"/>
          <w:sz w:val="32"/>
          <w:szCs w:val="28"/>
        </w:rPr>
        <w:t>8.2</w:t>
      </w:r>
      <w:r>
        <w:rPr>
          <w:rFonts w:ascii="仿宋_GB2312" w:hAnsi="宋体" w:eastAsia="仿宋_GB2312" w:cs="宋体"/>
          <w:kern w:val="0"/>
          <w:sz w:val="32"/>
          <w:szCs w:val="28"/>
        </w:rPr>
        <w:t>%；松脂产量</w:t>
      </w:r>
      <w:r>
        <w:rPr>
          <w:rFonts w:hint="eastAsia" w:ascii="仿宋_GB2312" w:hAnsi="宋体" w:eastAsia="仿宋_GB2312" w:cs="宋体"/>
          <w:kern w:val="0"/>
          <w:sz w:val="32"/>
          <w:szCs w:val="28"/>
        </w:rPr>
        <w:t>0.3万吨，增长6.0</w:t>
      </w:r>
      <w:r>
        <w:rPr>
          <w:rFonts w:ascii="仿宋_GB2312" w:hAnsi="宋体" w:eastAsia="仿宋_GB2312" w:cs="宋体"/>
          <w:kern w:val="0"/>
          <w:sz w:val="32"/>
          <w:szCs w:val="28"/>
        </w:rPr>
        <w:t>%；竹笋干产量</w:t>
      </w:r>
      <w:r>
        <w:rPr>
          <w:rFonts w:hint="eastAsia" w:ascii="仿宋_GB2312" w:hAnsi="宋体" w:eastAsia="仿宋_GB2312" w:cs="宋体"/>
          <w:kern w:val="0"/>
          <w:sz w:val="32"/>
          <w:szCs w:val="28"/>
        </w:rPr>
        <w:t>0.6</w:t>
      </w:r>
      <w:r>
        <w:rPr>
          <w:rFonts w:ascii="仿宋_GB2312" w:hAnsi="宋体" w:eastAsia="仿宋_GB2312" w:cs="宋体"/>
          <w:kern w:val="0"/>
          <w:sz w:val="32"/>
          <w:szCs w:val="28"/>
        </w:rPr>
        <w:t>万吨，增长</w:t>
      </w:r>
      <w:r>
        <w:rPr>
          <w:rFonts w:hint="eastAsia" w:ascii="仿宋_GB2312" w:hAnsi="宋体" w:eastAsia="仿宋_GB2312" w:cs="宋体"/>
          <w:kern w:val="0"/>
          <w:sz w:val="32"/>
          <w:szCs w:val="28"/>
        </w:rPr>
        <w:t>6.2</w:t>
      </w:r>
      <w:r>
        <w:rPr>
          <w:rFonts w:ascii="仿宋_GB2312" w:hAnsi="宋体" w:eastAsia="仿宋_GB2312" w:cs="宋体"/>
          <w:kern w:val="0"/>
          <w:sz w:val="32"/>
          <w:szCs w:val="28"/>
        </w:rPr>
        <w:t>%；板栗产量</w:t>
      </w:r>
      <w:r>
        <w:rPr>
          <w:rFonts w:hint="eastAsia" w:ascii="仿宋_GB2312" w:hAnsi="宋体" w:eastAsia="仿宋_GB2312" w:cs="宋体"/>
          <w:kern w:val="0"/>
          <w:sz w:val="32"/>
          <w:szCs w:val="28"/>
        </w:rPr>
        <w:t>0.3</w:t>
      </w:r>
      <w:r>
        <w:rPr>
          <w:rFonts w:ascii="仿宋_GB2312" w:hAnsi="宋体" w:eastAsia="仿宋_GB2312" w:cs="宋体"/>
          <w:kern w:val="0"/>
          <w:sz w:val="32"/>
          <w:szCs w:val="28"/>
        </w:rPr>
        <w:t>万吨，</w:t>
      </w:r>
      <w:r>
        <w:rPr>
          <w:rFonts w:hint="eastAsia" w:ascii="仿宋_GB2312" w:hAnsi="宋体" w:eastAsia="仿宋_GB2312" w:cs="宋体"/>
          <w:kern w:val="0"/>
          <w:sz w:val="32"/>
          <w:szCs w:val="28"/>
        </w:rPr>
        <w:t>增长3.8</w:t>
      </w:r>
      <w:r>
        <w:rPr>
          <w:rFonts w:ascii="仿宋_GB2312" w:hAnsi="宋体" w:eastAsia="仿宋_GB2312" w:cs="宋体"/>
          <w:kern w:val="0"/>
          <w:sz w:val="32"/>
          <w:szCs w:val="28"/>
        </w:rPr>
        <w:t>%。</w:t>
      </w:r>
    </w:p>
    <w:p w14:paraId="28F3D8BF">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肉蛋奶总产量9.9万吨，增长6.0%。肉类总产量9.5万吨，增长6.1%。其中，猪肉产量5.3万吨，增长8.5%；牛肉产量0.1万吨，下降9.6%；羊肉产量204.3吨，下降14.0%。主要禽蛋产量0.5万吨，增长8.7%。年末生猪存栏34.8万头，下降0.8%；生猪出栏63.6万头，增长5.6%。年末家禽存栏693.1</w:t>
      </w:r>
      <w:r>
        <w:rPr>
          <w:rFonts w:ascii="仿宋_GB2312" w:hAnsi="宋体" w:eastAsia="仿宋_GB2312" w:cs="宋体"/>
          <w:kern w:val="0"/>
          <w:sz w:val="32"/>
          <w:szCs w:val="28"/>
        </w:rPr>
        <w:t>万羽，</w:t>
      </w:r>
      <w:r>
        <w:rPr>
          <w:rFonts w:hint="eastAsia" w:ascii="仿宋_GB2312" w:hAnsi="宋体" w:eastAsia="仿宋_GB2312" w:cs="宋体"/>
          <w:kern w:val="0"/>
          <w:sz w:val="32"/>
          <w:szCs w:val="28"/>
        </w:rPr>
        <w:t>增长1.4</w:t>
      </w:r>
      <w:r>
        <w:rPr>
          <w:rFonts w:ascii="仿宋_GB2312" w:hAnsi="宋体" w:eastAsia="仿宋_GB2312" w:cs="宋体"/>
          <w:kern w:val="0"/>
          <w:sz w:val="32"/>
          <w:szCs w:val="28"/>
        </w:rPr>
        <w:t>%；家禽出栏</w:t>
      </w:r>
      <w:r>
        <w:rPr>
          <w:rFonts w:hint="eastAsia" w:ascii="仿宋_GB2312" w:hAnsi="宋体" w:eastAsia="仿宋_GB2312" w:cs="宋体"/>
          <w:kern w:val="0"/>
          <w:sz w:val="32"/>
          <w:szCs w:val="28"/>
        </w:rPr>
        <w:t>2065.0</w:t>
      </w:r>
      <w:r>
        <w:rPr>
          <w:rFonts w:ascii="仿宋_GB2312" w:hAnsi="宋体" w:eastAsia="仿宋_GB2312" w:cs="宋体"/>
          <w:kern w:val="0"/>
          <w:sz w:val="32"/>
          <w:szCs w:val="28"/>
        </w:rPr>
        <w:t>万羽，</w:t>
      </w:r>
      <w:r>
        <w:rPr>
          <w:rFonts w:hint="eastAsia" w:ascii="仿宋_GB2312" w:hAnsi="宋体" w:eastAsia="仿宋_GB2312" w:cs="宋体"/>
          <w:kern w:val="0"/>
          <w:sz w:val="32"/>
          <w:szCs w:val="28"/>
        </w:rPr>
        <w:t>下降2.8</w:t>
      </w:r>
      <w:r>
        <w:rPr>
          <w:rFonts w:ascii="仿宋_GB2312" w:hAnsi="宋体" w:eastAsia="仿宋_GB2312" w:cs="宋体"/>
          <w:kern w:val="0"/>
          <w:sz w:val="32"/>
          <w:szCs w:val="28"/>
        </w:rPr>
        <w:t>%</w:t>
      </w:r>
      <w:r>
        <w:rPr>
          <w:rFonts w:hint="eastAsia" w:ascii="仿宋_GB2312" w:hAnsi="宋体" w:eastAsia="仿宋_GB2312" w:cs="宋体"/>
          <w:kern w:val="0"/>
          <w:sz w:val="32"/>
          <w:szCs w:val="28"/>
        </w:rPr>
        <w:t>。</w:t>
      </w:r>
    </w:p>
    <w:p w14:paraId="09134956">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全年水产品产量1.4万吨，增长3.6%。</w:t>
      </w:r>
    </w:p>
    <w:p w14:paraId="730437A4">
      <w:pPr>
        <w:widowControl/>
        <w:spacing w:beforeLines="100" w:afterLines="100"/>
        <w:jc w:val="center"/>
        <w:rPr>
          <w:rFonts w:ascii="黑体" w:hAnsi="宋体" w:eastAsia="黑体" w:cs="宋体"/>
          <w:kern w:val="0"/>
          <w:sz w:val="32"/>
          <w:szCs w:val="30"/>
        </w:rPr>
      </w:pPr>
      <w:r>
        <w:rPr>
          <w:rFonts w:hint="eastAsia" w:ascii="黑体" w:hAnsi="宋体" w:eastAsia="黑体" w:cs="宋体"/>
          <w:kern w:val="0"/>
          <w:sz w:val="32"/>
          <w:szCs w:val="30"/>
        </w:rPr>
        <w:t>三、工业和建筑业</w:t>
      </w:r>
    </w:p>
    <w:p w14:paraId="7CC13448">
      <w:pPr>
        <w:widowControl/>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工业增加值83.8亿元，同比增长5.9%。其中，规模以上工业增加值增长5.9%。规模以上工业中，分轻重工业看，轻工业下降3.9%，重工业增长10.7%。分门类看，采矿业增长28.1%，制造业增长5.9%，电力、热力、燃气及水生产和供应业下降16.0%。</w:t>
      </w:r>
    </w:p>
    <w:p w14:paraId="2A0AF559">
      <w:pPr>
        <w:widowControl/>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规模以上工业的</w:t>
      </w:r>
      <w:r>
        <w:rPr>
          <w:rFonts w:ascii="仿宋_GB2312" w:hAnsi="宋体" w:eastAsia="仿宋_GB2312" w:cs="宋体"/>
          <w:kern w:val="0"/>
          <w:sz w:val="32"/>
          <w:szCs w:val="28"/>
        </w:rPr>
        <w:t>2</w:t>
      </w:r>
      <w:r>
        <w:rPr>
          <w:rFonts w:hint="eastAsia" w:ascii="仿宋_GB2312" w:hAnsi="宋体" w:eastAsia="仿宋_GB2312" w:cs="宋体"/>
          <w:kern w:val="0"/>
          <w:sz w:val="32"/>
          <w:szCs w:val="28"/>
        </w:rPr>
        <w:t>5个行业大类中，有11个行业增加值实现正增长，增长面为44.0%。其中，增长较快的分别是有色金属矿采选业增长46.3%、计算机、通信和其他电子设备制造业增长31.4%、通用设备制造业增长25.6%、汽车制造业增长20.8%、造纸和纸制品业增长16.4%。分产业看，稀土及其应用产业增加值增长20.2%；医疗器械产业增加值增长13.4%；铜铝产业增加值增长2.9%。高技术制造业增加值增长22.7%，比上年同期提升42.6</w:t>
      </w:r>
      <w:r>
        <w:rPr>
          <w:rFonts w:ascii="仿宋_GB2312" w:hAnsi="宋体" w:eastAsia="仿宋_GB2312" w:cs="宋体"/>
          <w:kern w:val="0"/>
          <w:sz w:val="32"/>
          <w:szCs w:val="28"/>
        </w:rPr>
        <w:t>个百分点</w:t>
      </w:r>
      <w:r>
        <w:rPr>
          <w:rFonts w:hint="eastAsia" w:ascii="仿宋_GB2312" w:hAnsi="宋体" w:eastAsia="仿宋_GB2312" w:cs="宋体"/>
          <w:kern w:val="0"/>
          <w:sz w:val="32"/>
          <w:szCs w:val="28"/>
        </w:rPr>
        <w:t>。</w:t>
      </w:r>
    </w:p>
    <w:p w14:paraId="107530B7">
      <w:pPr>
        <w:widowControl/>
        <w:ind w:firstLine="640" w:firstLineChars="200"/>
        <w:rPr>
          <w:rFonts w:ascii="仿宋_GB2312" w:hAnsi="宋体" w:eastAsia="仿宋_GB2312" w:cs="宋体"/>
          <w:kern w:val="0"/>
          <w:sz w:val="28"/>
          <w:szCs w:val="28"/>
        </w:rPr>
      </w:pPr>
      <w:r>
        <w:rPr>
          <w:rFonts w:hint="eastAsia" w:ascii="仿宋_GB2312" w:hAnsi="宋体" w:eastAsia="仿宋_GB2312" w:cs="宋体"/>
          <w:kern w:val="0"/>
          <w:sz w:val="32"/>
          <w:szCs w:val="28"/>
        </w:rPr>
        <w:t>工业产品销售率96.39%，比上年同期提升1.5个百分点。</w:t>
      </w:r>
    </w:p>
    <w:p w14:paraId="5F4E5684">
      <w:pPr>
        <w:widowControl/>
        <w:spacing w:before="100" w:beforeAutospacing="1"/>
        <w:jc w:val="center"/>
      </w:pPr>
      <w:r>
        <w:drawing>
          <wp:inline distT="0" distB="0" distL="0" distR="0">
            <wp:extent cx="5343525" cy="3044825"/>
            <wp:effectExtent l="19050" t="0" r="9525" b="0"/>
            <wp:docPr id="3" name="图片 2" descr="图片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片6.png"/>
                    <pic:cNvPicPr>
                      <a:picLocks noChangeAspect="1"/>
                    </pic:cNvPicPr>
                  </pic:nvPicPr>
                  <pic:blipFill>
                    <a:blip r:embed="rId12"/>
                    <a:stretch>
                      <a:fillRect/>
                    </a:stretch>
                  </pic:blipFill>
                  <pic:spPr>
                    <a:xfrm>
                      <a:off x="0" y="0"/>
                      <a:ext cx="5347821" cy="3047605"/>
                    </a:xfrm>
                    <a:prstGeom prst="rect">
                      <a:avLst/>
                    </a:prstGeom>
                  </pic:spPr>
                </pic:pic>
              </a:graphicData>
            </a:graphic>
          </wp:inline>
        </w:drawing>
      </w:r>
      <w:r>
        <w:rPr>
          <w:rFonts w:hint="eastAsia"/>
        </w:rPr>
        <w:t>\</w:t>
      </w:r>
    </w:p>
    <w:tbl>
      <w:tblPr>
        <w:tblStyle w:val="5"/>
        <w:tblW w:w="8366" w:type="dxa"/>
        <w:tblInd w:w="108" w:type="dxa"/>
        <w:tblLayout w:type="autofit"/>
        <w:tblCellMar>
          <w:top w:w="0" w:type="dxa"/>
          <w:left w:w="108" w:type="dxa"/>
          <w:bottom w:w="0" w:type="dxa"/>
          <w:right w:w="108" w:type="dxa"/>
        </w:tblCellMar>
      </w:tblPr>
      <w:tblGrid>
        <w:gridCol w:w="3544"/>
        <w:gridCol w:w="1418"/>
        <w:gridCol w:w="1802"/>
        <w:gridCol w:w="1602"/>
      </w:tblGrid>
      <w:tr w14:paraId="49A1EB77">
        <w:tblPrEx>
          <w:tblCellMar>
            <w:top w:w="0" w:type="dxa"/>
            <w:left w:w="108" w:type="dxa"/>
            <w:bottom w:w="0" w:type="dxa"/>
            <w:right w:w="108" w:type="dxa"/>
          </w:tblCellMar>
        </w:tblPrEx>
        <w:trPr>
          <w:trHeight w:val="441" w:hRule="atLeast"/>
        </w:trPr>
        <w:tc>
          <w:tcPr>
            <w:tcW w:w="8366" w:type="dxa"/>
            <w:gridSpan w:val="4"/>
            <w:tcBorders>
              <w:top w:val="nil"/>
              <w:left w:val="nil"/>
              <w:bottom w:val="nil"/>
              <w:right w:val="nil"/>
            </w:tcBorders>
            <w:shd w:val="clear" w:color="auto" w:fill="auto"/>
            <w:noWrap/>
            <w:vAlign w:val="center"/>
          </w:tcPr>
          <w:p w14:paraId="13225610">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8"/>
              </w:rPr>
              <w:t>2025年规模以上工业主要产品产量表</w:t>
            </w:r>
          </w:p>
        </w:tc>
      </w:tr>
      <w:tr w14:paraId="50594A34">
        <w:tblPrEx>
          <w:tblCellMar>
            <w:top w:w="0" w:type="dxa"/>
            <w:left w:w="108" w:type="dxa"/>
            <w:bottom w:w="0" w:type="dxa"/>
            <w:right w:w="108" w:type="dxa"/>
          </w:tblCellMar>
        </w:tblPrEx>
        <w:trPr>
          <w:trHeight w:val="454" w:hRule="exact"/>
        </w:trPr>
        <w:tc>
          <w:tcPr>
            <w:tcW w:w="3544" w:type="dxa"/>
            <w:tcBorders>
              <w:top w:val="single" w:color="auto" w:sz="4" w:space="0"/>
              <w:left w:val="nil"/>
              <w:bottom w:val="single" w:color="auto" w:sz="4" w:space="0"/>
              <w:right w:val="single" w:color="auto" w:sz="4" w:space="0"/>
            </w:tcBorders>
            <w:shd w:val="clear" w:color="auto" w:fill="auto"/>
            <w:vAlign w:val="center"/>
          </w:tcPr>
          <w:p w14:paraId="04C4EA93">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产品名称</w:t>
            </w:r>
          </w:p>
        </w:tc>
        <w:tc>
          <w:tcPr>
            <w:tcW w:w="1418" w:type="dxa"/>
            <w:tcBorders>
              <w:top w:val="single" w:color="auto" w:sz="4" w:space="0"/>
              <w:left w:val="nil"/>
              <w:bottom w:val="single" w:color="auto" w:sz="4" w:space="0"/>
              <w:right w:val="single" w:color="auto" w:sz="4" w:space="0"/>
            </w:tcBorders>
            <w:shd w:val="clear" w:color="auto" w:fill="auto"/>
            <w:vAlign w:val="center"/>
          </w:tcPr>
          <w:p w14:paraId="6D99A5D3">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单  位</w:t>
            </w:r>
          </w:p>
        </w:tc>
        <w:tc>
          <w:tcPr>
            <w:tcW w:w="1802" w:type="dxa"/>
            <w:tcBorders>
              <w:top w:val="single" w:color="auto" w:sz="4" w:space="0"/>
              <w:left w:val="nil"/>
              <w:bottom w:val="single" w:color="auto" w:sz="4" w:space="0"/>
              <w:right w:val="single" w:color="auto" w:sz="4" w:space="0"/>
            </w:tcBorders>
            <w:shd w:val="clear" w:color="auto" w:fill="auto"/>
            <w:vAlign w:val="center"/>
          </w:tcPr>
          <w:p w14:paraId="56B7BBB2">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产  量</w:t>
            </w:r>
          </w:p>
        </w:tc>
        <w:tc>
          <w:tcPr>
            <w:tcW w:w="1602" w:type="dxa"/>
            <w:tcBorders>
              <w:top w:val="single" w:color="auto" w:sz="4" w:space="0"/>
              <w:left w:val="nil"/>
              <w:bottom w:val="single" w:color="auto" w:sz="4" w:space="0"/>
              <w:right w:val="nil"/>
            </w:tcBorders>
            <w:shd w:val="clear" w:color="auto" w:fill="auto"/>
            <w:vAlign w:val="center"/>
          </w:tcPr>
          <w:p w14:paraId="6573D6CB">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增长（%）</w:t>
            </w:r>
          </w:p>
        </w:tc>
      </w:tr>
      <w:tr w14:paraId="31A56D8D">
        <w:tblPrEx>
          <w:tblCellMar>
            <w:top w:w="0" w:type="dxa"/>
            <w:left w:w="108" w:type="dxa"/>
            <w:bottom w:w="0" w:type="dxa"/>
            <w:right w:w="108" w:type="dxa"/>
          </w:tblCellMar>
        </w:tblPrEx>
        <w:trPr>
          <w:trHeight w:val="454" w:hRule="exact"/>
        </w:trPr>
        <w:tc>
          <w:tcPr>
            <w:tcW w:w="3544" w:type="dxa"/>
            <w:tcBorders>
              <w:top w:val="nil"/>
              <w:left w:val="nil"/>
              <w:bottom w:val="single" w:color="auto" w:sz="4" w:space="0"/>
              <w:right w:val="single" w:color="auto" w:sz="4" w:space="0"/>
            </w:tcBorders>
            <w:shd w:val="clear" w:color="auto" w:fill="auto"/>
            <w:vAlign w:val="center"/>
          </w:tcPr>
          <w:p w14:paraId="13A01382">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服装</w:t>
            </w:r>
          </w:p>
        </w:tc>
        <w:tc>
          <w:tcPr>
            <w:tcW w:w="1418" w:type="dxa"/>
            <w:tcBorders>
              <w:top w:val="nil"/>
              <w:left w:val="nil"/>
              <w:bottom w:val="single" w:color="auto" w:sz="4" w:space="0"/>
              <w:right w:val="single" w:color="auto" w:sz="4" w:space="0"/>
            </w:tcBorders>
            <w:shd w:val="clear" w:color="auto" w:fill="auto"/>
            <w:noWrap/>
            <w:vAlign w:val="center"/>
          </w:tcPr>
          <w:p w14:paraId="0CFB69BE">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万件</w:t>
            </w:r>
          </w:p>
        </w:tc>
        <w:tc>
          <w:tcPr>
            <w:tcW w:w="1802" w:type="dxa"/>
            <w:tcBorders>
              <w:top w:val="nil"/>
              <w:left w:val="nil"/>
              <w:bottom w:val="single" w:color="auto" w:sz="4" w:space="0"/>
              <w:right w:val="single" w:color="auto" w:sz="4" w:space="0"/>
            </w:tcBorders>
            <w:shd w:val="clear" w:color="auto" w:fill="auto"/>
            <w:noWrap/>
          </w:tcPr>
          <w:p w14:paraId="6C4C91E3">
            <w:pPr>
              <w:spacing w:line="360" w:lineRule="auto"/>
              <w:rPr>
                <w:rFonts w:ascii="仿宋_GB2312" w:eastAsia="仿宋_GB2312"/>
                <w:sz w:val="28"/>
                <w:szCs w:val="28"/>
              </w:rPr>
            </w:pPr>
            <w:r>
              <w:rPr>
                <w:rFonts w:hint="eastAsia" w:ascii="仿宋_GB2312" w:eastAsia="仿宋_GB2312"/>
                <w:sz w:val="28"/>
                <w:szCs w:val="28"/>
              </w:rPr>
              <w:t>902</w:t>
            </w:r>
          </w:p>
        </w:tc>
        <w:tc>
          <w:tcPr>
            <w:tcW w:w="1602" w:type="dxa"/>
            <w:tcBorders>
              <w:top w:val="nil"/>
              <w:left w:val="nil"/>
              <w:bottom w:val="single" w:color="auto" w:sz="4" w:space="0"/>
              <w:right w:val="nil"/>
            </w:tcBorders>
            <w:shd w:val="clear" w:color="auto" w:fill="auto"/>
            <w:noWrap/>
          </w:tcPr>
          <w:p w14:paraId="4E7C71B9">
            <w:pPr>
              <w:spacing w:line="360" w:lineRule="auto"/>
              <w:rPr>
                <w:rFonts w:ascii="仿宋_GB2312" w:eastAsia="仿宋_GB2312"/>
                <w:sz w:val="28"/>
                <w:szCs w:val="28"/>
              </w:rPr>
            </w:pPr>
            <w:r>
              <w:rPr>
                <w:rFonts w:hint="eastAsia" w:ascii="仿宋_GB2312" w:eastAsia="仿宋_GB2312"/>
                <w:sz w:val="28"/>
                <w:szCs w:val="28"/>
              </w:rPr>
              <w:t xml:space="preserve">-41.4 </w:t>
            </w:r>
          </w:p>
        </w:tc>
      </w:tr>
      <w:tr w14:paraId="56D03A67">
        <w:tblPrEx>
          <w:tblCellMar>
            <w:top w:w="0" w:type="dxa"/>
            <w:left w:w="108" w:type="dxa"/>
            <w:bottom w:w="0" w:type="dxa"/>
            <w:right w:w="108" w:type="dxa"/>
          </w:tblCellMar>
        </w:tblPrEx>
        <w:trPr>
          <w:trHeight w:val="454" w:hRule="exact"/>
        </w:trPr>
        <w:tc>
          <w:tcPr>
            <w:tcW w:w="3544" w:type="dxa"/>
            <w:tcBorders>
              <w:top w:val="nil"/>
              <w:left w:val="nil"/>
              <w:bottom w:val="single" w:color="auto" w:sz="4" w:space="0"/>
              <w:right w:val="single" w:color="auto" w:sz="4" w:space="0"/>
            </w:tcBorders>
            <w:shd w:val="clear" w:color="auto" w:fill="auto"/>
            <w:vAlign w:val="center"/>
          </w:tcPr>
          <w:p w14:paraId="24BB207D">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纱</w:t>
            </w:r>
          </w:p>
        </w:tc>
        <w:tc>
          <w:tcPr>
            <w:tcW w:w="1418" w:type="dxa"/>
            <w:tcBorders>
              <w:top w:val="nil"/>
              <w:left w:val="nil"/>
              <w:bottom w:val="single" w:color="auto" w:sz="4" w:space="0"/>
              <w:right w:val="single" w:color="auto" w:sz="4" w:space="0"/>
            </w:tcBorders>
            <w:shd w:val="clear" w:color="auto" w:fill="auto"/>
            <w:noWrap/>
            <w:vAlign w:val="center"/>
          </w:tcPr>
          <w:p w14:paraId="2797378D">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吨</w:t>
            </w:r>
          </w:p>
        </w:tc>
        <w:tc>
          <w:tcPr>
            <w:tcW w:w="1802" w:type="dxa"/>
            <w:tcBorders>
              <w:top w:val="nil"/>
              <w:left w:val="nil"/>
              <w:bottom w:val="single" w:color="auto" w:sz="4" w:space="0"/>
              <w:right w:val="single" w:color="auto" w:sz="4" w:space="0"/>
            </w:tcBorders>
            <w:shd w:val="clear" w:color="auto" w:fill="auto"/>
            <w:noWrap/>
          </w:tcPr>
          <w:p w14:paraId="66F82F6C">
            <w:pPr>
              <w:spacing w:line="360" w:lineRule="auto"/>
              <w:rPr>
                <w:rFonts w:ascii="仿宋_GB2312" w:eastAsia="仿宋_GB2312"/>
                <w:sz w:val="28"/>
                <w:szCs w:val="28"/>
              </w:rPr>
            </w:pPr>
            <w:r>
              <w:rPr>
                <w:rFonts w:hint="eastAsia" w:ascii="仿宋_GB2312" w:eastAsia="仿宋_GB2312"/>
                <w:sz w:val="28"/>
                <w:szCs w:val="28"/>
              </w:rPr>
              <w:t>74534</w:t>
            </w:r>
          </w:p>
        </w:tc>
        <w:tc>
          <w:tcPr>
            <w:tcW w:w="1602" w:type="dxa"/>
            <w:tcBorders>
              <w:top w:val="nil"/>
              <w:left w:val="nil"/>
              <w:bottom w:val="single" w:color="auto" w:sz="4" w:space="0"/>
              <w:right w:val="nil"/>
            </w:tcBorders>
            <w:shd w:val="clear" w:color="auto" w:fill="auto"/>
            <w:noWrap/>
          </w:tcPr>
          <w:p w14:paraId="25BF87FD">
            <w:pPr>
              <w:spacing w:line="360" w:lineRule="auto"/>
              <w:rPr>
                <w:rFonts w:ascii="仿宋_GB2312" w:eastAsia="仿宋_GB2312"/>
                <w:sz w:val="28"/>
                <w:szCs w:val="28"/>
              </w:rPr>
            </w:pPr>
            <w:r>
              <w:rPr>
                <w:rFonts w:hint="eastAsia" w:ascii="仿宋_GB2312" w:eastAsia="仿宋_GB2312"/>
                <w:sz w:val="28"/>
                <w:szCs w:val="28"/>
              </w:rPr>
              <w:t xml:space="preserve">2.1 </w:t>
            </w:r>
          </w:p>
        </w:tc>
      </w:tr>
      <w:tr w14:paraId="6C9846ED">
        <w:tblPrEx>
          <w:tblCellMar>
            <w:top w:w="0" w:type="dxa"/>
            <w:left w:w="108" w:type="dxa"/>
            <w:bottom w:w="0" w:type="dxa"/>
            <w:right w:w="108" w:type="dxa"/>
          </w:tblCellMar>
        </w:tblPrEx>
        <w:trPr>
          <w:trHeight w:val="454" w:hRule="exact"/>
        </w:trPr>
        <w:tc>
          <w:tcPr>
            <w:tcW w:w="3544" w:type="dxa"/>
            <w:tcBorders>
              <w:top w:val="nil"/>
              <w:left w:val="nil"/>
              <w:bottom w:val="single" w:color="auto" w:sz="4" w:space="0"/>
              <w:right w:val="single" w:color="auto" w:sz="4" w:space="0"/>
            </w:tcBorders>
            <w:shd w:val="clear" w:color="auto" w:fill="auto"/>
            <w:vAlign w:val="center"/>
          </w:tcPr>
          <w:p w14:paraId="143E632B">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人造板</w:t>
            </w:r>
          </w:p>
        </w:tc>
        <w:tc>
          <w:tcPr>
            <w:tcW w:w="1418" w:type="dxa"/>
            <w:tcBorders>
              <w:top w:val="nil"/>
              <w:left w:val="nil"/>
              <w:bottom w:val="single" w:color="auto" w:sz="4" w:space="0"/>
              <w:right w:val="single" w:color="auto" w:sz="4" w:space="0"/>
            </w:tcBorders>
            <w:shd w:val="clear" w:color="auto" w:fill="auto"/>
            <w:noWrap/>
            <w:vAlign w:val="center"/>
          </w:tcPr>
          <w:p w14:paraId="5D407BD0">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立方米</w:t>
            </w:r>
          </w:p>
        </w:tc>
        <w:tc>
          <w:tcPr>
            <w:tcW w:w="1802" w:type="dxa"/>
            <w:tcBorders>
              <w:top w:val="nil"/>
              <w:left w:val="nil"/>
              <w:bottom w:val="single" w:color="auto" w:sz="4" w:space="0"/>
              <w:right w:val="single" w:color="auto" w:sz="4" w:space="0"/>
            </w:tcBorders>
            <w:shd w:val="clear" w:color="auto" w:fill="auto"/>
            <w:noWrap/>
          </w:tcPr>
          <w:p w14:paraId="668CB026">
            <w:pPr>
              <w:spacing w:line="360" w:lineRule="auto"/>
              <w:rPr>
                <w:rFonts w:ascii="仿宋_GB2312" w:eastAsia="仿宋_GB2312"/>
                <w:sz w:val="28"/>
                <w:szCs w:val="28"/>
              </w:rPr>
            </w:pPr>
            <w:r>
              <w:rPr>
                <w:rFonts w:hint="eastAsia" w:ascii="仿宋_GB2312" w:eastAsia="仿宋_GB2312"/>
                <w:sz w:val="28"/>
                <w:szCs w:val="28"/>
              </w:rPr>
              <w:t>29459</w:t>
            </w:r>
          </w:p>
        </w:tc>
        <w:tc>
          <w:tcPr>
            <w:tcW w:w="1602" w:type="dxa"/>
            <w:tcBorders>
              <w:top w:val="nil"/>
              <w:left w:val="nil"/>
              <w:bottom w:val="single" w:color="auto" w:sz="4" w:space="0"/>
              <w:right w:val="nil"/>
            </w:tcBorders>
            <w:shd w:val="clear" w:color="auto" w:fill="auto"/>
            <w:noWrap/>
          </w:tcPr>
          <w:p w14:paraId="059326EB">
            <w:pPr>
              <w:spacing w:line="360" w:lineRule="auto"/>
              <w:rPr>
                <w:rFonts w:ascii="仿宋_GB2312" w:eastAsia="仿宋_GB2312"/>
                <w:sz w:val="28"/>
                <w:szCs w:val="28"/>
              </w:rPr>
            </w:pPr>
            <w:r>
              <w:rPr>
                <w:rFonts w:hint="eastAsia" w:ascii="仿宋_GB2312" w:eastAsia="仿宋_GB2312"/>
                <w:sz w:val="28"/>
                <w:szCs w:val="28"/>
              </w:rPr>
              <w:t xml:space="preserve">-21.1 </w:t>
            </w:r>
          </w:p>
        </w:tc>
      </w:tr>
      <w:tr w14:paraId="3DAD1C8F">
        <w:tblPrEx>
          <w:tblCellMar>
            <w:top w:w="0" w:type="dxa"/>
            <w:left w:w="108" w:type="dxa"/>
            <w:bottom w:w="0" w:type="dxa"/>
            <w:right w:w="108" w:type="dxa"/>
          </w:tblCellMar>
        </w:tblPrEx>
        <w:trPr>
          <w:trHeight w:val="454" w:hRule="exact"/>
        </w:trPr>
        <w:tc>
          <w:tcPr>
            <w:tcW w:w="3544" w:type="dxa"/>
            <w:tcBorders>
              <w:top w:val="nil"/>
              <w:left w:val="nil"/>
              <w:bottom w:val="single" w:color="auto" w:sz="4" w:space="0"/>
              <w:right w:val="single" w:color="auto" w:sz="4" w:space="0"/>
            </w:tcBorders>
            <w:shd w:val="clear" w:color="auto" w:fill="auto"/>
            <w:vAlign w:val="center"/>
          </w:tcPr>
          <w:p w14:paraId="442E805A">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化学纤维</w:t>
            </w:r>
          </w:p>
        </w:tc>
        <w:tc>
          <w:tcPr>
            <w:tcW w:w="1418" w:type="dxa"/>
            <w:tcBorders>
              <w:top w:val="nil"/>
              <w:left w:val="nil"/>
              <w:bottom w:val="single" w:color="auto" w:sz="4" w:space="0"/>
              <w:right w:val="single" w:color="auto" w:sz="4" w:space="0"/>
            </w:tcBorders>
            <w:shd w:val="clear" w:color="auto" w:fill="auto"/>
            <w:noWrap/>
            <w:vAlign w:val="center"/>
          </w:tcPr>
          <w:p w14:paraId="56D27AB9">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吨</w:t>
            </w:r>
          </w:p>
        </w:tc>
        <w:tc>
          <w:tcPr>
            <w:tcW w:w="1802" w:type="dxa"/>
            <w:tcBorders>
              <w:top w:val="nil"/>
              <w:left w:val="nil"/>
              <w:bottom w:val="single" w:color="auto" w:sz="4" w:space="0"/>
              <w:right w:val="single" w:color="auto" w:sz="4" w:space="0"/>
            </w:tcBorders>
            <w:shd w:val="clear" w:color="auto" w:fill="auto"/>
            <w:noWrap/>
          </w:tcPr>
          <w:p w14:paraId="32EF827D">
            <w:pPr>
              <w:spacing w:line="360" w:lineRule="auto"/>
              <w:rPr>
                <w:rFonts w:ascii="仿宋_GB2312" w:eastAsia="仿宋_GB2312"/>
                <w:sz w:val="28"/>
                <w:szCs w:val="28"/>
              </w:rPr>
            </w:pPr>
            <w:r>
              <w:rPr>
                <w:rFonts w:hint="eastAsia" w:ascii="仿宋_GB2312" w:eastAsia="仿宋_GB2312"/>
                <w:sz w:val="28"/>
                <w:szCs w:val="28"/>
              </w:rPr>
              <w:t>48315</w:t>
            </w:r>
          </w:p>
        </w:tc>
        <w:tc>
          <w:tcPr>
            <w:tcW w:w="1602" w:type="dxa"/>
            <w:tcBorders>
              <w:top w:val="nil"/>
              <w:left w:val="nil"/>
              <w:bottom w:val="single" w:color="auto" w:sz="4" w:space="0"/>
              <w:right w:val="nil"/>
            </w:tcBorders>
            <w:shd w:val="clear" w:color="auto" w:fill="auto"/>
            <w:noWrap/>
          </w:tcPr>
          <w:p w14:paraId="4A2C18CD">
            <w:pPr>
              <w:spacing w:line="360" w:lineRule="auto"/>
              <w:rPr>
                <w:rFonts w:ascii="仿宋_GB2312" w:eastAsia="仿宋_GB2312"/>
                <w:sz w:val="28"/>
                <w:szCs w:val="28"/>
              </w:rPr>
            </w:pPr>
            <w:r>
              <w:rPr>
                <w:rFonts w:hint="eastAsia" w:ascii="仿宋_GB2312" w:eastAsia="仿宋_GB2312"/>
                <w:sz w:val="28"/>
                <w:szCs w:val="28"/>
              </w:rPr>
              <w:t xml:space="preserve">21.6 </w:t>
            </w:r>
          </w:p>
        </w:tc>
      </w:tr>
      <w:tr w14:paraId="5F74C7D1">
        <w:tblPrEx>
          <w:tblCellMar>
            <w:top w:w="0" w:type="dxa"/>
            <w:left w:w="108" w:type="dxa"/>
            <w:bottom w:w="0" w:type="dxa"/>
            <w:right w:w="108" w:type="dxa"/>
          </w:tblCellMar>
        </w:tblPrEx>
        <w:trPr>
          <w:trHeight w:val="454" w:hRule="exact"/>
        </w:trPr>
        <w:tc>
          <w:tcPr>
            <w:tcW w:w="3544" w:type="dxa"/>
            <w:tcBorders>
              <w:top w:val="nil"/>
              <w:left w:val="nil"/>
              <w:bottom w:val="single" w:color="auto" w:sz="4" w:space="0"/>
              <w:right w:val="single" w:color="auto" w:sz="4" w:space="0"/>
            </w:tcBorders>
            <w:shd w:val="clear" w:color="auto" w:fill="auto"/>
            <w:vAlign w:val="center"/>
          </w:tcPr>
          <w:p w14:paraId="6520309E">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商品混凝土</w:t>
            </w:r>
          </w:p>
        </w:tc>
        <w:tc>
          <w:tcPr>
            <w:tcW w:w="1418" w:type="dxa"/>
            <w:tcBorders>
              <w:top w:val="nil"/>
              <w:left w:val="nil"/>
              <w:bottom w:val="single" w:color="auto" w:sz="4" w:space="0"/>
              <w:right w:val="single" w:color="auto" w:sz="4" w:space="0"/>
            </w:tcBorders>
            <w:shd w:val="clear" w:color="auto" w:fill="auto"/>
            <w:noWrap/>
            <w:vAlign w:val="center"/>
          </w:tcPr>
          <w:p w14:paraId="192118AB">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立方米</w:t>
            </w:r>
          </w:p>
        </w:tc>
        <w:tc>
          <w:tcPr>
            <w:tcW w:w="1802" w:type="dxa"/>
            <w:tcBorders>
              <w:top w:val="nil"/>
              <w:left w:val="nil"/>
              <w:bottom w:val="single" w:color="auto" w:sz="4" w:space="0"/>
              <w:right w:val="single" w:color="auto" w:sz="4" w:space="0"/>
            </w:tcBorders>
            <w:shd w:val="clear" w:color="auto" w:fill="auto"/>
            <w:noWrap/>
          </w:tcPr>
          <w:p w14:paraId="79AB603D">
            <w:pPr>
              <w:spacing w:line="360" w:lineRule="auto"/>
              <w:rPr>
                <w:rFonts w:ascii="仿宋_GB2312" w:eastAsia="仿宋_GB2312"/>
                <w:sz w:val="28"/>
                <w:szCs w:val="28"/>
              </w:rPr>
            </w:pPr>
            <w:r>
              <w:rPr>
                <w:rFonts w:hint="eastAsia" w:ascii="仿宋_GB2312" w:eastAsia="仿宋_GB2312"/>
                <w:sz w:val="28"/>
                <w:szCs w:val="28"/>
              </w:rPr>
              <w:t>301103</w:t>
            </w:r>
          </w:p>
        </w:tc>
        <w:tc>
          <w:tcPr>
            <w:tcW w:w="1602" w:type="dxa"/>
            <w:tcBorders>
              <w:top w:val="nil"/>
              <w:left w:val="nil"/>
              <w:bottom w:val="single" w:color="auto" w:sz="4" w:space="0"/>
              <w:right w:val="nil"/>
            </w:tcBorders>
            <w:shd w:val="clear" w:color="auto" w:fill="auto"/>
            <w:noWrap/>
          </w:tcPr>
          <w:p w14:paraId="5E3CA769">
            <w:pPr>
              <w:spacing w:line="360" w:lineRule="auto"/>
              <w:rPr>
                <w:rFonts w:ascii="仿宋_GB2312" w:eastAsia="仿宋_GB2312"/>
                <w:sz w:val="28"/>
                <w:szCs w:val="28"/>
              </w:rPr>
            </w:pPr>
            <w:r>
              <w:rPr>
                <w:rFonts w:hint="eastAsia" w:ascii="仿宋_GB2312" w:eastAsia="仿宋_GB2312"/>
                <w:sz w:val="28"/>
                <w:szCs w:val="28"/>
              </w:rPr>
              <w:t xml:space="preserve">-26.6 </w:t>
            </w:r>
          </w:p>
        </w:tc>
      </w:tr>
      <w:tr w14:paraId="1AE4CFA1">
        <w:tblPrEx>
          <w:tblCellMar>
            <w:top w:w="0" w:type="dxa"/>
            <w:left w:w="108" w:type="dxa"/>
            <w:bottom w:w="0" w:type="dxa"/>
            <w:right w:w="108" w:type="dxa"/>
          </w:tblCellMar>
        </w:tblPrEx>
        <w:trPr>
          <w:trHeight w:val="454" w:hRule="exact"/>
        </w:trPr>
        <w:tc>
          <w:tcPr>
            <w:tcW w:w="3544" w:type="dxa"/>
            <w:tcBorders>
              <w:top w:val="nil"/>
              <w:left w:val="nil"/>
              <w:bottom w:val="single" w:color="auto" w:sz="4" w:space="0"/>
              <w:right w:val="single" w:color="auto" w:sz="4" w:space="0"/>
            </w:tcBorders>
            <w:shd w:val="clear" w:color="auto" w:fill="auto"/>
            <w:vAlign w:val="center"/>
          </w:tcPr>
          <w:p w14:paraId="742DD39A">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无纺布</w:t>
            </w:r>
          </w:p>
        </w:tc>
        <w:tc>
          <w:tcPr>
            <w:tcW w:w="1418" w:type="dxa"/>
            <w:tcBorders>
              <w:top w:val="nil"/>
              <w:left w:val="nil"/>
              <w:bottom w:val="single" w:color="auto" w:sz="4" w:space="0"/>
              <w:right w:val="single" w:color="auto" w:sz="4" w:space="0"/>
            </w:tcBorders>
            <w:shd w:val="clear" w:color="auto" w:fill="auto"/>
            <w:noWrap/>
            <w:vAlign w:val="center"/>
          </w:tcPr>
          <w:p w14:paraId="6966AAA0">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吨</w:t>
            </w:r>
          </w:p>
        </w:tc>
        <w:tc>
          <w:tcPr>
            <w:tcW w:w="1802" w:type="dxa"/>
            <w:tcBorders>
              <w:top w:val="nil"/>
              <w:left w:val="nil"/>
              <w:bottom w:val="single" w:color="auto" w:sz="4" w:space="0"/>
              <w:right w:val="single" w:color="auto" w:sz="4" w:space="0"/>
            </w:tcBorders>
            <w:shd w:val="clear" w:color="auto" w:fill="auto"/>
            <w:noWrap/>
          </w:tcPr>
          <w:p w14:paraId="343D22F2">
            <w:pPr>
              <w:spacing w:line="360" w:lineRule="auto"/>
              <w:rPr>
                <w:rFonts w:ascii="仿宋_GB2312" w:eastAsia="仿宋_GB2312"/>
                <w:sz w:val="28"/>
                <w:szCs w:val="28"/>
              </w:rPr>
            </w:pPr>
            <w:r>
              <w:rPr>
                <w:rFonts w:hint="eastAsia" w:ascii="仿宋_GB2312" w:eastAsia="仿宋_GB2312"/>
                <w:sz w:val="28"/>
                <w:szCs w:val="28"/>
              </w:rPr>
              <w:t>42845</w:t>
            </w:r>
          </w:p>
        </w:tc>
        <w:tc>
          <w:tcPr>
            <w:tcW w:w="1602" w:type="dxa"/>
            <w:tcBorders>
              <w:top w:val="nil"/>
              <w:left w:val="nil"/>
              <w:bottom w:val="single" w:color="auto" w:sz="4" w:space="0"/>
              <w:right w:val="nil"/>
            </w:tcBorders>
            <w:shd w:val="clear" w:color="auto" w:fill="auto"/>
            <w:noWrap/>
          </w:tcPr>
          <w:p w14:paraId="2ABC45D4">
            <w:pPr>
              <w:spacing w:line="360" w:lineRule="auto"/>
              <w:rPr>
                <w:rFonts w:ascii="仿宋_GB2312" w:eastAsia="仿宋_GB2312"/>
                <w:sz w:val="28"/>
                <w:szCs w:val="28"/>
              </w:rPr>
            </w:pPr>
            <w:r>
              <w:rPr>
                <w:rFonts w:hint="eastAsia" w:ascii="仿宋_GB2312" w:eastAsia="仿宋_GB2312"/>
                <w:sz w:val="28"/>
                <w:szCs w:val="28"/>
              </w:rPr>
              <w:t xml:space="preserve">12.6 </w:t>
            </w:r>
          </w:p>
        </w:tc>
      </w:tr>
      <w:tr w14:paraId="21407A39">
        <w:tblPrEx>
          <w:tblCellMar>
            <w:top w:w="0" w:type="dxa"/>
            <w:left w:w="108" w:type="dxa"/>
            <w:bottom w:w="0" w:type="dxa"/>
            <w:right w:w="108" w:type="dxa"/>
          </w:tblCellMar>
        </w:tblPrEx>
        <w:trPr>
          <w:trHeight w:val="454" w:hRule="exact"/>
        </w:trPr>
        <w:tc>
          <w:tcPr>
            <w:tcW w:w="3544" w:type="dxa"/>
            <w:tcBorders>
              <w:top w:val="nil"/>
              <w:left w:val="nil"/>
              <w:bottom w:val="single" w:color="auto" w:sz="4" w:space="0"/>
              <w:right w:val="single" w:color="auto" w:sz="4" w:space="0"/>
            </w:tcBorders>
            <w:shd w:val="clear" w:color="auto" w:fill="auto"/>
            <w:vAlign w:val="center"/>
          </w:tcPr>
          <w:p w14:paraId="2EB2A6CD">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大米</w:t>
            </w:r>
          </w:p>
        </w:tc>
        <w:tc>
          <w:tcPr>
            <w:tcW w:w="1418" w:type="dxa"/>
            <w:tcBorders>
              <w:top w:val="nil"/>
              <w:left w:val="nil"/>
              <w:bottom w:val="single" w:color="auto" w:sz="4" w:space="0"/>
              <w:right w:val="single" w:color="auto" w:sz="4" w:space="0"/>
            </w:tcBorders>
            <w:shd w:val="clear" w:color="auto" w:fill="auto"/>
            <w:noWrap/>
            <w:vAlign w:val="center"/>
          </w:tcPr>
          <w:p w14:paraId="55E407DD">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吨</w:t>
            </w:r>
          </w:p>
        </w:tc>
        <w:tc>
          <w:tcPr>
            <w:tcW w:w="1802" w:type="dxa"/>
            <w:tcBorders>
              <w:top w:val="nil"/>
              <w:left w:val="nil"/>
              <w:bottom w:val="single" w:color="auto" w:sz="4" w:space="0"/>
              <w:right w:val="single" w:color="auto" w:sz="4" w:space="0"/>
            </w:tcBorders>
            <w:shd w:val="clear" w:color="auto" w:fill="auto"/>
            <w:noWrap/>
          </w:tcPr>
          <w:p w14:paraId="313A4555">
            <w:pPr>
              <w:spacing w:line="360" w:lineRule="auto"/>
              <w:rPr>
                <w:rFonts w:ascii="仿宋_GB2312" w:eastAsia="仿宋_GB2312"/>
                <w:sz w:val="28"/>
                <w:szCs w:val="28"/>
              </w:rPr>
            </w:pPr>
            <w:r>
              <w:rPr>
                <w:rFonts w:hint="eastAsia" w:ascii="仿宋_GB2312" w:eastAsia="仿宋_GB2312"/>
                <w:sz w:val="28"/>
                <w:szCs w:val="28"/>
              </w:rPr>
              <w:t>7878</w:t>
            </w:r>
          </w:p>
        </w:tc>
        <w:tc>
          <w:tcPr>
            <w:tcW w:w="1602" w:type="dxa"/>
            <w:tcBorders>
              <w:top w:val="nil"/>
              <w:left w:val="nil"/>
              <w:bottom w:val="single" w:color="auto" w:sz="4" w:space="0"/>
              <w:right w:val="nil"/>
            </w:tcBorders>
            <w:shd w:val="clear" w:color="auto" w:fill="auto"/>
            <w:noWrap/>
          </w:tcPr>
          <w:p w14:paraId="2424A073">
            <w:pPr>
              <w:spacing w:line="360" w:lineRule="auto"/>
              <w:rPr>
                <w:rFonts w:ascii="仿宋_GB2312" w:eastAsia="仿宋_GB2312"/>
                <w:sz w:val="28"/>
                <w:szCs w:val="28"/>
              </w:rPr>
            </w:pPr>
            <w:r>
              <w:rPr>
                <w:rFonts w:hint="eastAsia" w:ascii="仿宋_GB2312" w:eastAsia="仿宋_GB2312"/>
                <w:sz w:val="28"/>
                <w:szCs w:val="28"/>
              </w:rPr>
              <w:t xml:space="preserve">6.5 </w:t>
            </w:r>
          </w:p>
        </w:tc>
      </w:tr>
      <w:tr w14:paraId="0325EDCE">
        <w:tblPrEx>
          <w:tblCellMar>
            <w:top w:w="0" w:type="dxa"/>
            <w:left w:w="108" w:type="dxa"/>
            <w:bottom w:w="0" w:type="dxa"/>
            <w:right w:w="108" w:type="dxa"/>
          </w:tblCellMar>
        </w:tblPrEx>
        <w:trPr>
          <w:trHeight w:val="454" w:hRule="exact"/>
        </w:trPr>
        <w:tc>
          <w:tcPr>
            <w:tcW w:w="3544" w:type="dxa"/>
            <w:tcBorders>
              <w:top w:val="nil"/>
              <w:left w:val="nil"/>
              <w:bottom w:val="single" w:color="auto" w:sz="4" w:space="0"/>
              <w:right w:val="single" w:color="auto" w:sz="4" w:space="0"/>
            </w:tcBorders>
            <w:shd w:val="clear" w:color="auto" w:fill="auto"/>
            <w:vAlign w:val="center"/>
          </w:tcPr>
          <w:p w14:paraId="315DD3A3">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纸制品</w:t>
            </w:r>
          </w:p>
        </w:tc>
        <w:tc>
          <w:tcPr>
            <w:tcW w:w="1418" w:type="dxa"/>
            <w:tcBorders>
              <w:top w:val="nil"/>
              <w:left w:val="nil"/>
              <w:bottom w:val="single" w:color="auto" w:sz="4" w:space="0"/>
              <w:right w:val="single" w:color="auto" w:sz="4" w:space="0"/>
            </w:tcBorders>
            <w:shd w:val="clear" w:color="auto" w:fill="auto"/>
            <w:noWrap/>
            <w:vAlign w:val="center"/>
          </w:tcPr>
          <w:p w14:paraId="2FF1FFB2">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吨</w:t>
            </w:r>
          </w:p>
        </w:tc>
        <w:tc>
          <w:tcPr>
            <w:tcW w:w="1802" w:type="dxa"/>
            <w:tcBorders>
              <w:top w:val="nil"/>
              <w:left w:val="nil"/>
              <w:bottom w:val="single" w:color="auto" w:sz="4" w:space="0"/>
              <w:right w:val="single" w:color="auto" w:sz="4" w:space="0"/>
            </w:tcBorders>
            <w:shd w:val="clear" w:color="auto" w:fill="auto"/>
            <w:noWrap/>
          </w:tcPr>
          <w:p w14:paraId="630E9498">
            <w:pPr>
              <w:spacing w:line="360" w:lineRule="auto"/>
              <w:rPr>
                <w:rFonts w:ascii="仿宋_GB2312" w:eastAsia="仿宋_GB2312"/>
                <w:sz w:val="28"/>
                <w:szCs w:val="28"/>
              </w:rPr>
            </w:pPr>
            <w:r>
              <w:rPr>
                <w:rFonts w:hint="eastAsia" w:ascii="仿宋_GB2312" w:eastAsia="仿宋_GB2312"/>
                <w:sz w:val="28"/>
                <w:szCs w:val="28"/>
              </w:rPr>
              <w:t>1332</w:t>
            </w:r>
          </w:p>
        </w:tc>
        <w:tc>
          <w:tcPr>
            <w:tcW w:w="1602" w:type="dxa"/>
            <w:tcBorders>
              <w:top w:val="nil"/>
              <w:left w:val="nil"/>
              <w:bottom w:val="single" w:color="auto" w:sz="4" w:space="0"/>
              <w:right w:val="nil"/>
            </w:tcBorders>
            <w:shd w:val="clear" w:color="auto" w:fill="auto"/>
            <w:noWrap/>
          </w:tcPr>
          <w:p w14:paraId="062FF342">
            <w:pPr>
              <w:spacing w:line="360" w:lineRule="auto"/>
              <w:rPr>
                <w:rFonts w:ascii="仿宋_GB2312" w:eastAsia="仿宋_GB2312"/>
                <w:sz w:val="28"/>
                <w:szCs w:val="28"/>
              </w:rPr>
            </w:pPr>
            <w:r>
              <w:rPr>
                <w:rFonts w:hint="eastAsia" w:ascii="仿宋_GB2312" w:eastAsia="仿宋_GB2312"/>
                <w:sz w:val="28"/>
                <w:szCs w:val="28"/>
              </w:rPr>
              <w:t xml:space="preserve">-44.6 </w:t>
            </w:r>
          </w:p>
        </w:tc>
      </w:tr>
      <w:tr w14:paraId="13B99728">
        <w:tblPrEx>
          <w:tblCellMar>
            <w:top w:w="0" w:type="dxa"/>
            <w:left w:w="108" w:type="dxa"/>
            <w:bottom w:w="0" w:type="dxa"/>
            <w:right w:w="108" w:type="dxa"/>
          </w:tblCellMar>
        </w:tblPrEx>
        <w:trPr>
          <w:trHeight w:val="454" w:hRule="exact"/>
        </w:trPr>
        <w:tc>
          <w:tcPr>
            <w:tcW w:w="3544" w:type="dxa"/>
            <w:tcBorders>
              <w:top w:val="nil"/>
              <w:left w:val="nil"/>
              <w:bottom w:val="single" w:color="auto" w:sz="4" w:space="0"/>
              <w:right w:val="single" w:color="auto" w:sz="4" w:space="0"/>
            </w:tcBorders>
            <w:shd w:val="clear" w:color="auto" w:fill="auto"/>
          </w:tcPr>
          <w:p w14:paraId="7BB2F2DC">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沥青和改性沥青防水卷材</w:t>
            </w:r>
          </w:p>
        </w:tc>
        <w:tc>
          <w:tcPr>
            <w:tcW w:w="1418" w:type="dxa"/>
            <w:tcBorders>
              <w:top w:val="nil"/>
              <w:left w:val="nil"/>
              <w:bottom w:val="single" w:color="auto" w:sz="4" w:space="0"/>
              <w:right w:val="single" w:color="auto" w:sz="4" w:space="0"/>
            </w:tcBorders>
            <w:shd w:val="clear" w:color="auto" w:fill="auto"/>
            <w:noWrap/>
          </w:tcPr>
          <w:p w14:paraId="18E614F4">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平方米</w:t>
            </w:r>
          </w:p>
        </w:tc>
        <w:tc>
          <w:tcPr>
            <w:tcW w:w="1802" w:type="dxa"/>
            <w:tcBorders>
              <w:top w:val="nil"/>
              <w:left w:val="nil"/>
              <w:bottom w:val="single" w:color="auto" w:sz="4" w:space="0"/>
              <w:right w:val="single" w:color="auto" w:sz="4" w:space="0"/>
            </w:tcBorders>
            <w:shd w:val="clear" w:color="auto" w:fill="auto"/>
            <w:noWrap/>
          </w:tcPr>
          <w:p w14:paraId="33E068B5">
            <w:pPr>
              <w:spacing w:line="360" w:lineRule="auto"/>
              <w:rPr>
                <w:rFonts w:ascii="仿宋_GB2312" w:eastAsia="仿宋_GB2312"/>
                <w:sz w:val="28"/>
                <w:szCs w:val="28"/>
              </w:rPr>
            </w:pPr>
            <w:r>
              <w:rPr>
                <w:rFonts w:hint="eastAsia" w:ascii="仿宋_GB2312" w:eastAsia="仿宋_GB2312"/>
                <w:sz w:val="28"/>
                <w:szCs w:val="28"/>
              </w:rPr>
              <w:t>443615</w:t>
            </w:r>
          </w:p>
        </w:tc>
        <w:tc>
          <w:tcPr>
            <w:tcW w:w="1602" w:type="dxa"/>
            <w:tcBorders>
              <w:top w:val="nil"/>
              <w:left w:val="nil"/>
              <w:bottom w:val="single" w:color="auto" w:sz="4" w:space="0"/>
              <w:right w:val="nil"/>
            </w:tcBorders>
            <w:shd w:val="clear" w:color="auto" w:fill="auto"/>
            <w:noWrap/>
          </w:tcPr>
          <w:p w14:paraId="7946DD68">
            <w:pPr>
              <w:spacing w:line="360" w:lineRule="auto"/>
              <w:rPr>
                <w:rFonts w:ascii="仿宋_GB2312" w:eastAsia="仿宋_GB2312"/>
                <w:sz w:val="28"/>
                <w:szCs w:val="28"/>
              </w:rPr>
            </w:pPr>
            <w:r>
              <w:rPr>
                <w:rFonts w:hint="eastAsia" w:ascii="仿宋_GB2312" w:eastAsia="仿宋_GB2312"/>
                <w:sz w:val="28"/>
                <w:szCs w:val="28"/>
              </w:rPr>
              <w:t xml:space="preserve">-61.4 </w:t>
            </w:r>
          </w:p>
        </w:tc>
      </w:tr>
      <w:tr w14:paraId="7A6137AB">
        <w:tblPrEx>
          <w:tblCellMar>
            <w:top w:w="0" w:type="dxa"/>
            <w:left w:w="108" w:type="dxa"/>
            <w:bottom w:w="0" w:type="dxa"/>
            <w:right w:w="108" w:type="dxa"/>
          </w:tblCellMar>
        </w:tblPrEx>
        <w:trPr>
          <w:trHeight w:val="454" w:hRule="exact"/>
        </w:trPr>
        <w:tc>
          <w:tcPr>
            <w:tcW w:w="3544" w:type="dxa"/>
            <w:tcBorders>
              <w:top w:val="nil"/>
              <w:left w:val="nil"/>
              <w:bottom w:val="single" w:color="auto" w:sz="4" w:space="0"/>
              <w:right w:val="single" w:color="auto" w:sz="4" w:space="0"/>
            </w:tcBorders>
            <w:shd w:val="clear" w:color="auto" w:fill="auto"/>
          </w:tcPr>
          <w:p w14:paraId="30599417">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建筑用天然石料</w:t>
            </w:r>
          </w:p>
        </w:tc>
        <w:tc>
          <w:tcPr>
            <w:tcW w:w="1418" w:type="dxa"/>
            <w:tcBorders>
              <w:top w:val="nil"/>
              <w:left w:val="nil"/>
              <w:bottom w:val="single" w:color="auto" w:sz="4" w:space="0"/>
              <w:right w:val="single" w:color="auto" w:sz="4" w:space="0"/>
            </w:tcBorders>
            <w:shd w:val="clear" w:color="auto" w:fill="auto"/>
            <w:noWrap/>
          </w:tcPr>
          <w:p w14:paraId="4D10C9CB">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立方米</w:t>
            </w:r>
          </w:p>
        </w:tc>
        <w:tc>
          <w:tcPr>
            <w:tcW w:w="1802" w:type="dxa"/>
            <w:tcBorders>
              <w:top w:val="nil"/>
              <w:left w:val="nil"/>
              <w:bottom w:val="single" w:color="auto" w:sz="4" w:space="0"/>
              <w:right w:val="single" w:color="auto" w:sz="4" w:space="0"/>
            </w:tcBorders>
            <w:shd w:val="clear" w:color="auto" w:fill="auto"/>
            <w:noWrap/>
          </w:tcPr>
          <w:p w14:paraId="72BB0B2F">
            <w:pPr>
              <w:spacing w:line="360" w:lineRule="auto"/>
              <w:rPr>
                <w:rFonts w:ascii="仿宋_GB2312" w:eastAsia="仿宋_GB2312"/>
                <w:sz w:val="28"/>
                <w:szCs w:val="28"/>
              </w:rPr>
            </w:pPr>
            <w:r>
              <w:rPr>
                <w:rFonts w:hint="eastAsia" w:ascii="仿宋_GB2312" w:eastAsia="仿宋_GB2312"/>
                <w:sz w:val="28"/>
                <w:szCs w:val="28"/>
              </w:rPr>
              <w:t>143700</w:t>
            </w:r>
          </w:p>
        </w:tc>
        <w:tc>
          <w:tcPr>
            <w:tcW w:w="1602" w:type="dxa"/>
            <w:tcBorders>
              <w:top w:val="nil"/>
              <w:left w:val="nil"/>
              <w:bottom w:val="single" w:color="auto" w:sz="4" w:space="0"/>
              <w:right w:val="nil"/>
            </w:tcBorders>
            <w:shd w:val="clear" w:color="auto" w:fill="auto"/>
            <w:noWrap/>
          </w:tcPr>
          <w:p w14:paraId="7564B355">
            <w:pPr>
              <w:spacing w:line="360" w:lineRule="auto"/>
              <w:rPr>
                <w:rFonts w:ascii="仿宋_GB2312" w:eastAsia="仿宋_GB2312"/>
                <w:sz w:val="28"/>
                <w:szCs w:val="28"/>
              </w:rPr>
            </w:pPr>
            <w:r>
              <w:rPr>
                <w:rFonts w:hint="eastAsia" w:ascii="仿宋_GB2312" w:eastAsia="仿宋_GB2312"/>
                <w:sz w:val="28"/>
                <w:szCs w:val="28"/>
              </w:rPr>
              <w:t xml:space="preserve">-47.5 </w:t>
            </w:r>
          </w:p>
        </w:tc>
      </w:tr>
      <w:tr w14:paraId="0E90D92E">
        <w:tblPrEx>
          <w:tblCellMar>
            <w:top w:w="0" w:type="dxa"/>
            <w:left w:w="108" w:type="dxa"/>
            <w:bottom w:w="0" w:type="dxa"/>
            <w:right w:w="108" w:type="dxa"/>
          </w:tblCellMar>
        </w:tblPrEx>
        <w:trPr>
          <w:trHeight w:val="454" w:hRule="exact"/>
        </w:trPr>
        <w:tc>
          <w:tcPr>
            <w:tcW w:w="3544" w:type="dxa"/>
            <w:tcBorders>
              <w:top w:val="single" w:color="auto" w:sz="4" w:space="0"/>
              <w:left w:val="nil"/>
              <w:bottom w:val="single" w:color="auto" w:sz="4" w:space="0"/>
              <w:right w:val="single" w:color="auto" w:sz="4" w:space="0"/>
            </w:tcBorders>
            <w:shd w:val="clear" w:color="auto" w:fill="auto"/>
          </w:tcPr>
          <w:p w14:paraId="71686062">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稀土化合物</w:t>
            </w:r>
          </w:p>
        </w:tc>
        <w:tc>
          <w:tcPr>
            <w:tcW w:w="1418" w:type="dxa"/>
            <w:tcBorders>
              <w:top w:val="single" w:color="auto" w:sz="4" w:space="0"/>
              <w:left w:val="nil"/>
              <w:bottom w:val="single" w:color="auto" w:sz="4" w:space="0"/>
              <w:right w:val="single" w:color="auto" w:sz="4" w:space="0"/>
            </w:tcBorders>
            <w:shd w:val="clear" w:color="auto" w:fill="auto"/>
            <w:noWrap/>
          </w:tcPr>
          <w:p w14:paraId="3FDECAE5">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千克</w:t>
            </w:r>
          </w:p>
        </w:tc>
        <w:tc>
          <w:tcPr>
            <w:tcW w:w="1802" w:type="dxa"/>
            <w:tcBorders>
              <w:top w:val="single" w:color="auto" w:sz="4" w:space="0"/>
              <w:left w:val="nil"/>
              <w:bottom w:val="single" w:color="auto" w:sz="4" w:space="0"/>
              <w:right w:val="single" w:color="auto" w:sz="4" w:space="0"/>
            </w:tcBorders>
            <w:shd w:val="clear" w:color="auto" w:fill="auto"/>
            <w:noWrap/>
          </w:tcPr>
          <w:p w14:paraId="4E341D6F">
            <w:pPr>
              <w:spacing w:line="360" w:lineRule="auto"/>
              <w:rPr>
                <w:rFonts w:ascii="仿宋_GB2312" w:eastAsia="仿宋_GB2312"/>
                <w:sz w:val="28"/>
                <w:szCs w:val="28"/>
              </w:rPr>
            </w:pPr>
            <w:r>
              <w:rPr>
                <w:rFonts w:hint="eastAsia" w:ascii="仿宋_GB2312" w:eastAsia="仿宋_GB2312"/>
                <w:sz w:val="28"/>
                <w:szCs w:val="28"/>
              </w:rPr>
              <w:t>6547311</w:t>
            </w:r>
          </w:p>
        </w:tc>
        <w:tc>
          <w:tcPr>
            <w:tcW w:w="1602" w:type="dxa"/>
            <w:tcBorders>
              <w:top w:val="single" w:color="auto" w:sz="4" w:space="0"/>
              <w:left w:val="nil"/>
              <w:bottom w:val="single" w:color="auto" w:sz="4" w:space="0"/>
              <w:right w:val="nil"/>
            </w:tcBorders>
            <w:shd w:val="clear" w:color="auto" w:fill="auto"/>
            <w:noWrap/>
          </w:tcPr>
          <w:p w14:paraId="529DD6A5">
            <w:pPr>
              <w:spacing w:line="360" w:lineRule="auto"/>
              <w:rPr>
                <w:rFonts w:ascii="仿宋_GB2312" w:eastAsia="仿宋_GB2312"/>
                <w:sz w:val="28"/>
                <w:szCs w:val="28"/>
              </w:rPr>
            </w:pPr>
            <w:r>
              <w:rPr>
                <w:rFonts w:hint="eastAsia" w:ascii="仿宋_GB2312" w:eastAsia="仿宋_GB2312"/>
                <w:sz w:val="28"/>
                <w:szCs w:val="28"/>
              </w:rPr>
              <w:t xml:space="preserve">13.3 </w:t>
            </w:r>
          </w:p>
        </w:tc>
      </w:tr>
      <w:tr w14:paraId="18198878">
        <w:tblPrEx>
          <w:tblCellMar>
            <w:top w:w="0" w:type="dxa"/>
            <w:left w:w="108" w:type="dxa"/>
            <w:bottom w:w="0" w:type="dxa"/>
            <w:right w:w="108" w:type="dxa"/>
          </w:tblCellMar>
        </w:tblPrEx>
        <w:trPr>
          <w:trHeight w:val="454" w:hRule="exact"/>
        </w:trPr>
        <w:tc>
          <w:tcPr>
            <w:tcW w:w="3544" w:type="dxa"/>
            <w:tcBorders>
              <w:top w:val="single" w:color="auto" w:sz="4" w:space="0"/>
              <w:left w:val="nil"/>
              <w:bottom w:val="single" w:color="auto" w:sz="4" w:space="0"/>
              <w:right w:val="single" w:color="auto" w:sz="4" w:space="0"/>
            </w:tcBorders>
            <w:shd w:val="clear" w:color="auto" w:fill="auto"/>
          </w:tcPr>
          <w:p w14:paraId="6E0DF6E1">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单一稀土金属</w:t>
            </w:r>
          </w:p>
        </w:tc>
        <w:tc>
          <w:tcPr>
            <w:tcW w:w="1418" w:type="dxa"/>
            <w:tcBorders>
              <w:top w:val="single" w:color="auto" w:sz="4" w:space="0"/>
              <w:left w:val="nil"/>
              <w:bottom w:val="single" w:color="auto" w:sz="4" w:space="0"/>
              <w:right w:val="single" w:color="auto" w:sz="4" w:space="0"/>
            </w:tcBorders>
            <w:shd w:val="clear" w:color="auto" w:fill="auto"/>
            <w:noWrap/>
          </w:tcPr>
          <w:p w14:paraId="1A2C2321">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千克</w:t>
            </w:r>
          </w:p>
        </w:tc>
        <w:tc>
          <w:tcPr>
            <w:tcW w:w="1802" w:type="dxa"/>
            <w:tcBorders>
              <w:top w:val="single" w:color="auto" w:sz="4" w:space="0"/>
              <w:left w:val="nil"/>
              <w:bottom w:val="single" w:color="auto" w:sz="4" w:space="0"/>
              <w:right w:val="single" w:color="auto" w:sz="4" w:space="0"/>
            </w:tcBorders>
            <w:shd w:val="clear" w:color="auto" w:fill="auto"/>
            <w:noWrap/>
          </w:tcPr>
          <w:p w14:paraId="2236C5C0">
            <w:pPr>
              <w:spacing w:line="360" w:lineRule="auto"/>
              <w:rPr>
                <w:rFonts w:ascii="仿宋_GB2312" w:eastAsia="仿宋_GB2312"/>
                <w:sz w:val="28"/>
                <w:szCs w:val="28"/>
              </w:rPr>
            </w:pPr>
            <w:r>
              <w:rPr>
                <w:rFonts w:hint="eastAsia" w:ascii="仿宋_GB2312" w:eastAsia="仿宋_GB2312"/>
                <w:sz w:val="28"/>
                <w:szCs w:val="28"/>
              </w:rPr>
              <w:t>2968302</w:t>
            </w:r>
          </w:p>
        </w:tc>
        <w:tc>
          <w:tcPr>
            <w:tcW w:w="1602" w:type="dxa"/>
            <w:tcBorders>
              <w:top w:val="single" w:color="auto" w:sz="4" w:space="0"/>
              <w:left w:val="nil"/>
              <w:bottom w:val="single" w:color="auto" w:sz="4" w:space="0"/>
              <w:right w:val="nil"/>
            </w:tcBorders>
            <w:shd w:val="clear" w:color="auto" w:fill="auto"/>
            <w:noWrap/>
          </w:tcPr>
          <w:p w14:paraId="54C674B8">
            <w:pPr>
              <w:spacing w:line="360" w:lineRule="auto"/>
              <w:rPr>
                <w:rFonts w:ascii="仿宋_GB2312" w:eastAsia="仿宋_GB2312"/>
                <w:sz w:val="28"/>
                <w:szCs w:val="28"/>
              </w:rPr>
            </w:pPr>
            <w:r>
              <w:rPr>
                <w:rFonts w:hint="eastAsia" w:ascii="仿宋_GB2312" w:eastAsia="仿宋_GB2312"/>
                <w:sz w:val="28"/>
                <w:szCs w:val="28"/>
              </w:rPr>
              <w:t xml:space="preserve">24.0 </w:t>
            </w:r>
          </w:p>
        </w:tc>
      </w:tr>
    </w:tbl>
    <w:p w14:paraId="7EE98EA8">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规模以上工业企业实现利润总额7.1亿元，下降5.5%。其中，国有控股企业3.0亿元，增长37.6%；股份制企业7.0亿元，下降5.3%；外商及港澳台商投资企业0.2亿元，下降10.8%；私人控股企业1.3亿元，下降48.1%。规模以上工业企业每百元营业收入中的成本为87.6元，比上年下降3.0</w:t>
      </w:r>
      <w:r>
        <w:rPr>
          <w:rFonts w:ascii="仿宋_GB2312" w:hAnsi="宋体" w:eastAsia="仿宋_GB2312" w:cs="宋体"/>
          <w:kern w:val="0"/>
          <w:sz w:val="32"/>
          <w:szCs w:val="28"/>
        </w:rPr>
        <w:t>元；</w:t>
      </w:r>
      <w:r>
        <w:rPr>
          <w:rFonts w:hint="eastAsia" w:ascii="仿宋_GB2312" w:hAnsi="宋体" w:eastAsia="仿宋_GB2312" w:cs="宋体"/>
          <w:kern w:val="0"/>
          <w:sz w:val="32"/>
          <w:szCs w:val="28"/>
        </w:rPr>
        <w:t>营业收入利润率为5.2%，比上年上升1.1个百分点</w:t>
      </w:r>
      <w:r>
        <w:rPr>
          <w:rFonts w:ascii="仿宋_GB2312" w:hAnsi="宋体" w:eastAsia="仿宋_GB2312" w:cs="宋体"/>
          <w:kern w:val="0"/>
          <w:sz w:val="32"/>
          <w:szCs w:val="28"/>
        </w:rPr>
        <w:t>；平均用工人数</w:t>
      </w:r>
      <w:r>
        <w:rPr>
          <w:rFonts w:hint="eastAsia" w:ascii="仿宋_GB2312" w:hAnsi="宋体" w:eastAsia="仿宋_GB2312" w:cs="宋体"/>
          <w:kern w:val="0"/>
          <w:sz w:val="32"/>
          <w:szCs w:val="28"/>
        </w:rPr>
        <w:t>13457</w:t>
      </w:r>
      <w:r>
        <w:rPr>
          <w:rFonts w:ascii="仿宋_GB2312" w:hAnsi="宋体" w:eastAsia="仿宋_GB2312" w:cs="宋体"/>
          <w:kern w:val="0"/>
          <w:sz w:val="32"/>
          <w:szCs w:val="28"/>
        </w:rPr>
        <w:t>人，</w:t>
      </w:r>
      <w:r>
        <w:rPr>
          <w:rFonts w:hint="eastAsia" w:ascii="仿宋_GB2312" w:hAnsi="宋体" w:eastAsia="仿宋_GB2312" w:cs="宋体"/>
          <w:kern w:val="0"/>
          <w:sz w:val="32"/>
          <w:szCs w:val="28"/>
        </w:rPr>
        <w:t>下降4.2</w:t>
      </w:r>
      <w:r>
        <w:rPr>
          <w:rFonts w:ascii="仿宋_GB2312" w:hAnsi="宋体" w:eastAsia="仿宋_GB2312" w:cs="宋体"/>
          <w:kern w:val="0"/>
          <w:sz w:val="32"/>
          <w:szCs w:val="28"/>
        </w:rPr>
        <w:t>%</w:t>
      </w:r>
      <w:r>
        <w:rPr>
          <w:rFonts w:hint="eastAsia" w:ascii="仿宋_GB2312" w:hAnsi="宋体" w:eastAsia="仿宋_GB2312" w:cs="宋体"/>
          <w:kern w:val="0"/>
          <w:sz w:val="32"/>
          <w:szCs w:val="28"/>
        </w:rPr>
        <w:t>。</w:t>
      </w:r>
    </w:p>
    <w:p w14:paraId="4A223E02">
      <w:pPr>
        <w:widowControl/>
        <w:spacing w:line="560" w:lineRule="exact"/>
        <w:ind w:firstLine="640" w:firstLineChars="200"/>
        <w:rPr>
          <w:rFonts w:ascii="仿宋_GB2312" w:hAnsi="宋体" w:eastAsia="仿宋_GB2312" w:cs="宋体"/>
          <w:kern w:val="0"/>
          <w:sz w:val="28"/>
          <w:szCs w:val="28"/>
        </w:rPr>
      </w:pPr>
      <w:r>
        <w:rPr>
          <w:rFonts w:hint="eastAsia" w:ascii="仿宋_GB2312" w:hAnsi="宋体" w:eastAsia="仿宋_GB2312" w:cs="宋体"/>
          <w:kern w:val="0"/>
          <w:sz w:val="32"/>
          <w:szCs w:val="28"/>
        </w:rPr>
        <w:t>全年建筑业实现增加值63.3亿元，增长5.4%。全县具有资质等级的总承包和专业承包建筑业企业完成建筑业总产值131.2亿元，增长12.0%，其中省内产值99.0亿元，增长8.9%；省外产值32.2亿元，增长22.9%。全年新签合同额111.6亿元，下降0.9%。</w:t>
      </w:r>
    </w:p>
    <w:p w14:paraId="41A67FFC">
      <w:pPr>
        <w:widowControl/>
        <w:rPr>
          <w:rFonts w:ascii="仿宋_GB2312" w:hAnsi="宋体" w:eastAsia="仿宋_GB2312" w:cs="宋体"/>
          <w:kern w:val="0"/>
          <w:sz w:val="28"/>
          <w:szCs w:val="28"/>
        </w:rPr>
      </w:pPr>
      <w:r>
        <w:rPr>
          <w:rFonts w:ascii="仿宋_GB2312" w:hAnsi="宋体" w:eastAsia="仿宋_GB2312" w:cs="宋体"/>
          <w:kern w:val="0"/>
          <w:sz w:val="28"/>
          <w:szCs w:val="28"/>
        </w:rPr>
        <w:drawing>
          <wp:inline distT="0" distB="0" distL="0" distR="0">
            <wp:extent cx="5615940" cy="3239135"/>
            <wp:effectExtent l="19050" t="0" r="3810" b="0"/>
            <wp:docPr id="19" name="图片 18" descr="图片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图片7.png"/>
                    <pic:cNvPicPr>
                      <a:picLocks noChangeAspect="1"/>
                    </pic:cNvPicPr>
                  </pic:nvPicPr>
                  <pic:blipFill>
                    <a:blip r:embed="rId13"/>
                    <a:stretch>
                      <a:fillRect/>
                    </a:stretch>
                  </pic:blipFill>
                  <pic:spPr>
                    <a:xfrm>
                      <a:off x="0" y="0"/>
                      <a:ext cx="5615940" cy="3239135"/>
                    </a:xfrm>
                    <a:prstGeom prst="rect">
                      <a:avLst/>
                    </a:prstGeom>
                  </pic:spPr>
                </pic:pic>
              </a:graphicData>
            </a:graphic>
          </wp:inline>
        </w:drawing>
      </w:r>
    </w:p>
    <w:p w14:paraId="2CD0F6D7">
      <w:pPr>
        <w:widowControl/>
        <w:spacing w:beforeLines="100" w:afterLines="100"/>
        <w:jc w:val="center"/>
        <w:rPr>
          <w:rFonts w:ascii="宋体" w:hAnsi="宋体" w:cs="宋体"/>
          <w:b/>
          <w:kern w:val="0"/>
          <w:sz w:val="30"/>
          <w:szCs w:val="30"/>
        </w:rPr>
      </w:pPr>
      <w:r>
        <w:rPr>
          <w:rFonts w:hint="eastAsia" w:ascii="黑体" w:hAnsi="宋体" w:eastAsia="黑体" w:cs="宋体"/>
          <w:kern w:val="0"/>
          <w:sz w:val="32"/>
          <w:szCs w:val="30"/>
        </w:rPr>
        <w:t>四、服务业</w:t>
      </w:r>
    </w:p>
    <w:p w14:paraId="189E56C1">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全年规模以上服务业实现营业收入8.9亿元，同比下降16.9%。全县</w:t>
      </w:r>
      <w:r>
        <w:rPr>
          <w:rFonts w:ascii="仿宋_GB2312" w:hAnsi="宋体" w:eastAsia="仿宋_GB2312" w:cs="宋体"/>
          <w:kern w:val="0"/>
          <w:sz w:val="32"/>
          <w:szCs w:val="28"/>
        </w:rPr>
        <w:t>5</w:t>
      </w:r>
      <w:r>
        <w:rPr>
          <w:rFonts w:hint="eastAsia" w:ascii="仿宋_GB2312" w:hAnsi="宋体" w:eastAsia="仿宋_GB2312" w:cs="宋体"/>
          <w:kern w:val="0"/>
          <w:sz w:val="32"/>
          <w:szCs w:val="28"/>
        </w:rPr>
        <w:t>7家规模服务业中，29家企业营业收入实现正增长，增长面为50.9%。从门类看，增速靠前的行业分别是文化、体育和娱乐业增长43.1%，教育业增长21.6%，卫生和社会工作增长9.8%。</w:t>
      </w:r>
    </w:p>
    <w:p w14:paraId="2F393A6B">
      <w:pPr>
        <w:widowControl/>
        <w:spacing w:line="560" w:lineRule="exact"/>
        <w:ind w:firstLine="640" w:firstLineChars="200"/>
        <w:rPr>
          <w:rFonts w:ascii="仿宋_GB2312" w:hAnsi="宋体" w:eastAsia="仿宋_GB2312" w:cs="宋体"/>
          <w:kern w:val="0"/>
          <w:sz w:val="28"/>
          <w:szCs w:val="28"/>
        </w:rPr>
      </w:pPr>
      <w:r>
        <w:rPr>
          <w:rFonts w:hint="eastAsia" w:ascii="仿宋_GB2312" w:hAnsi="宋体" w:eastAsia="仿宋_GB2312" w:cs="宋体"/>
          <w:kern w:val="0"/>
          <w:sz w:val="32"/>
          <w:szCs w:val="28"/>
        </w:rPr>
        <w:t>全年交通运输、仓储和邮政业实现增加值10.0亿元，增长2.5%。全年公路客货运周转量40552万吨公里，增长3.5%。全县公路通车里程4055公里，铁路营业里程124公里。</w:t>
      </w:r>
    </w:p>
    <w:p w14:paraId="09303C71">
      <w:pPr>
        <w:widowControl/>
        <w:jc w:val="center"/>
      </w:pPr>
      <w:r>
        <w:drawing>
          <wp:inline distT="0" distB="0" distL="0" distR="0">
            <wp:extent cx="5615940" cy="3067050"/>
            <wp:effectExtent l="19050" t="0" r="3810" b="0"/>
            <wp:docPr id="20" name="图片 19" descr="图片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图片8.png"/>
                    <pic:cNvPicPr>
                      <a:picLocks noChangeAspect="1"/>
                    </pic:cNvPicPr>
                  </pic:nvPicPr>
                  <pic:blipFill>
                    <a:blip r:embed="rId14"/>
                    <a:stretch>
                      <a:fillRect/>
                    </a:stretch>
                  </pic:blipFill>
                  <pic:spPr>
                    <a:xfrm>
                      <a:off x="0" y="0"/>
                      <a:ext cx="5615940" cy="3067050"/>
                    </a:xfrm>
                    <a:prstGeom prst="rect">
                      <a:avLst/>
                    </a:prstGeom>
                  </pic:spPr>
                </pic:pic>
              </a:graphicData>
            </a:graphic>
          </wp:inline>
        </w:drawing>
      </w:r>
    </w:p>
    <w:p w14:paraId="64C4B0C4">
      <w:pPr>
        <w:widowControl/>
        <w:spacing w:line="560" w:lineRule="exact"/>
        <w:ind w:firstLine="640" w:firstLineChars="200"/>
        <w:rPr>
          <w:rFonts w:ascii="仿宋_GB2312" w:hAnsi="宋体" w:eastAsia="仿宋_GB2312" w:cs="宋体"/>
          <w:color w:val="FF0000"/>
          <w:kern w:val="0"/>
          <w:sz w:val="32"/>
          <w:szCs w:val="28"/>
        </w:rPr>
      </w:pPr>
      <w:r>
        <w:rPr>
          <w:rFonts w:hint="eastAsia" w:ascii="仿宋_GB2312" w:hAnsi="宋体" w:eastAsia="仿宋_GB2312" w:cs="宋体"/>
          <w:kern w:val="0"/>
          <w:sz w:val="32"/>
          <w:szCs w:val="28"/>
        </w:rPr>
        <w:t>年末全县机动车保有量170570辆（含三轮汽车和低速货车），其中私人汽车保有量61390辆，新能源汽车保有量4021辆。</w:t>
      </w:r>
    </w:p>
    <w:p w14:paraId="175359C8">
      <w:pPr>
        <w:widowControl/>
        <w:spacing w:line="560" w:lineRule="exact"/>
        <w:ind w:firstLine="640" w:firstLineChars="200"/>
        <w:rPr>
          <w:rFonts w:ascii="仿宋_GB2312" w:hAnsi="宋体" w:eastAsia="仿宋_GB2312" w:cs="宋体"/>
          <w:color w:val="FF0000"/>
          <w:kern w:val="0"/>
          <w:sz w:val="32"/>
          <w:szCs w:val="28"/>
        </w:rPr>
      </w:pPr>
      <w:r>
        <w:rPr>
          <w:rFonts w:hint="eastAsia" w:ascii="仿宋_GB2312" w:hAnsi="宋体" w:eastAsia="仿宋_GB2312" w:cs="宋体"/>
          <w:kern w:val="0"/>
          <w:sz w:val="32"/>
          <w:szCs w:val="28"/>
        </w:rPr>
        <w:t>全年完成邮政业务收入1.4亿元，增长20.4%。</w:t>
      </w:r>
    </w:p>
    <w:p w14:paraId="59B20179">
      <w:pPr>
        <w:widowControl/>
        <w:spacing w:beforeLines="100" w:afterLines="100"/>
        <w:jc w:val="center"/>
        <w:rPr>
          <w:rFonts w:ascii="黑体" w:hAnsi="宋体" w:eastAsia="黑体" w:cs="宋体"/>
          <w:kern w:val="0"/>
          <w:sz w:val="32"/>
          <w:szCs w:val="30"/>
        </w:rPr>
      </w:pPr>
      <w:r>
        <w:rPr>
          <w:rFonts w:hint="eastAsia" w:ascii="黑体" w:hAnsi="宋体" w:eastAsia="黑体" w:cs="宋体"/>
          <w:kern w:val="0"/>
          <w:sz w:val="32"/>
          <w:szCs w:val="30"/>
        </w:rPr>
        <w:t>五、国内贸易</w:t>
      </w:r>
    </w:p>
    <w:p w14:paraId="144AB5C3">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全年社会消费品零售总额172.4亿元，增长3.3%。全年批发业销售额182.3亿元，增长2.3%；零售业销售额151.5亿元，增长6.1%；住宿业营业额3.6亿元，增长9.8%；餐饮业营业额28.6亿元，增长9.5%。</w:t>
      </w:r>
    </w:p>
    <w:p w14:paraId="2DC38570">
      <w:pPr>
        <w:widowControl/>
        <w:spacing w:line="560" w:lineRule="exact"/>
        <w:ind w:firstLine="640" w:firstLineChars="200"/>
        <w:rPr>
          <w:rFonts w:ascii="仿宋_GB2312" w:hAnsi="宋体" w:eastAsia="仿宋_GB2312" w:cs="宋体"/>
          <w:kern w:val="0"/>
          <w:sz w:val="28"/>
          <w:szCs w:val="28"/>
        </w:rPr>
      </w:pPr>
      <w:r>
        <w:rPr>
          <w:rFonts w:hint="eastAsia" w:ascii="仿宋_GB2312" w:hAnsi="宋体" w:eastAsia="仿宋_GB2312" w:cs="宋体"/>
          <w:kern w:val="0"/>
          <w:sz w:val="32"/>
          <w:szCs w:val="28"/>
        </w:rPr>
        <w:t>全年限额以上商品网上零售额0.1亿元，下降8.4%。</w:t>
      </w:r>
    </w:p>
    <w:p w14:paraId="13C753C7">
      <w:pPr>
        <w:spacing w:before="100" w:beforeAutospacing="1" w:after="100" w:afterAutospacing="1"/>
      </w:pPr>
      <w:r>
        <w:drawing>
          <wp:inline distT="0" distB="0" distL="0" distR="0">
            <wp:extent cx="5615940" cy="3378200"/>
            <wp:effectExtent l="19050" t="0" r="3810" b="0"/>
            <wp:docPr id="9" name="图片 8"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图片3.png"/>
                    <pic:cNvPicPr>
                      <a:picLocks noChangeAspect="1"/>
                    </pic:cNvPicPr>
                  </pic:nvPicPr>
                  <pic:blipFill>
                    <a:blip r:embed="rId15"/>
                    <a:stretch>
                      <a:fillRect/>
                    </a:stretch>
                  </pic:blipFill>
                  <pic:spPr>
                    <a:xfrm>
                      <a:off x="0" y="0"/>
                      <a:ext cx="5615940" cy="3378200"/>
                    </a:xfrm>
                    <a:prstGeom prst="rect">
                      <a:avLst/>
                    </a:prstGeom>
                  </pic:spPr>
                </pic:pic>
              </a:graphicData>
            </a:graphic>
          </wp:inline>
        </w:drawing>
      </w:r>
    </w:p>
    <w:p w14:paraId="2769D5E6">
      <w:pPr>
        <w:widowControl/>
        <w:spacing w:line="560" w:lineRule="exact"/>
        <w:ind w:firstLine="640" w:firstLineChars="200"/>
      </w:pPr>
      <w:r>
        <w:rPr>
          <w:rFonts w:hint="eastAsia" w:ascii="仿宋_GB2312" w:hAnsi="宋体" w:eastAsia="仿宋_GB2312" w:cs="宋体"/>
          <w:kern w:val="0"/>
          <w:sz w:val="32"/>
          <w:szCs w:val="28"/>
        </w:rPr>
        <w:t>全年限额以上商贸业企业实现社会消费品零售总额19.6亿元，增长1.1%。按商品形态分，餐饮收入4.9亿元，增长11.0%；商品零售额11.8亿元，增长4.8%。按类别分，中西药品类增长33.9%，日用品类下降10.1%，家具类增长6.0%，烟酒类增长4.9%，化妆品类下降96.1%，饮料类增长22.0%，文化办公用品类增长19.1%，家用电器和音像器材类增长3.7%，服装、鞋帽、针纺织品类下降28.0%，石油及制品类下降9.4%，粮油、食品类下降1.1%，建筑及装潢材料类增长103.4%。</w:t>
      </w:r>
      <w:r>
        <w:rPr>
          <w:rFonts w:hint="eastAsia" w:ascii="仿宋_GB2312" w:hAnsi="宋体" w:eastAsia="仿宋_GB2312" w:cs="宋体"/>
          <w:kern w:val="0"/>
          <w:sz w:val="28"/>
          <w:szCs w:val="28"/>
        </w:rPr>
        <w:t> </w:t>
      </w:r>
      <w:r>
        <w:rPr>
          <w:rFonts w:hint="eastAsia" w:ascii="仿宋" w:eastAsia="仿宋"/>
          <w:color w:val="333333"/>
          <w:sz w:val="32"/>
          <w:szCs w:val="32"/>
        </w:rPr>
        <w:t> </w:t>
      </w:r>
    </w:p>
    <w:p w14:paraId="151F1BDE">
      <w:pPr>
        <w:widowControl/>
        <w:spacing w:beforeLines="100" w:afterLines="100"/>
        <w:jc w:val="center"/>
        <w:rPr>
          <w:rFonts w:ascii="宋体" w:hAnsi="宋体" w:cs="宋体"/>
          <w:b/>
          <w:kern w:val="0"/>
          <w:sz w:val="30"/>
          <w:szCs w:val="30"/>
        </w:rPr>
      </w:pPr>
      <w:r>
        <w:rPr>
          <w:rFonts w:hint="eastAsia" w:ascii="黑体" w:hAnsi="宋体" w:eastAsia="黑体" w:cs="宋体"/>
          <w:kern w:val="0"/>
          <w:sz w:val="32"/>
          <w:szCs w:val="30"/>
        </w:rPr>
        <w:t>六、固定资产投资</w:t>
      </w:r>
    </w:p>
    <w:p w14:paraId="31502381">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全年固定资产投资同比下降1.5%，其中工业投资增长15.7%。</w:t>
      </w:r>
    </w:p>
    <w:p w14:paraId="22761622">
      <w:pPr>
        <w:widowControl/>
        <w:spacing w:line="560" w:lineRule="exact"/>
        <w:ind w:firstLine="640" w:firstLineChars="200"/>
        <w:rPr>
          <w:rFonts w:ascii="仿宋_GB2312" w:hAnsi="宋体" w:eastAsia="仿宋_GB2312" w:cs="宋体"/>
          <w:kern w:val="0"/>
          <w:sz w:val="32"/>
          <w:szCs w:val="28"/>
          <w:u w:val="single"/>
        </w:rPr>
      </w:pPr>
      <w:r>
        <w:rPr>
          <w:rFonts w:hint="eastAsia" w:ascii="仿宋_GB2312" w:hAnsi="宋体" w:eastAsia="仿宋_GB2312" w:cs="宋体"/>
          <w:kern w:val="0"/>
          <w:sz w:val="32"/>
          <w:szCs w:val="28"/>
        </w:rPr>
        <w:t>固定资产投资中，基础设施投资下降14.1%，高技术产业投资下降1.6%，民间投资增长20.2%，交通运输投资增长25.1%，先进制造业投资增长15.4%。按三次产业分，第一产业投资增长197.6%，第二产业投资增长15.7%，第三产业投资下降24.6%。全年国有投资占固定资产投资的比重为33.0%，与上年比，国有投资下降25.4%。从到位资金情况看，全年到位资金 94.3亿元，下降11.2%。其中，国家预算资金下降38.2%，国内贷款下降49.1%，自筹资金增长8.1%，其他资金增长60.6%。</w:t>
      </w:r>
    </w:p>
    <w:p w14:paraId="0DE8F923">
      <w:pPr>
        <w:widowControl/>
        <w:jc w:val="center"/>
      </w:pPr>
      <w:r>
        <w:drawing>
          <wp:inline distT="0" distB="0" distL="0" distR="0">
            <wp:extent cx="5615940" cy="3347720"/>
            <wp:effectExtent l="19050" t="0" r="3810" b="0"/>
            <wp:docPr id="12" name="图片 11" descr="图片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图片5.png"/>
                    <pic:cNvPicPr>
                      <a:picLocks noChangeAspect="1"/>
                    </pic:cNvPicPr>
                  </pic:nvPicPr>
                  <pic:blipFill>
                    <a:blip r:embed="rId16"/>
                    <a:stretch>
                      <a:fillRect/>
                    </a:stretch>
                  </pic:blipFill>
                  <pic:spPr>
                    <a:xfrm>
                      <a:off x="0" y="0"/>
                      <a:ext cx="5615940" cy="3347720"/>
                    </a:xfrm>
                    <a:prstGeom prst="rect">
                      <a:avLst/>
                    </a:prstGeom>
                  </pic:spPr>
                </pic:pic>
              </a:graphicData>
            </a:graphic>
          </wp:inline>
        </w:drawing>
      </w:r>
    </w:p>
    <w:p w14:paraId="155E7FC2">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全年房地产投资同比</w:t>
      </w:r>
      <w:r>
        <w:rPr>
          <w:rFonts w:ascii="仿宋_GB2312" w:hAnsi="宋体" w:eastAsia="仿宋_GB2312" w:cs="宋体"/>
          <w:kern w:val="0"/>
          <w:sz w:val="32"/>
          <w:szCs w:val="28"/>
        </w:rPr>
        <w:t>下降</w:t>
      </w:r>
      <w:r>
        <w:rPr>
          <w:rFonts w:hint="eastAsia" w:ascii="仿宋_GB2312" w:hAnsi="宋体" w:eastAsia="仿宋_GB2312" w:cs="宋体"/>
          <w:kern w:val="0"/>
          <w:sz w:val="32"/>
          <w:szCs w:val="28"/>
        </w:rPr>
        <w:t>25.4</w:t>
      </w:r>
      <w:r>
        <w:rPr>
          <w:rFonts w:ascii="仿宋_GB2312" w:hAnsi="宋体" w:eastAsia="仿宋_GB2312" w:cs="宋体"/>
          <w:kern w:val="0"/>
          <w:sz w:val="32"/>
          <w:szCs w:val="28"/>
        </w:rPr>
        <w:t>%</w:t>
      </w:r>
      <w:r>
        <w:rPr>
          <w:rFonts w:hint="eastAsia" w:ascii="仿宋_GB2312" w:hAnsi="宋体" w:eastAsia="仿宋_GB2312" w:cs="宋体"/>
          <w:kern w:val="0"/>
          <w:sz w:val="32"/>
          <w:szCs w:val="28"/>
        </w:rPr>
        <w:t>；全年商品房销售面积13.3万平方米，下降8.4%；商品房销售额11.2亿元，增长15.6%。</w:t>
      </w:r>
    </w:p>
    <w:p w14:paraId="2886725C">
      <w:pPr>
        <w:widowControl/>
        <w:spacing w:beforeLines="100" w:afterLines="100"/>
        <w:jc w:val="center"/>
        <w:rPr>
          <w:rFonts w:ascii="黑体" w:hAnsi="宋体" w:eastAsia="黑体" w:cs="宋体"/>
          <w:kern w:val="0"/>
          <w:sz w:val="32"/>
          <w:szCs w:val="30"/>
        </w:rPr>
      </w:pPr>
      <w:r>
        <w:rPr>
          <w:rFonts w:hint="eastAsia" w:ascii="黑体" w:hAnsi="宋体" w:eastAsia="黑体" w:cs="宋体"/>
          <w:kern w:val="0"/>
          <w:sz w:val="32"/>
          <w:szCs w:val="30"/>
        </w:rPr>
        <w:t>七、对外经济</w:t>
      </w:r>
    </w:p>
    <w:p w14:paraId="0CE0C9DB">
      <w:pPr>
        <w:widowControl/>
        <w:spacing w:line="560" w:lineRule="exact"/>
        <w:ind w:firstLine="640" w:firstLineChars="200"/>
        <w:rPr>
          <w:rFonts w:ascii="仿宋_GB2312" w:hAnsi="宋体" w:eastAsia="仿宋_GB2312" w:cs="宋体"/>
          <w:color w:val="FF0000"/>
          <w:kern w:val="0"/>
          <w:sz w:val="32"/>
          <w:szCs w:val="28"/>
        </w:rPr>
      </w:pPr>
      <w:r>
        <w:rPr>
          <w:rFonts w:hint="eastAsia" w:ascii="仿宋_GB2312" w:hAnsi="宋体" w:eastAsia="仿宋_GB2312" w:cs="宋体"/>
          <w:kern w:val="0"/>
          <w:sz w:val="32"/>
          <w:szCs w:val="28"/>
        </w:rPr>
        <w:t>全年进出口总额20.4亿元，增长25.5%。其中，出口16.8亿元，增长19.7%；进口3.6亿元，增长62.4%。</w:t>
      </w:r>
    </w:p>
    <w:p w14:paraId="07C08036">
      <w:pPr>
        <w:widowControl/>
        <w:spacing w:line="560" w:lineRule="exact"/>
        <w:ind w:firstLine="640" w:firstLineChars="200"/>
        <w:rPr>
          <w:rFonts w:ascii="仿宋_GB2312" w:hAnsi="宋体" w:eastAsia="仿宋_GB2312" w:cs="宋体"/>
          <w:color w:val="FF0000"/>
          <w:kern w:val="0"/>
          <w:sz w:val="28"/>
          <w:szCs w:val="28"/>
        </w:rPr>
      </w:pPr>
      <w:r>
        <w:rPr>
          <w:rFonts w:hint="eastAsia" w:ascii="仿宋_GB2312" w:hAnsi="宋体" w:eastAsia="仿宋_GB2312" w:cs="宋体"/>
          <w:kern w:val="0"/>
          <w:sz w:val="32"/>
          <w:szCs w:val="28"/>
        </w:rPr>
        <w:t>全年新设外资企业5家，总投资170万美元，合同外资26万美元。</w:t>
      </w:r>
    </w:p>
    <w:p w14:paraId="7C69C564">
      <w:pPr>
        <w:widowControl/>
        <w:rPr>
          <w:rFonts w:ascii="仿宋_GB2312" w:hAnsi="宋体" w:eastAsia="仿宋_GB2312" w:cs="宋体"/>
          <w:kern w:val="0"/>
          <w:sz w:val="28"/>
          <w:szCs w:val="28"/>
        </w:rPr>
      </w:pPr>
      <w:r>
        <w:rPr>
          <w:rFonts w:ascii="仿宋_GB2312" w:hAnsi="宋体" w:eastAsia="仿宋_GB2312" w:cs="宋体"/>
          <w:kern w:val="0"/>
          <w:sz w:val="28"/>
          <w:szCs w:val="28"/>
        </w:rPr>
        <w:drawing>
          <wp:inline distT="0" distB="0" distL="0" distR="0">
            <wp:extent cx="5615940" cy="2835910"/>
            <wp:effectExtent l="19050" t="0" r="3810" b="0"/>
            <wp:docPr id="5" name="图片 4"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图片1.png"/>
                    <pic:cNvPicPr>
                      <a:picLocks noChangeAspect="1"/>
                    </pic:cNvPicPr>
                  </pic:nvPicPr>
                  <pic:blipFill>
                    <a:blip r:embed="rId17"/>
                    <a:stretch>
                      <a:fillRect/>
                    </a:stretch>
                  </pic:blipFill>
                  <pic:spPr>
                    <a:xfrm>
                      <a:off x="0" y="0"/>
                      <a:ext cx="5615940" cy="2835910"/>
                    </a:xfrm>
                    <a:prstGeom prst="rect">
                      <a:avLst/>
                    </a:prstGeom>
                  </pic:spPr>
                </pic:pic>
              </a:graphicData>
            </a:graphic>
          </wp:inline>
        </w:drawing>
      </w:r>
    </w:p>
    <w:p w14:paraId="5D02E175">
      <w:pPr>
        <w:widowControl/>
        <w:spacing w:beforeLines="100" w:afterLines="100"/>
        <w:jc w:val="center"/>
        <w:rPr>
          <w:rFonts w:ascii="黑体" w:hAnsi="宋体" w:eastAsia="黑体" w:cs="宋体"/>
          <w:kern w:val="0"/>
          <w:sz w:val="32"/>
          <w:szCs w:val="30"/>
        </w:rPr>
      </w:pPr>
      <w:r>
        <w:rPr>
          <w:rFonts w:hint="eastAsia" w:ascii="黑体" w:hAnsi="宋体" w:eastAsia="黑体" w:cs="宋体"/>
          <w:kern w:val="0"/>
          <w:sz w:val="32"/>
          <w:szCs w:val="30"/>
        </w:rPr>
        <w:t>八、财政金融保险</w:t>
      </w:r>
    </w:p>
    <w:p w14:paraId="5E9B0202">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一般公共预算总收入22.0亿元，增长12.3%，其中，地方一般公共预算收入15.1亿元，增长22.3%。一般公共预算支出45.9亿元，增长9.8%。其中，一般公共服务支出3.6亿元，下降8.9%；教育支出10.9亿元，增长1.1%；社会保障和就业支出7.1亿元，增长13.7%；节能环保支出2.0亿元，增长199.4</w:t>
      </w:r>
      <w:r>
        <w:rPr>
          <w:rFonts w:ascii="仿宋_GB2312" w:hAnsi="宋体" w:eastAsia="仿宋_GB2312" w:cs="宋体"/>
          <w:kern w:val="0"/>
          <w:sz w:val="32"/>
          <w:szCs w:val="28"/>
        </w:rPr>
        <w:t>%</w:t>
      </w:r>
      <w:r>
        <w:rPr>
          <w:rFonts w:hint="eastAsia" w:ascii="仿宋_GB2312" w:hAnsi="宋体" w:eastAsia="仿宋_GB2312" w:cs="宋体"/>
          <w:kern w:val="0"/>
          <w:sz w:val="32"/>
          <w:szCs w:val="28"/>
        </w:rPr>
        <w:t>。</w:t>
      </w:r>
    </w:p>
    <w:p w14:paraId="3F954DF6">
      <w:pPr>
        <w:widowControl/>
        <w:spacing w:before="100" w:beforeAutospacing="1" w:after="100" w:afterAutospacing="1"/>
        <w:jc w:val="center"/>
      </w:pPr>
      <w:r>
        <w:drawing>
          <wp:inline distT="0" distB="0" distL="0" distR="0">
            <wp:extent cx="5381625" cy="3051810"/>
            <wp:effectExtent l="19050" t="0" r="9525" b="0"/>
            <wp:docPr id="7" name="图片 6" descr="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图片2.png"/>
                    <pic:cNvPicPr>
                      <a:picLocks noChangeAspect="1"/>
                    </pic:cNvPicPr>
                  </pic:nvPicPr>
                  <pic:blipFill>
                    <a:blip r:embed="rId18"/>
                    <a:stretch>
                      <a:fillRect/>
                    </a:stretch>
                  </pic:blipFill>
                  <pic:spPr>
                    <a:xfrm>
                      <a:off x="0" y="0"/>
                      <a:ext cx="5388070" cy="3055920"/>
                    </a:xfrm>
                    <a:prstGeom prst="rect">
                      <a:avLst/>
                    </a:prstGeom>
                  </pic:spPr>
                </pic:pic>
              </a:graphicData>
            </a:graphic>
          </wp:inline>
        </w:drawing>
      </w:r>
    </w:p>
    <w:p w14:paraId="3092179B">
      <w:pPr>
        <w:widowControl/>
        <w:spacing w:line="560" w:lineRule="exact"/>
        <w:ind w:firstLine="640" w:firstLineChars="200"/>
        <w:rPr>
          <w:rFonts w:ascii="仿宋_GB2312" w:hAnsi="宋体" w:eastAsia="仿宋_GB2312" w:cs="宋体"/>
          <w:color w:val="FF0000"/>
          <w:kern w:val="0"/>
          <w:sz w:val="32"/>
          <w:szCs w:val="28"/>
        </w:rPr>
      </w:pPr>
      <w:r>
        <w:rPr>
          <w:rFonts w:hint="eastAsia" w:ascii="仿宋_GB2312" w:hAnsi="宋体" w:eastAsia="仿宋_GB2312" w:cs="宋体"/>
          <w:kern w:val="0"/>
          <w:sz w:val="32"/>
          <w:szCs w:val="28"/>
        </w:rPr>
        <w:t>年末全县金融机构本外币各项存款余额324.1亿元，比上年末增长6.7%，其中住户存款260.6</w:t>
      </w:r>
      <w:r>
        <w:rPr>
          <w:rFonts w:ascii="仿宋_GB2312" w:hAnsi="宋体" w:eastAsia="仿宋_GB2312" w:cs="宋体"/>
          <w:kern w:val="0"/>
          <w:sz w:val="32"/>
          <w:szCs w:val="28"/>
        </w:rPr>
        <w:t>亿元，比上年末增长</w:t>
      </w:r>
      <w:r>
        <w:rPr>
          <w:rFonts w:hint="eastAsia" w:ascii="仿宋_GB2312" w:hAnsi="宋体" w:eastAsia="仿宋_GB2312" w:cs="宋体"/>
          <w:kern w:val="0"/>
          <w:sz w:val="32"/>
          <w:szCs w:val="28"/>
        </w:rPr>
        <w:t>9.5</w:t>
      </w:r>
      <w:r>
        <w:rPr>
          <w:rFonts w:ascii="仿宋_GB2312" w:hAnsi="宋体" w:eastAsia="仿宋_GB2312" w:cs="宋体"/>
          <w:kern w:val="0"/>
          <w:sz w:val="32"/>
          <w:szCs w:val="28"/>
        </w:rPr>
        <w:t>%</w:t>
      </w:r>
      <w:r>
        <w:rPr>
          <w:rFonts w:hint="eastAsia" w:ascii="仿宋_GB2312" w:hAnsi="宋体" w:eastAsia="仿宋_GB2312" w:cs="宋体"/>
          <w:kern w:val="0"/>
          <w:sz w:val="32"/>
          <w:szCs w:val="28"/>
        </w:rPr>
        <w:t>；金融机构本外币各项贷款余额321.3亿元，比上年末增长4.6%。各项存款中，本外币储蓄存款余额260.6亿元，比上年末增长9.5%。各项贷款中，个人消费贷款余额7.1亿元，比上年末下降19.5%。</w:t>
      </w:r>
    </w:p>
    <w:p w14:paraId="0B1157CF">
      <w:pPr>
        <w:widowControl/>
        <w:jc w:val="center"/>
        <w:rPr>
          <w:rFonts w:ascii="仿宋_GB2312" w:eastAsia="仿宋_GB2312" w:cs="宋体"/>
          <w:kern w:val="0"/>
          <w:sz w:val="44"/>
        </w:rPr>
      </w:pPr>
      <w:bookmarkStart w:id="0" w:name="OLE_LINK1"/>
      <w:r>
        <w:rPr>
          <w:rFonts w:hint="eastAsia" w:ascii="仿宋_GB2312" w:hAnsi="宋体" w:eastAsia="仿宋_GB2312" w:cs="宋体"/>
          <w:b/>
          <w:bCs/>
          <w:kern w:val="0"/>
          <w:sz w:val="28"/>
          <w:szCs w:val="18"/>
        </w:rPr>
        <w:t>2025年金融机构本外币存贷款情况</w:t>
      </w:r>
    </w:p>
    <w:tbl>
      <w:tblPr>
        <w:tblStyle w:val="5"/>
        <w:tblW w:w="0" w:type="auto"/>
        <w:jc w:val="center"/>
        <w:tblLayout w:type="fixed"/>
        <w:tblCellMar>
          <w:top w:w="0" w:type="dxa"/>
          <w:left w:w="0" w:type="dxa"/>
          <w:bottom w:w="0" w:type="dxa"/>
          <w:right w:w="0" w:type="dxa"/>
        </w:tblCellMar>
      </w:tblPr>
      <w:tblGrid>
        <w:gridCol w:w="3979"/>
        <w:gridCol w:w="2327"/>
        <w:gridCol w:w="2754"/>
      </w:tblGrid>
      <w:tr w14:paraId="4916F4DD">
        <w:tblPrEx>
          <w:tblCellMar>
            <w:top w:w="0" w:type="dxa"/>
            <w:left w:w="0" w:type="dxa"/>
            <w:bottom w:w="0" w:type="dxa"/>
            <w:right w:w="0" w:type="dxa"/>
          </w:tblCellMar>
        </w:tblPrEx>
        <w:trPr>
          <w:tblHeader/>
          <w:jc w:val="center"/>
        </w:trPr>
        <w:tc>
          <w:tcPr>
            <w:tcW w:w="3979"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14:paraId="30478E96">
            <w:pPr>
              <w:widowControl/>
              <w:spacing w:before="100" w:beforeAutospacing="1" w:after="100" w:afterAutospacing="1" w:line="240" w:lineRule="atLeast"/>
              <w:ind w:left="-39" w:hanging="30"/>
              <w:jc w:val="center"/>
              <w:rPr>
                <w:rFonts w:ascii="仿宋_GB2312" w:eastAsia="仿宋_GB2312" w:cs="宋体"/>
                <w:kern w:val="0"/>
                <w:sz w:val="28"/>
              </w:rPr>
            </w:pPr>
            <w:r>
              <w:rPr>
                <w:rFonts w:hint="eastAsia" w:ascii="仿宋_GB2312" w:hAnsi="宋体" w:eastAsia="仿宋_GB2312" w:cs="宋体"/>
                <w:kern w:val="0"/>
                <w:sz w:val="28"/>
                <w:szCs w:val="18"/>
              </w:rPr>
              <w:t>指</w:t>
            </w:r>
            <w:r>
              <w:rPr>
                <w:rFonts w:hint="eastAsia" w:ascii="仿宋_GB2312" w:eastAsia="仿宋_GB2312" w:cs="宋体"/>
                <w:kern w:val="0"/>
                <w:sz w:val="28"/>
                <w:szCs w:val="18"/>
              </w:rPr>
              <w:t>       </w:t>
            </w:r>
            <w:r>
              <w:rPr>
                <w:rFonts w:hint="eastAsia" w:ascii="仿宋_GB2312" w:hAnsi="宋体" w:eastAsia="仿宋_GB2312" w:cs="宋体"/>
                <w:kern w:val="0"/>
                <w:sz w:val="28"/>
                <w:szCs w:val="18"/>
              </w:rPr>
              <w:t xml:space="preserve"> 标</w:t>
            </w:r>
          </w:p>
        </w:tc>
        <w:tc>
          <w:tcPr>
            <w:tcW w:w="2327"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14:paraId="56821333">
            <w:pPr>
              <w:widowControl/>
              <w:spacing w:before="100" w:beforeAutospacing="1" w:after="100" w:afterAutospacing="1" w:line="240" w:lineRule="atLeast"/>
              <w:ind w:right="57"/>
              <w:jc w:val="center"/>
              <w:rPr>
                <w:rFonts w:ascii="仿宋_GB2312" w:eastAsia="仿宋_GB2312" w:cs="宋体"/>
                <w:kern w:val="0"/>
                <w:sz w:val="28"/>
              </w:rPr>
            </w:pPr>
            <w:r>
              <w:rPr>
                <w:rFonts w:hint="eastAsia" w:ascii="仿宋_GB2312" w:hAnsi="宋体" w:eastAsia="仿宋_GB2312" w:cs="宋体"/>
                <w:kern w:val="0"/>
                <w:sz w:val="28"/>
                <w:szCs w:val="18"/>
              </w:rPr>
              <w:t>年末数(亿元)</w:t>
            </w:r>
          </w:p>
        </w:tc>
        <w:tc>
          <w:tcPr>
            <w:tcW w:w="2754" w:type="dxa"/>
            <w:tcBorders>
              <w:top w:val="single" w:color="auto" w:sz="12" w:space="0"/>
              <w:left w:val="nil"/>
              <w:bottom w:val="single" w:color="auto" w:sz="8" w:space="0"/>
              <w:right w:val="nil"/>
            </w:tcBorders>
            <w:tcMar>
              <w:top w:w="0" w:type="dxa"/>
              <w:left w:w="108" w:type="dxa"/>
              <w:bottom w:w="0" w:type="dxa"/>
              <w:right w:w="108" w:type="dxa"/>
            </w:tcMar>
            <w:vAlign w:val="center"/>
          </w:tcPr>
          <w:p w14:paraId="1277BA6B">
            <w:pPr>
              <w:widowControl/>
              <w:spacing w:before="100" w:beforeAutospacing="1" w:after="100" w:afterAutospacing="1" w:line="240" w:lineRule="atLeast"/>
              <w:ind w:right="57"/>
              <w:jc w:val="center"/>
              <w:rPr>
                <w:rFonts w:ascii="仿宋_GB2312" w:eastAsia="仿宋_GB2312" w:cs="宋体"/>
                <w:kern w:val="0"/>
                <w:sz w:val="28"/>
              </w:rPr>
            </w:pPr>
            <w:r>
              <w:rPr>
                <w:rFonts w:hint="eastAsia" w:ascii="仿宋_GB2312" w:hAnsi="宋体" w:eastAsia="仿宋_GB2312" w:cs="宋体"/>
                <w:kern w:val="0"/>
                <w:sz w:val="28"/>
                <w:szCs w:val="18"/>
              </w:rPr>
              <w:t>比上年末增长(%)</w:t>
            </w:r>
          </w:p>
        </w:tc>
      </w:tr>
      <w:tr w14:paraId="24667E6A">
        <w:tblPrEx>
          <w:tblCellMar>
            <w:top w:w="0" w:type="dxa"/>
            <w:left w:w="0" w:type="dxa"/>
            <w:bottom w:w="0" w:type="dxa"/>
            <w:right w:w="0" w:type="dxa"/>
          </w:tblCellMar>
        </w:tblPrEx>
        <w:trPr>
          <w:jc w:val="center"/>
        </w:trPr>
        <w:tc>
          <w:tcPr>
            <w:tcW w:w="3979" w:type="dxa"/>
            <w:tcBorders>
              <w:top w:val="nil"/>
              <w:left w:val="nil"/>
              <w:bottom w:val="nil"/>
              <w:right w:val="single" w:color="auto" w:sz="8" w:space="0"/>
            </w:tcBorders>
            <w:tcMar>
              <w:top w:w="0" w:type="dxa"/>
              <w:left w:w="108" w:type="dxa"/>
              <w:bottom w:w="0" w:type="dxa"/>
              <w:right w:w="108" w:type="dxa"/>
            </w:tcMar>
            <w:vAlign w:val="center"/>
          </w:tcPr>
          <w:p w14:paraId="7FF1A527">
            <w:pPr>
              <w:widowControl/>
              <w:spacing w:before="100" w:beforeAutospacing="1" w:after="100" w:afterAutospacing="1" w:line="240" w:lineRule="atLeast"/>
              <w:jc w:val="left"/>
              <w:rPr>
                <w:rFonts w:ascii="仿宋_GB2312" w:hAnsi="宋体" w:eastAsia="仿宋_GB2312" w:cs="宋体"/>
                <w:kern w:val="0"/>
                <w:sz w:val="28"/>
                <w:szCs w:val="18"/>
              </w:rPr>
            </w:pPr>
            <w:r>
              <w:rPr>
                <w:rFonts w:hint="eastAsia" w:ascii="仿宋_GB2312" w:hAnsi="宋体" w:eastAsia="仿宋_GB2312" w:cs="宋体"/>
                <w:kern w:val="0"/>
                <w:sz w:val="28"/>
                <w:szCs w:val="18"/>
              </w:rPr>
              <w:t>本外币各项存款余额</w:t>
            </w:r>
          </w:p>
        </w:tc>
        <w:tc>
          <w:tcPr>
            <w:tcW w:w="2327" w:type="dxa"/>
            <w:tcMar>
              <w:top w:w="0" w:type="dxa"/>
              <w:left w:w="108" w:type="dxa"/>
              <w:bottom w:w="0" w:type="dxa"/>
              <w:right w:w="108" w:type="dxa"/>
            </w:tcMar>
          </w:tcPr>
          <w:p w14:paraId="33F3DFB0">
            <w:pPr>
              <w:spacing w:line="240" w:lineRule="atLeast"/>
              <w:jc w:val="right"/>
              <w:rPr>
                <w:rFonts w:ascii="仿宋_GB2312" w:hAnsi="宋体" w:eastAsia="仿宋_GB2312" w:cs="宋体"/>
                <w:kern w:val="0"/>
                <w:sz w:val="28"/>
                <w:szCs w:val="18"/>
              </w:rPr>
            </w:pPr>
            <w:r>
              <w:rPr>
                <w:rFonts w:hint="eastAsia" w:ascii="仿宋_GB2312" w:hAnsi="宋体" w:eastAsia="仿宋_GB2312" w:cs="宋体"/>
                <w:kern w:val="0"/>
                <w:sz w:val="28"/>
                <w:szCs w:val="18"/>
              </w:rPr>
              <w:t>324.1</w:t>
            </w:r>
          </w:p>
        </w:tc>
        <w:tc>
          <w:tcPr>
            <w:tcW w:w="2754" w:type="dxa"/>
            <w:tcMar>
              <w:top w:w="0" w:type="dxa"/>
              <w:left w:w="108" w:type="dxa"/>
              <w:bottom w:w="0" w:type="dxa"/>
              <w:right w:w="108" w:type="dxa"/>
            </w:tcMar>
          </w:tcPr>
          <w:p w14:paraId="0C2D3A35">
            <w:pPr>
              <w:spacing w:line="240" w:lineRule="atLeast"/>
              <w:jc w:val="right"/>
              <w:rPr>
                <w:rFonts w:ascii="仿宋_GB2312" w:hAnsi="宋体" w:eastAsia="仿宋_GB2312" w:cs="宋体"/>
                <w:kern w:val="0"/>
                <w:sz w:val="28"/>
                <w:szCs w:val="18"/>
              </w:rPr>
            </w:pPr>
            <w:r>
              <w:rPr>
                <w:rFonts w:hint="eastAsia" w:ascii="仿宋_GB2312" w:hAnsi="宋体" w:eastAsia="仿宋_GB2312" w:cs="宋体"/>
                <w:kern w:val="0"/>
                <w:sz w:val="28"/>
                <w:szCs w:val="18"/>
              </w:rPr>
              <w:t>6.7</w:t>
            </w:r>
          </w:p>
        </w:tc>
      </w:tr>
      <w:tr w14:paraId="3CBA00B1">
        <w:tblPrEx>
          <w:tblCellMar>
            <w:top w:w="0" w:type="dxa"/>
            <w:left w:w="0" w:type="dxa"/>
            <w:bottom w:w="0" w:type="dxa"/>
            <w:right w:w="0" w:type="dxa"/>
          </w:tblCellMar>
        </w:tblPrEx>
        <w:trPr>
          <w:jc w:val="center"/>
        </w:trPr>
        <w:tc>
          <w:tcPr>
            <w:tcW w:w="3979" w:type="dxa"/>
            <w:tcBorders>
              <w:top w:val="nil"/>
              <w:left w:val="nil"/>
              <w:bottom w:val="nil"/>
              <w:right w:val="single" w:color="auto" w:sz="8" w:space="0"/>
            </w:tcBorders>
            <w:tcMar>
              <w:top w:w="0" w:type="dxa"/>
              <w:left w:w="108" w:type="dxa"/>
              <w:bottom w:w="0" w:type="dxa"/>
              <w:right w:w="108" w:type="dxa"/>
            </w:tcMar>
            <w:vAlign w:val="center"/>
          </w:tcPr>
          <w:p w14:paraId="05E9D017">
            <w:pPr>
              <w:widowControl/>
              <w:spacing w:before="100" w:beforeAutospacing="1" w:after="100" w:afterAutospacing="1" w:line="240" w:lineRule="atLeast"/>
              <w:ind w:firstLine="280" w:firstLineChars="100"/>
              <w:jc w:val="left"/>
              <w:rPr>
                <w:rFonts w:ascii="仿宋_GB2312" w:hAnsi="宋体" w:eastAsia="仿宋_GB2312" w:cs="宋体"/>
                <w:kern w:val="0"/>
                <w:sz w:val="28"/>
                <w:szCs w:val="18"/>
              </w:rPr>
            </w:pPr>
            <w:r>
              <w:rPr>
                <w:rFonts w:hint="eastAsia" w:ascii="仿宋_GB2312" w:hAnsi="宋体" w:eastAsia="仿宋_GB2312" w:cs="宋体"/>
                <w:kern w:val="0"/>
                <w:sz w:val="28"/>
                <w:szCs w:val="18"/>
              </w:rPr>
              <w:t>其中：住户存款</w:t>
            </w:r>
          </w:p>
        </w:tc>
        <w:tc>
          <w:tcPr>
            <w:tcW w:w="2327" w:type="dxa"/>
            <w:tcMar>
              <w:top w:w="0" w:type="dxa"/>
              <w:left w:w="108" w:type="dxa"/>
              <w:bottom w:w="0" w:type="dxa"/>
              <w:right w:w="108" w:type="dxa"/>
            </w:tcMar>
          </w:tcPr>
          <w:p w14:paraId="27606A9D">
            <w:pPr>
              <w:spacing w:line="240" w:lineRule="atLeast"/>
              <w:jc w:val="right"/>
              <w:rPr>
                <w:rFonts w:ascii="仿宋_GB2312" w:hAnsi="宋体" w:eastAsia="仿宋_GB2312" w:cs="宋体"/>
                <w:kern w:val="0"/>
                <w:sz w:val="28"/>
                <w:szCs w:val="18"/>
              </w:rPr>
            </w:pPr>
            <w:r>
              <w:rPr>
                <w:rFonts w:hint="eastAsia" w:ascii="仿宋_GB2312" w:hAnsi="宋体" w:eastAsia="仿宋_GB2312" w:cs="宋体"/>
                <w:kern w:val="0"/>
                <w:sz w:val="28"/>
                <w:szCs w:val="18"/>
              </w:rPr>
              <w:t>260.6</w:t>
            </w:r>
          </w:p>
        </w:tc>
        <w:tc>
          <w:tcPr>
            <w:tcW w:w="2754" w:type="dxa"/>
            <w:tcMar>
              <w:top w:w="0" w:type="dxa"/>
              <w:left w:w="108" w:type="dxa"/>
              <w:bottom w:w="0" w:type="dxa"/>
              <w:right w:w="108" w:type="dxa"/>
            </w:tcMar>
          </w:tcPr>
          <w:p w14:paraId="2690C8F6">
            <w:pPr>
              <w:spacing w:line="240" w:lineRule="atLeast"/>
              <w:jc w:val="right"/>
              <w:rPr>
                <w:rFonts w:ascii="仿宋_GB2312" w:hAnsi="宋体" w:eastAsia="仿宋_GB2312" w:cs="宋体"/>
                <w:kern w:val="0"/>
                <w:sz w:val="28"/>
                <w:szCs w:val="18"/>
              </w:rPr>
            </w:pPr>
            <w:r>
              <w:rPr>
                <w:rFonts w:hint="eastAsia" w:ascii="仿宋_GB2312" w:hAnsi="宋体" w:eastAsia="仿宋_GB2312" w:cs="宋体"/>
                <w:kern w:val="0"/>
                <w:sz w:val="28"/>
                <w:szCs w:val="18"/>
              </w:rPr>
              <w:t>9.5</w:t>
            </w:r>
          </w:p>
        </w:tc>
      </w:tr>
      <w:tr w14:paraId="67EA7D23">
        <w:tblPrEx>
          <w:tblCellMar>
            <w:top w:w="0" w:type="dxa"/>
            <w:left w:w="0" w:type="dxa"/>
            <w:bottom w:w="0" w:type="dxa"/>
            <w:right w:w="0" w:type="dxa"/>
          </w:tblCellMar>
        </w:tblPrEx>
        <w:trPr>
          <w:jc w:val="center"/>
        </w:trPr>
        <w:tc>
          <w:tcPr>
            <w:tcW w:w="3979" w:type="dxa"/>
            <w:tcBorders>
              <w:top w:val="nil"/>
              <w:left w:val="nil"/>
              <w:bottom w:val="nil"/>
              <w:right w:val="single" w:color="auto" w:sz="8" w:space="0"/>
            </w:tcBorders>
            <w:tcMar>
              <w:top w:w="0" w:type="dxa"/>
              <w:left w:w="108" w:type="dxa"/>
              <w:bottom w:w="0" w:type="dxa"/>
              <w:right w:w="108" w:type="dxa"/>
            </w:tcMar>
            <w:vAlign w:val="center"/>
          </w:tcPr>
          <w:p w14:paraId="0D6AA2CA">
            <w:pPr>
              <w:widowControl/>
              <w:spacing w:before="100" w:beforeAutospacing="1" w:after="100" w:afterAutospacing="1" w:line="240" w:lineRule="atLeast"/>
              <w:ind w:right="57"/>
              <w:jc w:val="left"/>
              <w:rPr>
                <w:rFonts w:ascii="仿宋_GB2312" w:hAnsi="宋体" w:eastAsia="仿宋_GB2312" w:cs="宋体"/>
                <w:kern w:val="0"/>
                <w:sz w:val="28"/>
                <w:szCs w:val="18"/>
              </w:rPr>
            </w:pPr>
            <w:r>
              <w:rPr>
                <w:rFonts w:hint="eastAsia" w:ascii="仿宋_GB2312" w:hAnsi="宋体" w:eastAsia="仿宋_GB2312" w:cs="宋体"/>
                <w:kern w:val="0"/>
                <w:sz w:val="28"/>
                <w:szCs w:val="18"/>
              </w:rPr>
              <w:t>本外币各项贷款余额</w:t>
            </w:r>
          </w:p>
        </w:tc>
        <w:tc>
          <w:tcPr>
            <w:tcW w:w="2327" w:type="dxa"/>
            <w:tcMar>
              <w:top w:w="0" w:type="dxa"/>
              <w:left w:w="108" w:type="dxa"/>
              <w:bottom w:w="0" w:type="dxa"/>
              <w:right w:w="108" w:type="dxa"/>
            </w:tcMar>
          </w:tcPr>
          <w:p w14:paraId="2CDF8A86">
            <w:pPr>
              <w:spacing w:line="240" w:lineRule="atLeast"/>
              <w:jc w:val="right"/>
              <w:rPr>
                <w:rFonts w:ascii="仿宋_GB2312" w:hAnsi="宋体" w:eastAsia="仿宋_GB2312" w:cs="宋体"/>
                <w:kern w:val="0"/>
                <w:sz w:val="28"/>
                <w:szCs w:val="18"/>
              </w:rPr>
            </w:pPr>
            <w:r>
              <w:rPr>
                <w:rFonts w:hint="eastAsia" w:ascii="仿宋_GB2312" w:hAnsi="宋体" w:eastAsia="仿宋_GB2312" w:cs="宋体"/>
                <w:kern w:val="0"/>
                <w:sz w:val="28"/>
                <w:szCs w:val="18"/>
              </w:rPr>
              <w:t>321.3</w:t>
            </w:r>
          </w:p>
        </w:tc>
        <w:tc>
          <w:tcPr>
            <w:tcW w:w="2754" w:type="dxa"/>
            <w:tcMar>
              <w:top w:w="0" w:type="dxa"/>
              <w:left w:w="108" w:type="dxa"/>
              <w:bottom w:w="0" w:type="dxa"/>
              <w:right w:w="108" w:type="dxa"/>
            </w:tcMar>
          </w:tcPr>
          <w:p w14:paraId="156446DD">
            <w:pPr>
              <w:spacing w:line="240" w:lineRule="atLeast"/>
              <w:jc w:val="right"/>
              <w:rPr>
                <w:rFonts w:ascii="仿宋_GB2312" w:hAnsi="宋体" w:eastAsia="仿宋_GB2312" w:cs="宋体"/>
                <w:kern w:val="0"/>
                <w:sz w:val="28"/>
                <w:szCs w:val="18"/>
              </w:rPr>
            </w:pPr>
            <w:r>
              <w:rPr>
                <w:rFonts w:hint="eastAsia" w:ascii="仿宋_GB2312" w:hAnsi="宋体" w:eastAsia="仿宋_GB2312" w:cs="宋体"/>
                <w:kern w:val="0"/>
                <w:sz w:val="28"/>
                <w:szCs w:val="18"/>
              </w:rPr>
              <w:t>4.6</w:t>
            </w:r>
          </w:p>
        </w:tc>
      </w:tr>
      <w:tr w14:paraId="0060F6EB">
        <w:tblPrEx>
          <w:tblCellMar>
            <w:top w:w="0" w:type="dxa"/>
            <w:left w:w="0" w:type="dxa"/>
            <w:bottom w:w="0" w:type="dxa"/>
            <w:right w:w="0" w:type="dxa"/>
          </w:tblCellMar>
        </w:tblPrEx>
        <w:trPr>
          <w:jc w:val="center"/>
        </w:trPr>
        <w:tc>
          <w:tcPr>
            <w:tcW w:w="3979" w:type="dxa"/>
            <w:tcBorders>
              <w:top w:val="nil"/>
              <w:left w:val="nil"/>
              <w:bottom w:val="nil"/>
              <w:right w:val="single" w:color="auto" w:sz="8" w:space="0"/>
            </w:tcBorders>
            <w:tcMar>
              <w:top w:w="0" w:type="dxa"/>
              <w:left w:w="108" w:type="dxa"/>
              <w:bottom w:w="0" w:type="dxa"/>
              <w:right w:w="108" w:type="dxa"/>
            </w:tcMar>
            <w:vAlign w:val="center"/>
          </w:tcPr>
          <w:p w14:paraId="2905C866">
            <w:pPr>
              <w:widowControl/>
              <w:spacing w:before="100" w:beforeAutospacing="1" w:after="100" w:afterAutospacing="1" w:line="240" w:lineRule="atLeast"/>
              <w:ind w:right="57" w:firstLine="280" w:firstLineChars="100"/>
              <w:jc w:val="left"/>
              <w:rPr>
                <w:rFonts w:ascii="仿宋_GB2312" w:hAnsi="宋体" w:eastAsia="仿宋_GB2312" w:cs="宋体"/>
                <w:kern w:val="0"/>
                <w:sz w:val="28"/>
                <w:szCs w:val="18"/>
              </w:rPr>
            </w:pPr>
            <w:r>
              <w:rPr>
                <w:rFonts w:hint="eastAsia" w:ascii="仿宋_GB2312" w:hAnsi="宋体" w:eastAsia="仿宋_GB2312" w:cs="宋体"/>
                <w:kern w:val="0"/>
                <w:sz w:val="28"/>
                <w:szCs w:val="18"/>
              </w:rPr>
              <w:t>其中：短期贷款</w:t>
            </w:r>
          </w:p>
        </w:tc>
        <w:tc>
          <w:tcPr>
            <w:tcW w:w="2327" w:type="dxa"/>
            <w:tcMar>
              <w:top w:w="0" w:type="dxa"/>
              <w:left w:w="108" w:type="dxa"/>
              <w:bottom w:w="0" w:type="dxa"/>
              <w:right w:w="108" w:type="dxa"/>
            </w:tcMar>
          </w:tcPr>
          <w:p w14:paraId="6587BAB9">
            <w:pPr>
              <w:spacing w:line="240" w:lineRule="atLeast"/>
              <w:jc w:val="right"/>
              <w:rPr>
                <w:rFonts w:ascii="仿宋_GB2312" w:hAnsi="宋体" w:eastAsia="仿宋_GB2312" w:cs="宋体"/>
                <w:kern w:val="0"/>
                <w:sz w:val="28"/>
                <w:szCs w:val="18"/>
              </w:rPr>
            </w:pPr>
            <w:r>
              <w:rPr>
                <w:rFonts w:hint="eastAsia" w:ascii="仿宋_GB2312" w:hAnsi="宋体" w:eastAsia="仿宋_GB2312" w:cs="宋体"/>
                <w:kern w:val="0"/>
                <w:sz w:val="28"/>
                <w:szCs w:val="18"/>
              </w:rPr>
              <w:t>53.0</w:t>
            </w:r>
          </w:p>
        </w:tc>
        <w:tc>
          <w:tcPr>
            <w:tcW w:w="2754" w:type="dxa"/>
            <w:tcMar>
              <w:top w:w="0" w:type="dxa"/>
              <w:left w:w="108" w:type="dxa"/>
              <w:bottom w:w="0" w:type="dxa"/>
              <w:right w:w="108" w:type="dxa"/>
            </w:tcMar>
          </w:tcPr>
          <w:p w14:paraId="770A3E1E">
            <w:pPr>
              <w:spacing w:line="240" w:lineRule="atLeast"/>
              <w:jc w:val="right"/>
              <w:rPr>
                <w:rFonts w:ascii="仿宋_GB2312" w:hAnsi="宋体" w:eastAsia="仿宋_GB2312" w:cs="宋体"/>
                <w:kern w:val="0"/>
                <w:sz w:val="28"/>
                <w:szCs w:val="18"/>
              </w:rPr>
            </w:pPr>
            <w:r>
              <w:rPr>
                <w:rFonts w:hint="eastAsia" w:ascii="仿宋_GB2312" w:hAnsi="宋体" w:eastAsia="仿宋_GB2312" w:cs="宋体"/>
                <w:kern w:val="0"/>
                <w:sz w:val="28"/>
                <w:szCs w:val="18"/>
              </w:rPr>
              <w:t>-8.5</w:t>
            </w:r>
          </w:p>
        </w:tc>
      </w:tr>
      <w:tr w14:paraId="6CD0D7DE">
        <w:tblPrEx>
          <w:tblCellMar>
            <w:top w:w="0" w:type="dxa"/>
            <w:left w:w="0" w:type="dxa"/>
            <w:bottom w:w="0" w:type="dxa"/>
            <w:right w:w="0" w:type="dxa"/>
          </w:tblCellMar>
        </w:tblPrEx>
        <w:trPr>
          <w:jc w:val="center"/>
        </w:trPr>
        <w:tc>
          <w:tcPr>
            <w:tcW w:w="3979" w:type="dxa"/>
            <w:tcBorders>
              <w:top w:val="nil"/>
              <w:left w:val="nil"/>
              <w:bottom w:val="single" w:color="auto" w:sz="12" w:space="0"/>
              <w:right w:val="single" w:color="auto" w:sz="8" w:space="0"/>
            </w:tcBorders>
            <w:tcMar>
              <w:top w:w="0" w:type="dxa"/>
              <w:left w:w="108" w:type="dxa"/>
              <w:bottom w:w="0" w:type="dxa"/>
              <w:right w:w="108" w:type="dxa"/>
            </w:tcMar>
            <w:vAlign w:val="center"/>
          </w:tcPr>
          <w:p w14:paraId="2FA1CF14">
            <w:pPr>
              <w:widowControl/>
              <w:spacing w:before="100" w:beforeAutospacing="1" w:after="100" w:afterAutospacing="1" w:line="240" w:lineRule="atLeast"/>
              <w:ind w:right="57" w:firstLine="1097" w:firstLineChars="392"/>
              <w:jc w:val="left"/>
              <w:rPr>
                <w:rFonts w:ascii="仿宋_GB2312" w:hAnsi="宋体" w:eastAsia="仿宋_GB2312" w:cs="宋体"/>
                <w:kern w:val="0"/>
                <w:sz w:val="28"/>
                <w:szCs w:val="18"/>
              </w:rPr>
            </w:pPr>
            <w:r>
              <w:rPr>
                <w:rFonts w:hint="eastAsia" w:ascii="仿宋_GB2312" w:hAnsi="宋体" w:eastAsia="仿宋_GB2312" w:cs="宋体"/>
                <w:kern w:val="0"/>
                <w:sz w:val="28"/>
                <w:szCs w:val="18"/>
              </w:rPr>
              <w:t>中长期贷款</w:t>
            </w:r>
          </w:p>
        </w:tc>
        <w:tc>
          <w:tcPr>
            <w:tcW w:w="2327" w:type="dxa"/>
            <w:tcBorders>
              <w:top w:val="nil"/>
              <w:left w:val="nil"/>
              <w:bottom w:val="single" w:color="auto" w:sz="12" w:space="0"/>
              <w:right w:val="nil"/>
            </w:tcBorders>
            <w:tcMar>
              <w:top w:w="0" w:type="dxa"/>
              <w:left w:w="108" w:type="dxa"/>
              <w:bottom w:w="0" w:type="dxa"/>
              <w:right w:w="108" w:type="dxa"/>
            </w:tcMar>
          </w:tcPr>
          <w:p w14:paraId="177691A0">
            <w:pPr>
              <w:spacing w:line="240" w:lineRule="atLeast"/>
              <w:jc w:val="right"/>
              <w:rPr>
                <w:rFonts w:ascii="仿宋_GB2312" w:hAnsi="宋体" w:eastAsia="仿宋_GB2312" w:cs="宋体"/>
                <w:kern w:val="0"/>
                <w:sz w:val="28"/>
                <w:szCs w:val="18"/>
              </w:rPr>
            </w:pPr>
            <w:r>
              <w:rPr>
                <w:rFonts w:hint="eastAsia" w:ascii="仿宋_GB2312" w:hAnsi="宋体" w:eastAsia="仿宋_GB2312" w:cs="宋体"/>
                <w:kern w:val="0"/>
                <w:sz w:val="28"/>
                <w:szCs w:val="18"/>
              </w:rPr>
              <w:t>132.1</w:t>
            </w:r>
          </w:p>
        </w:tc>
        <w:tc>
          <w:tcPr>
            <w:tcW w:w="2754" w:type="dxa"/>
            <w:tcBorders>
              <w:top w:val="nil"/>
              <w:left w:val="nil"/>
              <w:bottom w:val="single" w:color="auto" w:sz="12" w:space="0"/>
              <w:right w:val="nil"/>
            </w:tcBorders>
            <w:tcMar>
              <w:top w:w="0" w:type="dxa"/>
              <w:left w:w="108" w:type="dxa"/>
              <w:bottom w:w="0" w:type="dxa"/>
              <w:right w:w="108" w:type="dxa"/>
            </w:tcMar>
          </w:tcPr>
          <w:p w14:paraId="40D2EB5A">
            <w:pPr>
              <w:spacing w:line="240" w:lineRule="atLeast"/>
              <w:jc w:val="right"/>
              <w:rPr>
                <w:rFonts w:ascii="仿宋_GB2312" w:hAnsi="宋体" w:eastAsia="仿宋_GB2312" w:cs="宋体"/>
                <w:kern w:val="0"/>
                <w:sz w:val="28"/>
                <w:szCs w:val="18"/>
              </w:rPr>
            </w:pPr>
            <w:r>
              <w:rPr>
                <w:rFonts w:hint="eastAsia" w:ascii="仿宋_GB2312" w:hAnsi="宋体" w:eastAsia="仿宋_GB2312" w:cs="宋体"/>
                <w:kern w:val="0"/>
                <w:sz w:val="28"/>
                <w:szCs w:val="18"/>
              </w:rPr>
              <w:t>7.8</w:t>
            </w:r>
          </w:p>
        </w:tc>
      </w:tr>
      <w:bookmarkEnd w:id="0"/>
    </w:tbl>
    <w:p w14:paraId="1B6DCC4C">
      <w:pPr>
        <w:widowControl/>
        <w:spacing w:line="560" w:lineRule="exact"/>
        <w:ind w:firstLine="640" w:firstLineChars="200"/>
        <w:jc w:val="left"/>
        <w:rPr>
          <w:rFonts w:ascii="仿宋_GB2312" w:hAnsi="宋体" w:eastAsia="仿宋_GB2312" w:cs="宋体"/>
          <w:kern w:val="0"/>
          <w:sz w:val="28"/>
          <w:szCs w:val="28"/>
        </w:rPr>
      </w:pPr>
      <w:r>
        <w:rPr>
          <w:rFonts w:hint="eastAsia" w:ascii="仿宋_GB2312" w:hAnsi="宋体" w:eastAsia="仿宋_GB2312" w:cs="宋体"/>
          <w:kern w:val="0"/>
          <w:sz w:val="32"/>
          <w:szCs w:val="28"/>
        </w:rPr>
        <w:t>全年保险公司保费收入49275万元，增长1.8%。其中，财产险16251</w:t>
      </w:r>
      <w:r>
        <w:rPr>
          <w:rFonts w:ascii="仿宋_GB2312" w:hAnsi="宋体" w:eastAsia="仿宋_GB2312" w:cs="宋体"/>
          <w:kern w:val="0"/>
          <w:sz w:val="32"/>
          <w:szCs w:val="28"/>
        </w:rPr>
        <w:t>万</w:t>
      </w:r>
      <w:r>
        <w:rPr>
          <w:rFonts w:hint="eastAsia" w:ascii="仿宋_GB2312" w:hAnsi="宋体" w:eastAsia="仿宋_GB2312" w:cs="宋体"/>
          <w:kern w:val="0"/>
          <w:sz w:val="32"/>
          <w:szCs w:val="28"/>
        </w:rPr>
        <w:t>元，人身险33024万元。支付各类赔款及给付18057</w:t>
      </w:r>
      <w:r>
        <w:rPr>
          <w:rFonts w:ascii="仿宋_GB2312" w:hAnsi="宋体" w:eastAsia="仿宋_GB2312" w:cs="宋体"/>
          <w:kern w:val="0"/>
          <w:sz w:val="32"/>
          <w:szCs w:val="28"/>
        </w:rPr>
        <w:t>万</w:t>
      </w:r>
      <w:r>
        <w:rPr>
          <w:rFonts w:hint="eastAsia" w:ascii="仿宋_GB2312" w:hAnsi="宋体" w:eastAsia="仿宋_GB2312" w:cs="宋体"/>
          <w:kern w:val="0"/>
          <w:sz w:val="32"/>
          <w:szCs w:val="28"/>
        </w:rPr>
        <w:t>元，增长7.1%。其中，财产险10510万元，人身险7547</w:t>
      </w:r>
      <w:r>
        <w:rPr>
          <w:rFonts w:ascii="仿宋_GB2312" w:hAnsi="宋体" w:eastAsia="仿宋_GB2312" w:cs="宋体"/>
          <w:kern w:val="0"/>
          <w:sz w:val="32"/>
          <w:szCs w:val="28"/>
        </w:rPr>
        <w:t>万</w:t>
      </w:r>
      <w:r>
        <w:rPr>
          <w:rFonts w:hint="eastAsia" w:ascii="仿宋_GB2312" w:hAnsi="宋体" w:eastAsia="仿宋_GB2312" w:cs="宋体"/>
          <w:kern w:val="0"/>
          <w:sz w:val="32"/>
          <w:szCs w:val="28"/>
        </w:rPr>
        <w:t>元。</w:t>
      </w:r>
    </w:p>
    <w:p w14:paraId="109EA812">
      <w:pPr>
        <w:widowControl/>
        <w:spacing w:beforeLines="100" w:afterLines="100"/>
        <w:jc w:val="center"/>
        <w:rPr>
          <w:rFonts w:ascii="黑体" w:hAnsi="宋体" w:eastAsia="黑体" w:cs="宋体"/>
          <w:kern w:val="0"/>
          <w:sz w:val="32"/>
          <w:szCs w:val="30"/>
        </w:rPr>
      </w:pPr>
      <w:r>
        <w:rPr>
          <w:rFonts w:hint="eastAsia" w:ascii="黑体" w:hAnsi="宋体" w:eastAsia="黑体" w:cs="宋体"/>
          <w:kern w:val="0"/>
          <w:sz w:val="32"/>
          <w:szCs w:val="30"/>
        </w:rPr>
        <w:t>九、居民收入消费和社会保障</w:t>
      </w:r>
    </w:p>
    <w:p w14:paraId="7E07632E">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全年居民人均可支配收入32702元，增长5.7%。按常住地分，农村居民人均可支配收入27165元，增长6.2%；城镇居民人均可支配收入38695元，增长4.9%。</w:t>
      </w:r>
    </w:p>
    <w:p w14:paraId="790B3921">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全年居民人均生活消费支出24309元，增长6.1%。按常住地分，农村居民人均生活消费支出20251元，增长</w:t>
      </w:r>
      <w:r>
        <w:rPr>
          <w:rFonts w:ascii="仿宋_GB2312" w:hAnsi="宋体" w:eastAsia="仿宋_GB2312" w:cs="宋体"/>
          <w:kern w:val="0"/>
          <w:sz w:val="32"/>
          <w:szCs w:val="28"/>
        </w:rPr>
        <w:t>6.</w:t>
      </w:r>
      <w:r>
        <w:rPr>
          <w:rFonts w:hint="eastAsia" w:ascii="仿宋_GB2312" w:hAnsi="宋体" w:eastAsia="仿宋_GB2312" w:cs="宋体"/>
          <w:kern w:val="0"/>
          <w:sz w:val="32"/>
          <w:szCs w:val="28"/>
        </w:rPr>
        <w:t>8%；城镇居民人均生活消费支出28700元，增长5.1%。</w:t>
      </w:r>
    </w:p>
    <w:tbl>
      <w:tblPr>
        <w:tblStyle w:val="5"/>
        <w:tblW w:w="8239" w:type="dxa"/>
        <w:jc w:val="center"/>
        <w:tblLayout w:type="autofit"/>
        <w:tblCellMar>
          <w:top w:w="0" w:type="dxa"/>
          <w:left w:w="108" w:type="dxa"/>
          <w:bottom w:w="0" w:type="dxa"/>
          <w:right w:w="108" w:type="dxa"/>
        </w:tblCellMar>
      </w:tblPr>
      <w:tblGrid>
        <w:gridCol w:w="1435"/>
        <w:gridCol w:w="4229"/>
        <w:gridCol w:w="2575"/>
      </w:tblGrid>
      <w:tr w14:paraId="652F4786">
        <w:tblPrEx>
          <w:tblCellMar>
            <w:top w:w="0" w:type="dxa"/>
            <w:left w:w="108" w:type="dxa"/>
            <w:bottom w:w="0" w:type="dxa"/>
            <w:right w:w="108" w:type="dxa"/>
          </w:tblCellMar>
        </w:tblPrEx>
        <w:trPr>
          <w:trHeight w:val="227" w:hRule="atLeast"/>
          <w:jc w:val="center"/>
        </w:trPr>
        <w:tc>
          <w:tcPr>
            <w:tcW w:w="8239" w:type="dxa"/>
            <w:gridSpan w:val="3"/>
            <w:tcBorders>
              <w:bottom w:val="single" w:color="auto" w:sz="4" w:space="0"/>
            </w:tcBorders>
            <w:shd w:val="clear" w:color="auto" w:fill="auto"/>
            <w:noWrap/>
            <w:vAlign w:val="center"/>
          </w:tcPr>
          <w:p w14:paraId="2B3B0108">
            <w:pPr>
              <w:widowControl/>
              <w:jc w:val="center"/>
              <w:rPr>
                <w:rFonts w:ascii="仿宋_GB2312" w:hAnsi="宋体" w:eastAsia="仿宋_GB2312" w:cs="宋体"/>
                <w:b/>
                <w:bCs/>
                <w:color w:val="000000"/>
                <w:kern w:val="0"/>
                <w:sz w:val="28"/>
              </w:rPr>
            </w:pPr>
            <w:r>
              <w:rPr>
                <w:rFonts w:hint="eastAsia" w:ascii="仿宋_GB2312" w:hAnsi="宋体" w:eastAsia="仿宋_GB2312" w:cs="宋体"/>
                <w:b/>
                <w:bCs/>
                <w:color w:val="000000"/>
                <w:kern w:val="0"/>
                <w:sz w:val="28"/>
              </w:rPr>
              <w:t>2020-2025年全体居民人均可支配收入及增长情况</w:t>
            </w:r>
          </w:p>
        </w:tc>
      </w:tr>
      <w:tr w14:paraId="6F9F7DE5">
        <w:tblPrEx>
          <w:tblCellMar>
            <w:top w:w="0" w:type="dxa"/>
            <w:left w:w="108" w:type="dxa"/>
            <w:bottom w:w="0" w:type="dxa"/>
            <w:right w:w="108" w:type="dxa"/>
          </w:tblCellMar>
        </w:tblPrEx>
        <w:trPr>
          <w:trHeight w:val="227" w:hRule="atLeast"/>
          <w:jc w:val="center"/>
        </w:trPr>
        <w:tc>
          <w:tcPr>
            <w:tcW w:w="14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222EBB">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年份</w:t>
            </w:r>
          </w:p>
        </w:tc>
        <w:tc>
          <w:tcPr>
            <w:tcW w:w="4229" w:type="dxa"/>
            <w:tcBorders>
              <w:top w:val="single" w:color="auto" w:sz="4" w:space="0"/>
              <w:left w:val="nil"/>
              <w:bottom w:val="single" w:color="auto" w:sz="4" w:space="0"/>
              <w:right w:val="single" w:color="auto" w:sz="4" w:space="0"/>
            </w:tcBorders>
            <w:shd w:val="clear" w:color="auto" w:fill="auto"/>
            <w:noWrap/>
            <w:vAlign w:val="center"/>
          </w:tcPr>
          <w:p w14:paraId="59EF090E">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全体居民人均可支配收入（元）</w:t>
            </w:r>
          </w:p>
        </w:tc>
        <w:tc>
          <w:tcPr>
            <w:tcW w:w="2575" w:type="dxa"/>
            <w:tcBorders>
              <w:top w:val="single" w:color="auto" w:sz="4" w:space="0"/>
              <w:left w:val="nil"/>
              <w:bottom w:val="single" w:color="auto" w:sz="4" w:space="0"/>
              <w:right w:val="single" w:color="auto" w:sz="4" w:space="0"/>
            </w:tcBorders>
            <w:shd w:val="clear" w:color="auto" w:fill="auto"/>
            <w:noWrap/>
            <w:vAlign w:val="center"/>
          </w:tcPr>
          <w:p w14:paraId="594F2655">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比上年末增长（%）</w:t>
            </w:r>
          </w:p>
        </w:tc>
      </w:tr>
      <w:tr w14:paraId="740DFA07">
        <w:tblPrEx>
          <w:tblCellMar>
            <w:top w:w="0" w:type="dxa"/>
            <w:left w:w="108" w:type="dxa"/>
            <w:bottom w:w="0" w:type="dxa"/>
            <w:right w:w="108" w:type="dxa"/>
          </w:tblCellMar>
        </w:tblPrEx>
        <w:trPr>
          <w:trHeight w:val="227" w:hRule="atLeast"/>
          <w:jc w:val="center"/>
        </w:trPr>
        <w:tc>
          <w:tcPr>
            <w:tcW w:w="14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43753D">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2020</w:t>
            </w:r>
          </w:p>
        </w:tc>
        <w:tc>
          <w:tcPr>
            <w:tcW w:w="4229" w:type="dxa"/>
            <w:tcBorders>
              <w:top w:val="single" w:color="auto" w:sz="4" w:space="0"/>
              <w:left w:val="nil"/>
              <w:bottom w:val="single" w:color="auto" w:sz="4" w:space="0"/>
              <w:right w:val="single" w:color="auto" w:sz="4" w:space="0"/>
            </w:tcBorders>
            <w:shd w:val="clear" w:color="auto" w:fill="auto"/>
            <w:noWrap/>
            <w:vAlign w:val="center"/>
          </w:tcPr>
          <w:p w14:paraId="18AB0D64">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23353</w:t>
            </w:r>
          </w:p>
        </w:tc>
        <w:tc>
          <w:tcPr>
            <w:tcW w:w="2575" w:type="dxa"/>
            <w:tcBorders>
              <w:top w:val="single" w:color="auto" w:sz="4" w:space="0"/>
              <w:left w:val="nil"/>
              <w:bottom w:val="single" w:color="auto" w:sz="4" w:space="0"/>
              <w:right w:val="single" w:color="auto" w:sz="4" w:space="0"/>
            </w:tcBorders>
            <w:shd w:val="clear" w:color="auto" w:fill="auto"/>
            <w:noWrap/>
            <w:vAlign w:val="center"/>
          </w:tcPr>
          <w:p w14:paraId="420B43BD">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6.1</w:t>
            </w:r>
          </w:p>
        </w:tc>
      </w:tr>
      <w:tr w14:paraId="385DEA5C">
        <w:tblPrEx>
          <w:tblCellMar>
            <w:top w:w="0" w:type="dxa"/>
            <w:left w:w="108" w:type="dxa"/>
            <w:bottom w:w="0" w:type="dxa"/>
            <w:right w:w="108" w:type="dxa"/>
          </w:tblCellMar>
        </w:tblPrEx>
        <w:trPr>
          <w:trHeight w:val="227" w:hRule="atLeast"/>
          <w:jc w:val="center"/>
        </w:trPr>
        <w:tc>
          <w:tcPr>
            <w:tcW w:w="14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ADE752">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2021</w:t>
            </w:r>
          </w:p>
        </w:tc>
        <w:tc>
          <w:tcPr>
            <w:tcW w:w="4229" w:type="dxa"/>
            <w:tcBorders>
              <w:top w:val="single" w:color="auto" w:sz="4" w:space="0"/>
              <w:left w:val="nil"/>
              <w:bottom w:val="single" w:color="auto" w:sz="4" w:space="0"/>
              <w:right w:val="single" w:color="auto" w:sz="4" w:space="0"/>
            </w:tcBorders>
            <w:shd w:val="clear" w:color="auto" w:fill="auto"/>
            <w:noWrap/>
            <w:vAlign w:val="center"/>
          </w:tcPr>
          <w:p w14:paraId="07B04561">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25852</w:t>
            </w:r>
          </w:p>
        </w:tc>
        <w:tc>
          <w:tcPr>
            <w:tcW w:w="2575" w:type="dxa"/>
            <w:tcBorders>
              <w:top w:val="single" w:color="auto" w:sz="4" w:space="0"/>
              <w:left w:val="nil"/>
              <w:bottom w:val="single" w:color="auto" w:sz="4" w:space="0"/>
              <w:right w:val="single" w:color="auto" w:sz="4" w:space="0"/>
            </w:tcBorders>
            <w:shd w:val="clear" w:color="auto" w:fill="auto"/>
            <w:noWrap/>
            <w:vAlign w:val="center"/>
          </w:tcPr>
          <w:p w14:paraId="325D7B4D">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10.7</w:t>
            </w:r>
          </w:p>
        </w:tc>
      </w:tr>
      <w:tr w14:paraId="7F9BA946">
        <w:tblPrEx>
          <w:tblCellMar>
            <w:top w:w="0" w:type="dxa"/>
            <w:left w:w="108" w:type="dxa"/>
            <w:bottom w:w="0" w:type="dxa"/>
            <w:right w:w="108" w:type="dxa"/>
          </w:tblCellMar>
        </w:tblPrEx>
        <w:trPr>
          <w:trHeight w:val="227" w:hRule="atLeast"/>
          <w:jc w:val="center"/>
        </w:trPr>
        <w:tc>
          <w:tcPr>
            <w:tcW w:w="14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32538B">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2022</w:t>
            </w:r>
          </w:p>
        </w:tc>
        <w:tc>
          <w:tcPr>
            <w:tcW w:w="4229" w:type="dxa"/>
            <w:tcBorders>
              <w:top w:val="single" w:color="auto" w:sz="4" w:space="0"/>
              <w:left w:val="nil"/>
              <w:bottom w:val="single" w:color="auto" w:sz="4" w:space="0"/>
              <w:right w:val="single" w:color="auto" w:sz="4" w:space="0"/>
            </w:tcBorders>
            <w:shd w:val="clear" w:color="auto" w:fill="auto"/>
            <w:noWrap/>
            <w:vAlign w:val="center"/>
          </w:tcPr>
          <w:p w14:paraId="7234569D">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27497</w:t>
            </w:r>
          </w:p>
        </w:tc>
        <w:tc>
          <w:tcPr>
            <w:tcW w:w="2575" w:type="dxa"/>
            <w:tcBorders>
              <w:top w:val="single" w:color="auto" w:sz="4" w:space="0"/>
              <w:left w:val="nil"/>
              <w:bottom w:val="single" w:color="auto" w:sz="4" w:space="0"/>
              <w:right w:val="single" w:color="auto" w:sz="4" w:space="0"/>
            </w:tcBorders>
            <w:shd w:val="clear" w:color="auto" w:fill="auto"/>
            <w:noWrap/>
            <w:vAlign w:val="center"/>
          </w:tcPr>
          <w:p w14:paraId="1551275E">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6.4</w:t>
            </w:r>
          </w:p>
        </w:tc>
      </w:tr>
      <w:tr w14:paraId="3B0A8569">
        <w:tblPrEx>
          <w:tblCellMar>
            <w:top w:w="0" w:type="dxa"/>
            <w:left w:w="108" w:type="dxa"/>
            <w:bottom w:w="0" w:type="dxa"/>
            <w:right w:w="108" w:type="dxa"/>
          </w:tblCellMar>
        </w:tblPrEx>
        <w:trPr>
          <w:trHeight w:val="227" w:hRule="atLeast"/>
          <w:jc w:val="center"/>
        </w:trPr>
        <w:tc>
          <w:tcPr>
            <w:tcW w:w="14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5D1093">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2023</w:t>
            </w:r>
          </w:p>
        </w:tc>
        <w:tc>
          <w:tcPr>
            <w:tcW w:w="4229" w:type="dxa"/>
            <w:tcBorders>
              <w:top w:val="single" w:color="auto" w:sz="4" w:space="0"/>
              <w:left w:val="nil"/>
              <w:bottom w:val="single" w:color="auto" w:sz="4" w:space="0"/>
              <w:right w:val="single" w:color="auto" w:sz="4" w:space="0"/>
            </w:tcBorders>
            <w:shd w:val="clear" w:color="auto" w:fill="auto"/>
            <w:noWrap/>
            <w:vAlign w:val="center"/>
          </w:tcPr>
          <w:p w14:paraId="252936E2">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29131</w:t>
            </w:r>
          </w:p>
        </w:tc>
        <w:tc>
          <w:tcPr>
            <w:tcW w:w="2575" w:type="dxa"/>
            <w:tcBorders>
              <w:top w:val="single" w:color="auto" w:sz="4" w:space="0"/>
              <w:left w:val="nil"/>
              <w:bottom w:val="single" w:color="auto" w:sz="4" w:space="0"/>
              <w:right w:val="single" w:color="auto" w:sz="4" w:space="0"/>
            </w:tcBorders>
            <w:shd w:val="clear" w:color="auto" w:fill="auto"/>
            <w:noWrap/>
            <w:vAlign w:val="center"/>
          </w:tcPr>
          <w:p w14:paraId="11B6EA80">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5.9</w:t>
            </w:r>
          </w:p>
        </w:tc>
      </w:tr>
      <w:tr w14:paraId="55683203">
        <w:tblPrEx>
          <w:tblCellMar>
            <w:top w:w="0" w:type="dxa"/>
            <w:left w:w="108" w:type="dxa"/>
            <w:bottom w:w="0" w:type="dxa"/>
            <w:right w:w="108" w:type="dxa"/>
          </w:tblCellMar>
        </w:tblPrEx>
        <w:trPr>
          <w:trHeight w:val="227" w:hRule="atLeast"/>
          <w:jc w:val="center"/>
        </w:trPr>
        <w:tc>
          <w:tcPr>
            <w:tcW w:w="14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13864A">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2024</w:t>
            </w:r>
          </w:p>
        </w:tc>
        <w:tc>
          <w:tcPr>
            <w:tcW w:w="4229" w:type="dxa"/>
            <w:tcBorders>
              <w:top w:val="single" w:color="auto" w:sz="4" w:space="0"/>
              <w:left w:val="nil"/>
              <w:bottom w:val="single" w:color="auto" w:sz="4" w:space="0"/>
              <w:right w:val="single" w:color="auto" w:sz="4" w:space="0"/>
            </w:tcBorders>
            <w:shd w:val="clear" w:color="auto" w:fill="auto"/>
            <w:noWrap/>
            <w:vAlign w:val="center"/>
          </w:tcPr>
          <w:p w14:paraId="09BC8685">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30942</w:t>
            </w:r>
          </w:p>
        </w:tc>
        <w:tc>
          <w:tcPr>
            <w:tcW w:w="2575" w:type="dxa"/>
            <w:tcBorders>
              <w:top w:val="single" w:color="auto" w:sz="4" w:space="0"/>
              <w:left w:val="nil"/>
              <w:bottom w:val="single" w:color="auto" w:sz="4" w:space="0"/>
              <w:right w:val="single" w:color="auto" w:sz="4" w:space="0"/>
            </w:tcBorders>
            <w:shd w:val="clear" w:color="auto" w:fill="auto"/>
            <w:noWrap/>
            <w:vAlign w:val="center"/>
          </w:tcPr>
          <w:p w14:paraId="26504C31">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6.2</w:t>
            </w:r>
          </w:p>
        </w:tc>
      </w:tr>
      <w:tr w14:paraId="26889A4A">
        <w:tblPrEx>
          <w:tblCellMar>
            <w:top w:w="0" w:type="dxa"/>
            <w:left w:w="108" w:type="dxa"/>
            <w:bottom w:w="0" w:type="dxa"/>
            <w:right w:w="108" w:type="dxa"/>
          </w:tblCellMar>
        </w:tblPrEx>
        <w:trPr>
          <w:trHeight w:val="227" w:hRule="atLeast"/>
          <w:jc w:val="center"/>
        </w:trPr>
        <w:tc>
          <w:tcPr>
            <w:tcW w:w="14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D7A2E3">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2025</w:t>
            </w:r>
          </w:p>
        </w:tc>
        <w:tc>
          <w:tcPr>
            <w:tcW w:w="4229" w:type="dxa"/>
            <w:tcBorders>
              <w:top w:val="single" w:color="auto" w:sz="4" w:space="0"/>
              <w:left w:val="nil"/>
              <w:bottom w:val="single" w:color="auto" w:sz="4" w:space="0"/>
              <w:right w:val="single" w:color="auto" w:sz="4" w:space="0"/>
            </w:tcBorders>
            <w:shd w:val="clear" w:color="auto" w:fill="auto"/>
            <w:noWrap/>
            <w:vAlign w:val="center"/>
          </w:tcPr>
          <w:p w14:paraId="5F056985">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32702</w:t>
            </w:r>
          </w:p>
        </w:tc>
        <w:tc>
          <w:tcPr>
            <w:tcW w:w="2575" w:type="dxa"/>
            <w:tcBorders>
              <w:top w:val="single" w:color="auto" w:sz="4" w:space="0"/>
              <w:left w:val="nil"/>
              <w:bottom w:val="single" w:color="auto" w:sz="4" w:space="0"/>
              <w:right w:val="single" w:color="auto" w:sz="4" w:space="0"/>
            </w:tcBorders>
            <w:shd w:val="clear" w:color="auto" w:fill="auto"/>
            <w:noWrap/>
            <w:vAlign w:val="center"/>
          </w:tcPr>
          <w:p w14:paraId="407ED82F">
            <w:pPr>
              <w:widowControl/>
              <w:rPr>
                <w:rFonts w:ascii="仿宋_GB2312" w:hAnsi="宋体" w:eastAsia="仿宋_GB2312" w:cs="宋体"/>
                <w:color w:val="000000"/>
                <w:kern w:val="0"/>
                <w:sz w:val="28"/>
              </w:rPr>
            </w:pPr>
            <w:r>
              <w:rPr>
                <w:rFonts w:hint="eastAsia" w:ascii="仿宋_GB2312" w:hAnsi="宋体" w:eastAsia="仿宋_GB2312" w:cs="宋体"/>
                <w:color w:val="000000"/>
                <w:kern w:val="0"/>
                <w:sz w:val="28"/>
              </w:rPr>
              <w:t>5.7</w:t>
            </w:r>
          </w:p>
        </w:tc>
      </w:tr>
    </w:tbl>
    <w:p w14:paraId="7923358C">
      <w:pPr>
        <w:widowControl/>
      </w:pPr>
      <w:r>
        <w:drawing>
          <wp:inline distT="0" distB="0" distL="0" distR="0">
            <wp:extent cx="5615940" cy="3290570"/>
            <wp:effectExtent l="19050" t="0" r="3810" b="0"/>
            <wp:docPr id="4" name="图片 3"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图片1.png"/>
                    <pic:cNvPicPr>
                      <a:picLocks noChangeAspect="1"/>
                    </pic:cNvPicPr>
                  </pic:nvPicPr>
                  <pic:blipFill>
                    <a:blip r:embed="rId19"/>
                    <a:stretch>
                      <a:fillRect/>
                    </a:stretch>
                  </pic:blipFill>
                  <pic:spPr>
                    <a:xfrm>
                      <a:off x="0" y="0"/>
                      <a:ext cx="5615940" cy="3290570"/>
                    </a:xfrm>
                    <a:prstGeom prst="rect">
                      <a:avLst/>
                    </a:prstGeom>
                  </pic:spPr>
                </pic:pic>
              </a:graphicData>
            </a:graphic>
          </wp:inline>
        </w:drawing>
      </w:r>
    </w:p>
    <w:p w14:paraId="09A30B91">
      <w:pPr>
        <w:widowControl/>
        <w:jc w:val="center"/>
      </w:pPr>
      <w:r>
        <w:drawing>
          <wp:inline distT="0" distB="0" distL="0" distR="0">
            <wp:extent cx="5615940" cy="3236595"/>
            <wp:effectExtent l="19050" t="0" r="3810" b="0"/>
            <wp:docPr id="6" name="图片 5" descr="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图片2.png"/>
                    <pic:cNvPicPr>
                      <a:picLocks noChangeAspect="1"/>
                    </pic:cNvPicPr>
                  </pic:nvPicPr>
                  <pic:blipFill>
                    <a:blip r:embed="rId20"/>
                    <a:stretch>
                      <a:fillRect/>
                    </a:stretch>
                  </pic:blipFill>
                  <pic:spPr>
                    <a:xfrm>
                      <a:off x="0" y="0"/>
                      <a:ext cx="5615940" cy="3236595"/>
                    </a:xfrm>
                    <a:prstGeom prst="rect">
                      <a:avLst/>
                    </a:prstGeom>
                  </pic:spPr>
                </pic:pic>
              </a:graphicData>
            </a:graphic>
          </wp:inline>
        </w:drawing>
      </w:r>
    </w:p>
    <w:p w14:paraId="3AEBECA9">
      <w:pPr>
        <w:widowControl/>
        <w:spacing w:line="560" w:lineRule="exact"/>
        <w:ind w:firstLine="640" w:firstLineChars="200"/>
        <w:rPr>
          <w:rFonts w:ascii="仿宋_GB2312" w:hAnsi="宋体" w:eastAsia="仿宋_GB2312" w:cs="宋体"/>
          <w:color w:val="FF0000"/>
          <w:kern w:val="0"/>
          <w:sz w:val="28"/>
          <w:szCs w:val="28"/>
          <w:highlight w:val="yellow"/>
        </w:rPr>
      </w:pPr>
      <w:r>
        <w:rPr>
          <w:rFonts w:hint="eastAsia" w:ascii="仿宋_GB2312" w:hAnsi="宋体" w:eastAsia="仿宋_GB2312" w:cs="宋体"/>
          <w:kern w:val="0"/>
          <w:sz w:val="32"/>
          <w:szCs w:val="28"/>
        </w:rPr>
        <w:t>年末参加机关事业单位养老保险人数14874人，比上年末增加577人。其中，参保离退休人员5613人，全部实现养老金按时足额发放。参加基本医疗保险人数431336人，其中，参保职工47875人，参保城乡居民383461人。参加失业保险人数34878人，比上年末增加196人。</w:t>
      </w:r>
    </w:p>
    <w:p w14:paraId="68AD1C40">
      <w:pPr>
        <w:widowControl/>
        <w:spacing w:line="560" w:lineRule="exact"/>
        <w:ind w:firstLine="640" w:firstLineChars="200"/>
        <w:rPr>
          <w:rFonts w:ascii="仿宋_GB2312" w:hAnsi="宋体" w:eastAsia="仿宋_GB2312" w:cs="宋体"/>
          <w:color w:val="FF0000"/>
          <w:kern w:val="0"/>
          <w:sz w:val="32"/>
          <w:szCs w:val="28"/>
          <w:highlight w:val="yellow"/>
        </w:rPr>
      </w:pPr>
      <w:r>
        <w:rPr>
          <w:rFonts w:hint="eastAsia" w:ascii="仿宋_GB2312" w:hAnsi="宋体" w:eastAsia="仿宋_GB2312" w:cs="宋体"/>
          <w:kern w:val="0"/>
          <w:sz w:val="32"/>
          <w:szCs w:val="28"/>
        </w:rPr>
        <w:t>年末领取失业保险金人数1020人，比上年末增加160人。全县纳入城市最低生活保障的居民11842人，比上年末增加92人；纳入农村最低生活保障的居民10687人，比上年末增加90人；“特困”供养对象1270人。</w:t>
      </w:r>
    </w:p>
    <w:p w14:paraId="59666038">
      <w:pPr>
        <w:widowControl/>
        <w:spacing w:line="560" w:lineRule="exact"/>
        <w:ind w:firstLine="640" w:firstLineChars="200"/>
        <w:rPr>
          <w:rFonts w:ascii="仿宋_GB2312" w:hAnsi="宋体" w:eastAsia="仿宋_GB2312" w:cs="宋体"/>
          <w:color w:val="FF0000"/>
          <w:kern w:val="0"/>
          <w:sz w:val="28"/>
          <w:szCs w:val="28"/>
        </w:rPr>
      </w:pPr>
      <w:r>
        <w:rPr>
          <w:rFonts w:hint="eastAsia" w:ascii="仿宋_GB2312" w:hAnsi="宋体" w:eastAsia="仿宋_GB2312" w:cs="宋体"/>
          <w:kern w:val="0"/>
          <w:sz w:val="32"/>
          <w:szCs w:val="28"/>
        </w:rPr>
        <w:t>年末全县养老机构现有床位数3806张，同比持平。</w:t>
      </w:r>
    </w:p>
    <w:p w14:paraId="2184A5A9">
      <w:pPr>
        <w:widowControl/>
        <w:spacing w:beforeLines="100" w:afterLines="100"/>
        <w:jc w:val="center"/>
        <w:rPr>
          <w:rFonts w:ascii="黑体" w:hAnsi="宋体" w:eastAsia="黑体" w:cs="宋体"/>
          <w:kern w:val="0"/>
          <w:sz w:val="32"/>
          <w:szCs w:val="30"/>
        </w:rPr>
      </w:pPr>
      <w:r>
        <w:rPr>
          <w:rFonts w:hint="eastAsia" w:ascii="黑体" w:hAnsi="宋体" w:eastAsia="黑体" w:cs="宋体"/>
          <w:kern w:val="0"/>
          <w:sz w:val="32"/>
          <w:szCs w:val="30"/>
        </w:rPr>
        <w:t>十、教育和科学技术</w:t>
      </w:r>
    </w:p>
    <w:p w14:paraId="51668EB1">
      <w:pPr>
        <w:widowControl/>
        <w:spacing w:line="560" w:lineRule="exact"/>
        <w:ind w:firstLine="640" w:firstLineChars="200"/>
        <w:rPr>
          <w:rFonts w:ascii="仿宋_GB2312" w:hAnsi="宋体" w:eastAsia="仿宋_GB2312" w:cs="宋体"/>
          <w:color w:val="FF0000"/>
          <w:kern w:val="0"/>
          <w:sz w:val="32"/>
          <w:szCs w:val="28"/>
        </w:rPr>
      </w:pPr>
      <w:r>
        <w:rPr>
          <w:rFonts w:hint="eastAsia" w:ascii="仿宋_GB2312" w:hAnsi="宋体" w:eastAsia="仿宋_GB2312" w:cs="宋体"/>
          <w:kern w:val="0"/>
          <w:sz w:val="32"/>
          <w:szCs w:val="28"/>
        </w:rPr>
        <w:t>全县普通高中招生4154人，在校生11572人，毕业生2860人。普通初中招生8339人，在校生22094人，毕业生5996人。普通小学招生4525人，在校生40496人，毕业生8768人。特殊教育在校生410人。幼儿园在园幼儿9550人。全县中小学专任教师4720人。九年义务教育巩固率为99.3%，高中阶段毛入学率97.3%。</w:t>
      </w:r>
    </w:p>
    <w:p w14:paraId="400EA421">
      <w:pPr>
        <w:widowControl/>
        <w:rPr>
          <w:rFonts w:ascii="仿宋_GB2312" w:hAnsi="宋体" w:eastAsia="仿宋_GB2312" w:cs="宋体"/>
          <w:kern w:val="0"/>
          <w:sz w:val="28"/>
          <w:szCs w:val="28"/>
        </w:rPr>
      </w:pPr>
      <w:r>
        <w:rPr>
          <w:rFonts w:ascii="仿宋_GB2312" w:hAnsi="宋体" w:eastAsia="仿宋_GB2312" w:cs="宋体"/>
          <w:kern w:val="0"/>
          <w:sz w:val="28"/>
          <w:szCs w:val="28"/>
        </w:rPr>
        <w:drawing>
          <wp:inline distT="0" distB="0" distL="0" distR="0">
            <wp:extent cx="5615940" cy="2555875"/>
            <wp:effectExtent l="19050" t="0" r="3810" b="0"/>
            <wp:docPr id="8" name="图片 7"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图片3.png"/>
                    <pic:cNvPicPr>
                      <a:picLocks noChangeAspect="1"/>
                    </pic:cNvPicPr>
                  </pic:nvPicPr>
                  <pic:blipFill>
                    <a:blip r:embed="rId21"/>
                    <a:stretch>
                      <a:fillRect/>
                    </a:stretch>
                  </pic:blipFill>
                  <pic:spPr>
                    <a:xfrm>
                      <a:off x="0" y="0"/>
                      <a:ext cx="5615940" cy="2555875"/>
                    </a:xfrm>
                    <a:prstGeom prst="rect">
                      <a:avLst/>
                    </a:prstGeom>
                  </pic:spPr>
                </pic:pic>
              </a:graphicData>
            </a:graphic>
          </wp:inline>
        </w:drawing>
      </w:r>
    </w:p>
    <w:p w14:paraId="08A38EA7">
      <w:pPr>
        <w:widowControl/>
        <w:spacing w:line="560" w:lineRule="exact"/>
        <w:ind w:firstLine="640" w:firstLineChars="200"/>
        <w:rPr>
          <w:rFonts w:ascii="仿宋_GB2312" w:hAnsi="宋体" w:eastAsia="仿宋_GB2312" w:cs="宋体"/>
          <w:color w:val="FF0000"/>
          <w:kern w:val="0"/>
          <w:sz w:val="32"/>
          <w:szCs w:val="28"/>
          <w:highlight w:val="yellow"/>
        </w:rPr>
      </w:pPr>
      <w:r>
        <w:rPr>
          <w:rFonts w:hint="eastAsia" w:ascii="仿宋_GB2312" w:hAnsi="宋体" w:eastAsia="仿宋_GB2312" w:cs="宋体"/>
          <w:kern w:val="0"/>
          <w:sz w:val="32"/>
          <w:szCs w:val="28"/>
        </w:rPr>
        <w:t>全县高技术企业15家,实现增加值13.9亿元，同比增长22.7%。</w:t>
      </w:r>
    </w:p>
    <w:p w14:paraId="36DCEA57">
      <w:pPr>
        <w:widowControl/>
        <w:spacing w:line="560" w:lineRule="exact"/>
        <w:ind w:firstLine="640" w:firstLineChars="200"/>
        <w:rPr>
          <w:rFonts w:hint="eastAsia" w:ascii="仿宋_GB2312" w:hAnsi="宋体" w:eastAsia="仿宋_GB2312" w:cs="宋体"/>
          <w:kern w:val="0"/>
          <w:sz w:val="32"/>
          <w:szCs w:val="28"/>
        </w:rPr>
      </w:pPr>
      <w:r>
        <w:rPr>
          <w:rFonts w:hint="eastAsia" w:ascii="仿宋_GB2312" w:hAnsi="宋体" w:eastAsia="仿宋_GB2312" w:cs="宋体"/>
          <w:kern w:val="0"/>
          <w:sz w:val="32"/>
          <w:szCs w:val="28"/>
        </w:rPr>
        <w:t>全</w:t>
      </w:r>
      <w:r>
        <w:rPr>
          <w:rFonts w:ascii="仿宋_GB2312" w:hAnsi="宋体" w:eastAsia="仿宋_GB2312" w:cs="宋体"/>
          <w:kern w:val="0"/>
          <w:sz w:val="32"/>
          <w:szCs w:val="28"/>
        </w:rPr>
        <w:t>县专利授权总量</w:t>
      </w:r>
      <w:r>
        <w:rPr>
          <w:rFonts w:hint="eastAsia" w:ascii="仿宋_GB2312" w:hAnsi="宋体" w:eastAsia="仿宋_GB2312" w:cs="宋体"/>
          <w:kern w:val="0"/>
          <w:sz w:val="32"/>
          <w:szCs w:val="28"/>
        </w:rPr>
        <w:t>1807</w:t>
      </w:r>
      <w:r>
        <w:rPr>
          <w:rFonts w:ascii="仿宋_GB2312" w:hAnsi="宋体" w:eastAsia="仿宋_GB2312" w:cs="宋体"/>
          <w:kern w:val="0"/>
          <w:sz w:val="32"/>
          <w:szCs w:val="28"/>
        </w:rPr>
        <w:t>件，其中发明专利授权</w:t>
      </w:r>
      <w:r>
        <w:rPr>
          <w:rFonts w:hint="eastAsia" w:ascii="仿宋_GB2312" w:hAnsi="宋体" w:eastAsia="仿宋_GB2312" w:cs="宋体"/>
          <w:kern w:val="0"/>
          <w:sz w:val="32"/>
          <w:szCs w:val="28"/>
        </w:rPr>
        <w:t>51</w:t>
      </w:r>
      <w:r>
        <w:rPr>
          <w:rFonts w:ascii="仿宋_GB2312" w:hAnsi="宋体" w:eastAsia="仿宋_GB2312" w:cs="宋体"/>
          <w:kern w:val="0"/>
          <w:sz w:val="32"/>
          <w:szCs w:val="28"/>
        </w:rPr>
        <w:t>件，</w:t>
      </w:r>
      <w:r>
        <w:rPr>
          <w:rFonts w:hint="eastAsia" w:ascii="仿宋_GB2312" w:hAnsi="宋体" w:eastAsia="仿宋_GB2312" w:cs="宋体"/>
          <w:kern w:val="0"/>
          <w:sz w:val="32"/>
          <w:szCs w:val="28"/>
        </w:rPr>
        <w:t>增长70.0</w:t>
      </w:r>
      <w:r>
        <w:rPr>
          <w:rFonts w:ascii="仿宋_GB2312" w:hAnsi="宋体" w:eastAsia="仿宋_GB2312" w:cs="宋体"/>
          <w:kern w:val="0"/>
          <w:sz w:val="32"/>
          <w:szCs w:val="28"/>
        </w:rPr>
        <w:t>%</w:t>
      </w:r>
      <w:r>
        <w:rPr>
          <w:rFonts w:hint="eastAsia" w:ascii="仿宋_GB2312" w:hAnsi="宋体" w:eastAsia="仿宋_GB2312" w:cs="宋体"/>
          <w:kern w:val="0"/>
          <w:sz w:val="32"/>
          <w:szCs w:val="28"/>
        </w:rPr>
        <w:t>；</w:t>
      </w:r>
      <w:r>
        <w:rPr>
          <w:rFonts w:ascii="仿宋_GB2312" w:hAnsi="宋体" w:eastAsia="仿宋_GB2312" w:cs="宋体"/>
          <w:kern w:val="0"/>
          <w:sz w:val="32"/>
          <w:szCs w:val="28"/>
        </w:rPr>
        <w:t>全县拥有有效发明专利件</w:t>
      </w:r>
      <w:r>
        <w:rPr>
          <w:rFonts w:hint="eastAsia" w:ascii="仿宋_GB2312" w:hAnsi="宋体" w:eastAsia="仿宋_GB2312" w:cs="宋体"/>
          <w:kern w:val="0"/>
          <w:sz w:val="32"/>
          <w:szCs w:val="28"/>
        </w:rPr>
        <w:t>246</w:t>
      </w:r>
      <w:r>
        <w:rPr>
          <w:rFonts w:ascii="仿宋_GB2312" w:hAnsi="宋体" w:eastAsia="仿宋_GB2312" w:cs="宋体"/>
          <w:kern w:val="0"/>
          <w:sz w:val="32"/>
          <w:szCs w:val="28"/>
        </w:rPr>
        <w:t>件，增长</w:t>
      </w:r>
      <w:r>
        <w:rPr>
          <w:rFonts w:hint="eastAsia" w:ascii="仿宋_GB2312" w:hAnsi="宋体" w:eastAsia="仿宋_GB2312" w:cs="宋体"/>
          <w:kern w:val="0"/>
          <w:sz w:val="32"/>
          <w:szCs w:val="28"/>
        </w:rPr>
        <w:t>24.9</w:t>
      </w:r>
      <w:r>
        <w:rPr>
          <w:rFonts w:ascii="仿宋_GB2312" w:hAnsi="宋体" w:eastAsia="仿宋_GB2312" w:cs="宋体"/>
          <w:kern w:val="0"/>
          <w:sz w:val="32"/>
          <w:szCs w:val="28"/>
        </w:rPr>
        <w:t>%</w:t>
      </w:r>
      <w:r>
        <w:rPr>
          <w:rFonts w:hint="eastAsia" w:ascii="仿宋_GB2312" w:hAnsi="宋体" w:eastAsia="仿宋_GB2312" w:cs="宋体"/>
          <w:kern w:val="0"/>
          <w:sz w:val="32"/>
          <w:szCs w:val="28"/>
        </w:rPr>
        <w:t>；</w:t>
      </w:r>
      <w:r>
        <w:rPr>
          <w:rFonts w:ascii="仿宋_GB2312" w:hAnsi="宋体" w:eastAsia="仿宋_GB2312" w:cs="宋体"/>
          <w:kern w:val="0"/>
          <w:sz w:val="32"/>
          <w:szCs w:val="28"/>
        </w:rPr>
        <w:t>每万人发明专利拥有量</w:t>
      </w:r>
      <w:r>
        <w:rPr>
          <w:rFonts w:hint="eastAsia" w:ascii="仿宋_GB2312" w:hAnsi="宋体" w:eastAsia="仿宋_GB2312" w:cs="宋体"/>
          <w:kern w:val="0"/>
          <w:sz w:val="32"/>
          <w:szCs w:val="28"/>
        </w:rPr>
        <w:t>6.3</w:t>
      </w:r>
      <w:r>
        <w:rPr>
          <w:rFonts w:ascii="仿宋_GB2312" w:hAnsi="宋体" w:eastAsia="仿宋_GB2312" w:cs="宋体"/>
          <w:kern w:val="0"/>
          <w:sz w:val="32"/>
          <w:szCs w:val="28"/>
        </w:rPr>
        <w:t>件</w:t>
      </w:r>
      <w:r>
        <w:rPr>
          <w:rFonts w:hint="eastAsia" w:ascii="仿宋_GB2312" w:hAnsi="宋体" w:eastAsia="仿宋_GB2312" w:cs="宋体"/>
          <w:kern w:val="0"/>
          <w:sz w:val="32"/>
          <w:szCs w:val="28"/>
        </w:rPr>
        <w:t>。</w:t>
      </w:r>
    </w:p>
    <w:p w14:paraId="16D4EE30">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全县拥有1件中国驰名商标，17件地理标志商标，2个国家地理标志保护产品。</w:t>
      </w:r>
    </w:p>
    <w:p w14:paraId="7FB0E558">
      <w:pPr>
        <w:widowControl/>
        <w:spacing w:line="560" w:lineRule="exact"/>
        <w:ind w:firstLine="640" w:firstLineChars="200"/>
        <w:rPr>
          <w:rFonts w:ascii="仿宋_GB2312" w:hAnsi="宋体" w:eastAsia="仿宋_GB2312" w:cs="宋体"/>
          <w:kern w:val="0"/>
          <w:sz w:val="28"/>
          <w:szCs w:val="28"/>
        </w:rPr>
      </w:pPr>
      <w:r>
        <w:rPr>
          <w:rFonts w:hint="eastAsia" w:ascii="仿宋_GB2312" w:hAnsi="宋体" w:eastAsia="仿宋_GB2312" w:cs="宋体"/>
          <w:kern w:val="0"/>
          <w:sz w:val="32"/>
          <w:szCs w:val="28"/>
        </w:rPr>
        <w:t>2</w:t>
      </w:r>
      <w:r>
        <w:rPr>
          <w:rFonts w:ascii="仿宋_GB2312" w:hAnsi="宋体" w:eastAsia="仿宋_GB2312" w:cs="宋体"/>
          <w:kern w:val="0"/>
          <w:sz w:val="32"/>
          <w:szCs w:val="28"/>
        </w:rPr>
        <w:t>02</w:t>
      </w:r>
      <w:r>
        <w:rPr>
          <w:rFonts w:hint="eastAsia" w:ascii="仿宋_GB2312" w:hAnsi="宋体" w:eastAsia="仿宋_GB2312" w:cs="宋体"/>
          <w:kern w:val="0"/>
          <w:sz w:val="32"/>
          <w:szCs w:val="28"/>
        </w:rPr>
        <w:t>4</w:t>
      </w:r>
      <w:r>
        <w:rPr>
          <w:rFonts w:ascii="仿宋_GB2312" w:hAnsi="宋体" w:eastAsia="仿宋_GB2312" w:cs="宋体"/>
          <w:kern w:val="0"/>
          <w:sz w:val="32"/>
          <w:szCs w:val="28"/>
        </w:rPr>
        <w:t>年，全县规模以上工业开展R&amp;D活动数</w:t>
      </w:r>
      <w:r>
        <w:rPr>
          <w:rFonts w:hint="eastAsia" w:ascii="仿宋_GB2312" w:hAnsi="宋体" w:eastAsia="仿宋_GB2312" w:cs="宋体"/>
          <w:kern w:val="0"/>
          <w:sz w:val="32"/>
          <w:szCs w:val="28"/>
        </w:rPr>
        <w:t>37</w:t>
      </w:r>
      <w:r>
        <w:rPr>
          <w:rFonts w:ascii="仿宋_GB2312" w:hAnsi="宋体" w:eastAsia="仿宋_GB2312" w:cs="宋体"/>
          <w:kern w:val="0"/>
          <w:sz w:val="32"/>
          <w:szCs w:val="28"/>
        </w:rPr>
        <w:t>家，</w:t>
      </w:r>
      <w:r>
        <w:rPr>
          <w:rFonts w:hint="eastAsia" w:ascii="仿宋_GB2312" w:hAnsi="宋体" w:eastAsia="仿宋_GB2312" w:cs="宋体"/>
          <w:kern w:val="0"/>
          <w:sz w:val="32"/>
          <w:szCs w:val="28"/>
        </w:rPr>
        <w:t>增长8.8</w:t>
      </w:r>
      <w:r>
        <w:rPr>
          <w:rFonts w:ascii="仿宋_GB2312" w:hAnsi="宋体" w:eastAsia="仿宋_GB2312" w:cs="宋体"/>
          <w:kern w:val="0"/>
          <w:sz w:val="32"/>
          <w:szCs w:val="28"/>
        </w:rPr>
        <w:t>%；R&amp;D人员</w:t>
      </w:r>
      <w:r>
        <w:rPr>
          <w:rFonts w:hint="eastAsia" w:ascii="仿宋_GB2312" w:hAnsi="宋体" w:eastAsia="仿宋_GB2312" w:cs="宋体"/>
          <w:kern w:val="0"/>
          <w:sz w:val="32"/>
          <w:szCs w:val="28"/>
        </w:rPr>
        <w:t>1379</w:t>
      </w:r>
      <w:r>
        <w:rPr>
          <w:rFonts w:ascii="仿宋_GB2312" w:hAnsi="宋体" w:eastAsia="仿宋_GB2312" w:cs="宋体"/>
          <w:kern w:val="0"/>
          <w:sz w:val="32"/>
          <w:szCs w:val="28"/>
        </w:rPr>
        <w:t>人，</w:t>
      </w:r>
      <w:r>
        <w:rPr>
          <w:rFonts w:hint="eastAsia" w:ascii="仿宋_GB2312" w:hAnsi="宋体" w:eastAsia="仿宋_GB2312" w:cs="宋体"/>
          <w:kern w:val="0"/>
          <w:sz w:val="32"/>
          <w:szCs w:val="28"/>
        </w:rPr>
        <w:t>增长16.7</w:t>
      </w:r>
      <w:r>
        <w:rPr>
          <w:rFonts w:ascii="仿宋_GB2312" w:hAnsi="宋体" w:eastAsia="仿宋_GB2312" w:cs="宋体"/>
          <w:kern w:val="0"/>
          <w:sz w:val="32"/>
          <w:szCs w:val="28"/>
        </w:rPr>
        <w:t>%；R&amp;D内部经费支出</w:t>
      </w:r>
      <w:r>
        <w:rPr>
          <w:rFonts w:hint="eastAsia" w:ascii="仿宋_GB2312" w:hAnsi="宋体" w:eastAsia="仿宋_GB2312" w:cs="宋体"/>
          <w:kern w:val="0"/>
          <w:sz w:val="32"/>
          <w:szCs w:val="28"/>
        </w:rPr>
        <w:t>3.6</w:t>
      </w:r>
      <w:r>
        <w:rPr>
          <w:rFonts w:ascii="仿宋_GB2312" w:hAnsi="宋体" w:eastAsia="仿宋_GB2312" w:cs="宋体"/>
          <w:kern w:val="0"/>
          <w:sz w:val="32"/>
          <w:szCs w:val="28"/>
        </w:rPr>
        <w:t>亿元，</w:t>
      </w:r>
      <w:r>
        <w:rPr>
          <w:rFonts w:hint="eastAsia" w:ascii="仿宋_GB2312" w:hAnsi="宋体" w:eastAsia="仿宋_GB2312" w:cs="宋体"/>
          <w:kern w:val="0"/>
          <w:sz w:val="32"/>
          <w:szCs w:val="28"/>
        </w:rPr>
        <w:t>下降6.8</w:t>
      </w:r>
      <w:r>
        <w:rPr>
          <w:rFonts w:ascii="仿宋_GB2312" w:hAnsi="宋体" w:eastAsia="仿宋_GB2312" w:cs="宋体"/>
          <w:kern w:val="0"/>
          <w:sz w:val="32"/>
          <w:szCs w:val="28"/>
        </w:rPr>
        <w:t>%</w:t>
      </w:r>
      <w:r>
        <w:rPr>
          <w:rFonts w:hint="eastAsia" w:ascii="仿宋_GB2312" w:hAnsi="宋体" w:eastAsia="仿宋_GB2312" w:cs="宋体"/>
          <w:kern w:val="0"/>
          <w:sz w:val="32"/>
          <w:szCs w:val="28"/>
        </w:rPr>
        <w:t>。</w:t>
      </w:r>
    </w:p>
    <w:p w14:paraId="46EC6716">
      <w:pPr>
        <w:widowControl/>
        <w:spacing w:beforeLines="100" w:afterLines="100"/>
        <w:jc w:val="center"/>
        <w:rPr>
          <w:rFonts w:ascii="黑体" w:hAnsi="宋体" w:eastAsia="黑体" w:cs="宋体"/>
          <w:kern w:val="0"/>
          <w:sz w:val="32"/>
          <w:szCs w:val="30"/>
        </w:rPr>
      </w:pPr>
      <w:r>
        <w:rPr>
          <w:rFonts w:hint="eastAsia" w:ascii="黑体" w:hAnsi="宋体" w:eastAsia="黑体" w:cs="宋体"/>
          <w:kern w:val="0"/>
          <w:sz w:val="32"/>
          <w:szCs w:val="30"/>
        </w:rPr>
        <w:t>十一、文化旅游、卫生健康和体育</w:t>
      </w:r>
    </w:p>
    <w:p w14:paraId="5C32FFD9">
      <w:pPr>
        <w:widowControl/>
        <w:spacing w:line="560" w:lineRule="exact"/>
        <w:ind w:firstLine="640" w:firstLineChars="200"/>
        <w:rPr>
          <w:rFonts w:ascii="仿宋_GB2312" w:hAnsi="宋体" w:eastAsia="仿宋_GB2312" w:cs="宋体"/>
          <w:color w:val="FF0000"/>
          <w:kern w:val="0"/>
          <w:sz w:val="32"/>
          <w:szCs w:val="28"/>
        </w:rPr>
      </w:pPr>
      <w:r>
        <w:rPr>
          <w:rFonts w:hint="eastAsia" w:ascii="仿宋_GB2312" w:hAnsi="宋体" w:eastAsia="仿宋_GB2312" w:cs="宋体"/>
          <w:kern w:val="0"/>
          <w:sz w:val="32"/>
          <w:szCs w:val="28"/>
        </w:rPr>
        <w:t>年末全县文化系统共有民间艺术表演团体15个，公共图书馆1个，文化馆1个，博物馆1个。文化系统各类艺术表演团体演出69场次，观众约30.6万人次。</w:t>
      </w:r>
    </w:p>
    <w:p w14:paraId="735FC648">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年末共有影院3个，银幕13块。广播电视发射台3座，广播电视台1个。有线数字电视用户5.5万户。年末广播节目综合覆盖率为99.9%；电视节目综合覆盖率为99.8%。</w:t>
      </w:r>
    </w:p>
    <w:p w14:paraId="35B82B05">
      <w:pPr>
        <w:widowControl/>
        <w:spacing w:line="560" w:lineRule="exact"/>
        <w:ind w:firstLine="640" w:firstLineChars="200"/>
        <w:rPr>
          <w:rFonts w:ascii="仿宋_GB2312" w:hAnsi="宋体" w:eastAsia="仿宋_GB2312" w:cs="宋体"/>
          <w:color w:val="FF0000"/>
          <w:kern w:val="0"/>
          <w:sz w:val="32"/>
          <w:szCs w:val="28"/>
          <w:highlight w:val="yellow"/>
        </w:rPr>
      </w:pPr>
      <w:r>
        <w:rPr>
          <w:rFonts w:hint="eastAsia" w:ascii="仿宋_GB2312" w:hAnsi="宋体" w:eastAsia="仿宋_GB2312" w:cs="宋体"/>
          <w:kern w:val="0"/>
          <w:sz w:val="32"/>
          <w:szCs w:val="28"/>
        </w:rPr>
        <w:t>全年旅游总收入101.2亿元，增长11.3%。全年接待旅游人数1090.4万人次，增长12.0%。其中，长汀红色旧址群景区全年接待旅游人数354.0万人次，增长13.5%。</w:t>
      </w:r>
    </w:p>
    <w:p w14:paraId="41C3474E">
      <w:pPr>
        <w:widowControl/>
        <w:spacing w:line="560" w:lineRule="exact"/>
        <w:ind w:firstLine="640" w:firstLineChars="200"/>
        <w:rPr>
          <w:rFonts w:hint="eastAsia" w:ascii="仿宋_GB2312" w:hAnsi="宋体" w:eastAsia="仿宋_GB2312" w:cs="宋体"/>
          <w:kern w:val="0"/>
          <w:sz w:val="32"/>
          <w:szCs w:val="28"/>
        </w:rPr>
      </w:pPr>
      <w:r>
        <w:rPr>
          <w:rFonts w:hint="eastAsia" w:ascii="仿宋_GB2312" w:hAnsi="宋体" w:eastAsia="仿宋_GB2312" w:cs="宋体"/>
          <w:kern w:val="0"/>
          <w:sz w:val="32"/>
          <w:szCs w:val="28"/>
        </w:rPr>
        <w:t>年末全县共有各类医疗卫生机构382个，其中：医院4个，卫生院17个,社区卫生服务中心1个，村卫生所290个，个体诊所63个，社区卫生服务站7个。年末共有卫生技术人员3263人，其中医师（士）1121人，护师（士）1782人，药师（士）113人，检验师（士）142人，其他医技师（士）105人。年末共有医疗机构实际床位2940张。</w:t>
      </w:r>
    </w:p>
    <w:p w14:paraId="0CDE86F5">
      <w:pPr>
        <w:widowControl/>
        <w:spacing w:line="560" w:lineRule="exact"/>
        <w:ind w:firstLine="640" w:firstLineChars="200"/>
        <w:rPr>
          <w:rFonts w:ascii="仿宋_GB2312" w:hAnsi="宋体" w:eastAsia="仿宋_GB2312" w:cs="宋体"/>
          <w:kern w:val="0"/>
          <w:sz w:val="32"/>
          <w:szCs w:val="28"/>
        </w:rPr>
      </w:pPr>
      <w:r>
        <w:rPr>
          <w:rFonts w:ascii="仿宋_GB2312" w:hAnsi="宋体" w:eastAsia="仿宋_GB2312" w:cs="宋体"/>
          <w:kern w:val="0"/>
          <w:sz w:val="32"/>
          <w:szCs w:val="28"/>
        </w:rPr>
        <w:t>全年全县运动员在国际国内大赛中共斩获</w:t>
      </w:r>
      <w:r>
        <w:rPr>
          <w:rFonts w:hint="eastAsia" w:ascii="仿宋_GB2312" w:hAnsi="宋体" w:eastAsia="仿宋_GB2312" w:cs="宋体"/>
          <w:kern w:val="0"/>
          <w:sz w:val="32"/>
          <w:szCs w:val="28"/>
        </w:rPr>
        <w:t>13金、2银；新增一级运动员1人、二级运动员4人；人均体育场地面积达3.0</w:t>
      </w:r>
      <w:r>
        <w:rPr>
          <w:rFonts w:hint="eastAsia" w:ascii="宋体" w:hAnsi="宋体" w:cs="宋体"/>
          <w:kern w:val="0"/>
          <w:sz w:val="32"/>
          <w:szCs w:val="28"/>
        </w:rPr>
        <w:t>㎡；</w:t>
      </w:r>
      <w:r>
        <w:rPr>
          <w:rFonts w:hint="eastAsia" w:ascii="仿宋_GB2312" w:hAnsi="宋体" w:eastAsia="仿宋_GB2312" w:cs="宋体"/>
          <w:kern w:val="0"/>
          <w:sz w:val="32"/>
          <w:szCs w:val="28"/>
        </w:rPr>
        <w:t>全年组织开展“龙 BA”城市篮球联赛、龙岩市体育系统职工运动会、全民健身篮球赛、村BA、村跑等各类全民健身体育赛事活动120余项次，新增社会体育指导员64名，组织开展科学健身志愿服务9余场次；青少年体育蓬勃发展，成功举办长汀县第三十五届中小学生田径比赛、长汀县中小学游泳锦标赛、长汀县足球进校园暨市运会足球选拔赛、龙岩市中小学生网球联赛等青少年赛事；体育彩票年度销售总额达1.02亿元，同比增长28.0%。</w:t>
      </w:r>
    </w:p>
    <w:p w14:paraId="70F26088">
      <w:pPr>
        <w:widowControl/>
        <w:spacing w:beforeLines="100" w:afterLines="100"/>
        <w:jc w:val="center"/>
        <w:rPr>
          <w:rFonts w:ascii="宋体" w:hAnsi="宋体" w:cs="宋体"/>
          <w:b/>
          <w:kern w:val="0"/>
          <w:sz w:val="30"/>
          <w:szCs w:val="30"/>
        </w:rPr>
      </w:pPr>
      <w:r>
        <w:rPr>
          <w:rFonts w:hint="eastAsia" w:ascii="黑体" w:hAnsi="宋体" w:eastAsia="黑体" w:cs="宋体"/>
          <w:kern w:val="0"/>
          <w:sz w:val="32"/>
          <w:szCs w:val="30"/>
        </w:rPr>
        <w:t>十二、资源、环境和应急管理</w:t>
      </w:r>
    </w:p>
    <w:p w14:paraId="584746C3">
      <w:pPr>
        <w:widowControl/>
        <w:spacing w:line="560" w:lineRule="exact"/>
        <w:ind w:firstLine="640" w:firstLineChars="200"/>
        <w:rPr>
          <w:rFonts w:ascii="仿宋_GB2312" w:hAnsi="宋体" w:eastAsia="仿宋_GB2312" w:cs="宋体"/>
          <w:kern w:val="0"/>
          <w:sz w:val="32"/>
          <w:szCs w:val="28"/>
        </w:rPr>
      </w:pPr>
      <w:r>
        <w:rPr>
          <w:rFonts w:hint="eastAsia" w:ascii="仿宋_GB2312" w:hAnsi="宋体" w:eastAsia="仿宋_GB2312" w:cs="宋体"/>
          <w:kern w:val="0"/>
          <w:sz w:val="32"/>
          <w:szCs w:val="28"/>
        </w:rPr>
        <w:t>初步核算，全年规模工业能源消费总量162590吨标准煤，比上年增长5.2%；规模以上工业增加值能耗下降0.7%。全社会用电量184829万千瓦时，增长7.1%，其中，工业用电量96574</w:t>
      </w:r>
      <w:r>
        <w:rPr>
          <w:rFonts w:ascii="仿宋_GB2312" w:hAnsi="宋体" w:eastAsia="仿宋_GB2312" w:cs="宋体"/>
          <w:kern w:val="0"/>
          <w:sz w:val="32"/>
          <w:szCs w:val="28"/>
        </w:rPr>
        <w:t>万千瓦时，</w:t>
      </w:r>
      <w:r>
        <w:rPr>
          <w:rFonts w:hint="eastAsia" w:ascii="仿宋_GB2312" w:hAnsi="宋体" w:eastAsia="仿宋_GB2312" w:cs="宋体"/>
          <w:kern w:val="0"/>
          <w:sz w:val="32"/>
          <w:szCs w:val="28"/>
        </w:rPr>
        <w:t>增长6.0</w:t>
      </w:r>
      <w:r>
        <w:rPr>
          <w:rFonts w:ascii="仿宋_GB2312" w:hAnsi="宋体" w:eastAsia="仿宋_GB2312" w:cs="宋体"/>
          <w:kern w:val="0"/>
          <w:sz w:val="32"/>
          <w:szCs w:val="28"/>
        </w:rPr>
        <w:t>%。</w:t>
      </w:r>
    </w:p>
    <w:p w14:paraId="405B2539">
      <w:pPr>
        <w:widowControl/>
        <w:spacing w:line="560" w:lineRule="exact"/>
        <w:ind w:firstLine="640" w:firstLineChars="200"/>
        <w:rPr>
          <w:rFonts w:ascii="仿宋_GB2312" w:hAnsi="华文仿宋" w:eastAsia="仿宋_GB2312"/>
          <w:color w:val="FF0000"/>
          <w:sz w:val="32"/>
          <w:szCs w:val="28"/>
        </w:rPr>
      </w:pPr>
      <w:r>
        <w:rPr>
          <w:rFonts w:hint="eastAsia" w:ascii="仿宋_GB2312" w:hAnsi="华文仿宋" w:eastAsia="仿宋_GB2312"/>
          <w:sz w:val="32"/>
          <w:szCs w:val="28"/>
        </w:rPr>
        <w:t>全县共有生态公益林112.9万亩，森林覆盖率79.55%。初步建立各级各类自然保护地名录5处，其中国家级自然保护区1处、国家湿地公园1处、省级风景名胜1处、省级森林公园2处。</w:t>
      </w:r>
    </w:p>
    <w:p w14:paraId="51F6653B">
      <w:pPr>
        <w:widowControl/>
        <w:spacing w:line="560" w:lineRule="exact"/>
        <w:ind w:firstLine="640" w:firstLineChars="200"/>
        <w:rPr>
          <w:rFonts w:ascii="仿宋_GB2312" w:hAnsi="宋体" w:eastAsia="仿宋_GB2312" w:cs="宋体"/>
          <w:color w:val="FF0000"/>
          <w:kern w:val="0"/>
          <w:sz w:val="32"/>
          <w:szCs w:val="28"/>
          <w:highlight w:val="yellow"/>
        </w:rPr>
      </w:pPr>
      <w:r>
        <w:rPr>
          <w:rFonts w:hint="eastAsia" w:ascii="仿宋_GB2312" w:hAnsi="华文仿宋" w:eastAsia="仿宋_GB2312"/>
          <w:sz w:val="32"/>
          <w:szCs w:val="28"/>
        </w:rPr>
        <w:t>全年植树造林总面积3.1万亩，其中，人工迹地更新面积2.3万亩，低产低效林改造0.8万亩。全年商品材产量14.2万立方米，增长42.5%；竹林产量4604万根，增长5.0%。</w:t>
      </w:r>
    </w:p>
    <w:p w14:paraId="3E678640">
      <w:pPr>
        <w:widowControl/>
        <w:spacing w:line="560" w:lineRule="exact"/>
        <w:ind w:firstLine="640" w:firstLineChars="200"/>
        <w:rPr>
          <w:rFonts w:ascii="仿宋_GB2312" w:hAnsi="宋体" w:eastAsia="仿宋_GB2312" w:cs="仿宋_GB2312"/>
          <w:color w:val="FF0000"/>
          <w:sz w:val="32"/>
          <w:szCs w:val="28"/>
        </w:rPr>
      </w:pPr>
      <w:r>
        <w:rPr>
          <w:rFonts w:ascii="仿宋_GB2312" w:hAnsi="宋体" w:eastAsia="仿宋_GB2312" w:cs="仿宋_GB2312"/>
          <w:sz w:val="32"/>
          <w:szCs w:val="28"/>
        </w:rPr>
        <w:t>全年水土流失综合治理及生态修复面积任务</w:t>
      </w:r>
      <w:r>
        <w:rPr>
          <w:rFonts w:hint="eastAsia" w:ascii="仿宋_GB2312" w:hAnsi="宋体" w:eastAsia="仿宋_GB2312" w:cs="仿宋_GB2312"/>
          <w:sz w:val="32"/>
          <w:szCs w:val="28"/>
        </w:rPr>
        <w:t>8.5万</w:t>
      </w:r>
      <w:r>
        <w:rPr>
          <w:rFonts w:ascii="仿宋_GB2312" w:hAnsi="宋体" w:eastAsia="仿宋_GB2312" w:cs="仿宋_GB2312"/>
          <w:sz w:val="32"/>
          <w:szCs w:val="28"/>
        </w:rPr>
        <w:t>亩</w:t>
      </w:r>
      <w:r>
        <w:rPr>
          <w:rFonts w:hint="eastAsia" w:ascii="仿宋_GB2312" w:hAnsi="宋体" w:eastAsia="仿宋_GB2312" w:cs="仿宋_GB2312"/>
          <w:sz w:val="32"/>
          <w:szCs w:val="28"/>
        </w:rPr>
        <w:t>，</w:t>
      </w:r>
      <w:r>
        <w:rPr>
          <w:rFonts w:ascii="仿宋_GB2312" w:hAnsi="宋体" w:eastAsia="仿宋_GB2312" w:cs="仿宋_GB2312"/>
          <w:sz w:val="32"/>
          <w:szCs w:val="28"/>
        </w:rPr>
        <w:t>完成</w:t>
      </w:r>
      <w:r>
        <w:rPr>
          <w:rFonts w:hint="eastAsia" w:ascii="仿宋_GB2312" w:hAnsi="宋体" w:eastAsia="仿宋_GB2312" w:cs="仿宋_GB2312"/>
          <w:sz w:val="32"/>
          <w:szCs w:val="28"/>
        </w:rPr>
        <w:t>13.5万亩</w:t>
      </w:r>
      <w:r>
        <w:rPr>
          <w:rFonts w:hint="eastAsia" w:ascii="仿宋_GB2312" w:hAnsi="宋体" w:eastAsia="仿宋_GB2312" w:cs="宋体"/>
          <w:kern w:val="0"/>
          <w:sz w:val="32"/>
          <w:szCs w:val="28"/>
        </w:rPr>
        <w:t>。</w:t>
      </w:r>
    </w:p>
    <w:p w14:paraId="56C66A57">
      <w:pPr>
        <w:widowControl/>
        <w:spacing w:line="560" w:lineRule="exact"/>
        <w:ind w:firstLine="640" w:firstLineChars="200"/>
        <w:rPr>
          <w:rFonts w:ascii="仿宋_GB2312" w:hAnsi="宋体" w:eastAsia="仿宋_GB2312" w:cs="宋体"/>
          <w:kern w:val="0"/>
          <w:sz w:val="32"/>
          <w:szCs w:val="28"/>
          <w:highlight w:val="yellow"/>
        </w:rPr>
      </w:pPr>
      <w:r>
        <w:rPr>
          <w:rFonts w:hint="eastAsia" w:ascii="仿宋_GB2312" w:hAnsi="宋体" w:eastAsia="仿宋_GB2312" w:cs="宋体"/>
          <w:kern w:val="0"/>
          <w:sz w:val="32"/>
          <w:szCs w:val="28"/>
        </w:rPr>
        <w:t>汀江河流域整体水质为优，城市空气质量达到国家环境空气质量标准（GB3095-1996）二级标准。</w:t>
      </w:r>
    </w:p>
    <w:p w14:paraId="42CA818A">
      <w:pPr>
        <w:widowControl/>
        <w:spacing w:line="560" w:lineRule="exact"/>
        <w:ind w:firstLine="640" w:firstLineChars="200"/>
        <w:rPr>
          <w:rFonts w:ascii="仿宋_GB2312" w:hAnsi="华文仿宋" w:eastAsia="仿宋_GB2312"/>
          <w:color w:val="FF0000"/>
          <w:sz w:val="32"/>
          <w:szCs w:val="28"/>
        </w:rPr>
      </w:pPr>
      <w:r>
        <w:rPr>
          <w:rFonts w:hint="eastAsia" w:ascii="仿宋_GB2312" w:hAnsi="宋体" w:eastAsia="仿宋_GB2312" w:cs="宋体"/>
          <w:kern w:val="0"/>
          <w:sz w:val="32"/>
          <w:szCs w:val="28"/>
        </w:rPr>
        <w:t>农村生活垃圾无害化处理率100.0%；城镇污水处理率98.1%，农村集镇污水处理率88.0%。</w:t>
      </w:r>
    </w:p>
    <w:p w14:paraId="06ECD9C0">
      <w:pPr>
        <w:widowControl/>
        <w:spacing w:line="560" w:lineRule="exact"/>
        <w:ind w:firstLine="640" w:firstLineChars="200"/>
        <w:rPr>
          <w:rFonts w:ascii="仿宋_GB2312" w:hAnsi="宋体" w:eastAsia="仿宋_GB2312" w:cs="宋体"/>
          <w:kern w:val="0"/>
          <w:sz w:val="28"/>
          <w:szCs w:val="28"/>
        </w:rPr>
      </w:pPr>
      <w:r>
        <w:rPr>
          <w:rFonts w:hint="eastAsia" w:ascii="仿宋_GB2312" w:hAnsi="宋体" w:eastAsia="仿宋_GB2312" w:cs="宋体"/>
          <w:kern w:val="0"/>
          <w:sz w:val="32"/>
          <w:szCs w:val="28"/>
        </w:rPr>
        <w:t>全年各类生产安全事故共2起，与上年持平；死亡人数2人，增长100.0%。各类较大事故0起，重大事故0起。亿元地区生产总值生产安全事故死亡人数为0.0054人，比上年增长92.5%。</w:t>
      </w:r>
    </w:p>
    <w:p w14:paraId="585B2714">
      <w:pPr>
        <w:ind w:firstLine="480" w:firstLineChars="200"/>
        <w:jc w:val="left"/>
        <w:rPr>
          <w:rFonts w:ascii="楷体_GB2312" w:eastAsia="楷体_GB2312"/>
          <w:kern w:val="0"/>
          <w:sz w:val="24"/>
        </w:rPr>
      </w:pPr>
    </w:p>
    <w:p w14:paraId="27D8FA93">
      <w:pPr>
        <w:ind w:firstLine="480" w:firstLineChars="200"/>
        <w:jc w:val="left"/>
        <w:rPr>
          <w:rFonts w:ascii="楷体_GB2312" w:eastAsia="楷体_GB2312"/>
          <w:kern w:val="0"/>
          <w:sz w:val="24"/>
        </w:rPr>
      </w:pPr>
    </w:p>
    <w:p w14:paraId="231364DD">
      <w:pPr>
        <w:ind w:firstLine="480" w:firstLineChars="200"/>
        <w:jc w:val="left"/>
        <w:rPr>
          <w:rFonts w:ascii="楷体_GB2312" w:eastAsia="楷体_GB2312"/>
          <w:kern w:val="0"/>
          <w:sz w:val="24"/>
        </w:rPr>
      </w:pPr>
    </w:p>
    <w:p w14:paraId="5D6A6BB3">
      <w:pPr>
        <w:ind w:firstLine="480" w:firstLineChars="200"/>
        <w:jc w:val="left"/>
        <w:rPr>
          <w:rFonts w:ascii="楷体_GB2312" w:eastAsia="楷体_GB2312"/>
          <w:kern w:val="0"/>
          <w:sz w:val="24"/>
        </w:rPr>
      </w:pPr>
    </w:p>
    <w:p w14:paraId="313D7C8F">
      <w:pPr>
        <w:ind w:firstLine="480" w:firstLineChars="200"/>
        <w:jc w:val="left"/>
        <w:rPr>
          <w:rFonts w:ascii="楷体_GB2312" w:eastAsia="楷体_GB2312"/>
          <w:kern w:val="0"/>
          <w:sz w:val="24"/>
        </w:rPr>
      </w:pPr>
    </w:p>
    <w:p w14:paraId="1A7B8A5C">
      <w:pPr>
        <w:ind w:firstLine="480" w:firstLineChars="200"/>
        <w:jc w:val="left"/>
        <w:rPr>
          <w:rFonts w:ascii="楷体_GB2312" w:eastAsia="楷体_GB2312"/>
          <w:kern w:val="0"/>
          <w:sz w:val="24"/>
        </w:rPr>
      </w:pPr>
    </w:p>
    <w:p w14:paraId="6E44AC17">
      <w:pPr>
        <w:ind w:firstLine="480" w:firstLineChars="200"/>
        <w:jc w:val="left"/>
        <w:rPr>
          <w:rFonts w:ascii="楷体_GB2312" w:eastAsia="楷体_GB2312"/>
          <w:kern w:val="0"/>
          <w:sz w:val="24"/>
        </w:rPr>
      </w:pPr>
    </w:p>
    <w:p w14:paraId="0448AE51">
      <w:pPr>
        <w:spacing w:line="560" w:lineRule="exact"/>
        <w:ind w:firstLine="480" w:firstLineChars="200"/>
        <w:jc w:val="left"/>
        <w:rPr>
          <w:rFonts w:ascii="仿宋_GB2312" w:eastAsia="仿宋_GB2312"/>
          <w:kern w:val="0"/>
          <w:sz w:val="24"/>
        </w:rPr>
      </w:pPr>
      <w:r>
        <w:rPr>
          <w:rFonts w:hint="eastAsia" w:ascii="仿宋_GB2312" w:eastAsia="仿宋_GB2312"/>
          <w:kern w:val="0"/>
          <w:sz w:val="24"/>
        </w:rPr>
        <w:t>注：</w:t>
      </w:r>
    </w:p>
    <w:p w14:paraId="0EA60724">
      <w:pPr>
        <w:spacing w:line="560" w:lineRule="exact"/>
        <w:ind w:firstLine="480" w:firstLineChars="200"/>
        <w:jc w:val="left"/>
        <w:rPr>
          <w:rFonts w:ascii="仿宋_GB2312" w:eastAsia="仿宋_GB2312"/>
          <w:kern w:val="0"/>
          <w:sz w:val="24"/>
        </w:rPr>
      </w:pPr>
      <w:r>
        <w:rPr>
          <w:rFonts w:hint="eastAsia" w:ascii="仿宋_GB2312" w:eastAsia="仿宋_GB2312"/>
          <w:kern w:val="0"/>
          <w:sz w:val="24"/>
        </w:rPr>
        <w:t xml:space="preserve">1、本公报所列2025年数据为初步统计数，其中一般公共预算支出数据为决算数。 </w:t>
      </w:r>
    </w:p>
    <w:p w14:paraId="09D87575">
      <w:pPr>
        <w:spacing w:line="560" w:lineRule="exact"/>
        <w:ind w:firstLine="480" w:firstLineChars="200"/>
        <w:jc w:val="left"/>
        <w:rPr>
          <w:rFonts w:ascii="仿宋_GB2312" w:eastAsia="仿宋_GB2312"/>
          <w:kern w:val="0"/>
          <w:sz w:val="24"/>
        </w:rPr>
      </w:pPr>
      <w:r>
        <w:rPr>
          <w:rFonts w:hint="eastAsia" w:ascii="仿宋_GB2312" w:eastAsia="仿宋_GB2312"/>
          <w:kern w:val="0"/>
          <w:sz w:val="24"/>
        </w:rPr>
        <w:t>2、本公报地区生产总值、各产业增加值、农林牧渔业总产值总量按现价计算，增长速度按可比价格计算。</w:t>
      </w:r>
    </w:p>
    <w:p w14:paraId="2FFDB520">
      <w:pPr>
        <w:spacing w:line="560" w:lineRule="exact"/>
        <w:ind w:firstLine="480" w:firstLineChars="200"/>
        <w:rPr>
          <w:rFonts w:ascii="仿宋_GB2312" w:eastAsia="仿宋_GB2312"/>
          <w:kern w:val="0"/>
          <w:sz w:val="24"/>
        </w:rPr>
      </w:pPr>
      <w:r>
        <w:rPr>
          <w:rFonts w:hint="eastAsia" w:ascii="仿宋_GB2312" w:eastAsia="仿宋_GB2312"/>
          <w:kern w:val="0"/>
          <w:sz w:val="24"/>
        </w:rPr>
        <w:t xml:space="preserve">资料来源： </w:t>
      </w:r>
    </w:p>
    <w:p w14:paraId="1A375C7A">
      <w:pPr>
        <w:spacing w:line="560" w:lineRule="exact"/>
        <w:ind w:firstLine="480" w:firstLineChars="200"/>
        <w:rPr>
          <w:rFonts w:ascii="仿宋_GB2312" w:eastAsia="仿宋_GB2312"/>
          <w:sz w:val="32"/>
          <w:szCs w:val="32"/>
        </w:rPr>
      </w:pPr>
      <w:r>
        <w:rPr>
          <w:rFonts w:hint="eastAsia" w:ascii="仿宋_GB2312" w:eastAsia="仿宋_GB2312"/>
          <w:kern w:val="0"/>
          <w:sz w:val="24"/>
        </w:rPr>
        <w:t>本公报中城镇新增就业、登记失业率、社会保障数据来自人社局；财政数据来自财政局；公路运输周转量等数据来自交通运输局；铁路数据来自南昌铁路局长汀工务段；户籍人口、民用汽车数据来自公安局；城市生活垃圾无害化处理率、污水处理率数据来自住建局；网络零售额、进出口、外商直接投资等数据来自商务局；邮政业务总量等数据来自邮政管理局；货币金融、保险业数据来自国家金融监督管理总局长汀监管支局；科技计划项目、科技项目经费等数据来自工信科技局；教育数据来自教育局；专利、质量检验数据来自市场监督管理局；旅游、艺术表演团体、影剧院、公共图书馆、体育等数据来自文体旅游局；卫生数据来自卫健局；低保数据来自民政局；安全生产数据来自应急管理局；林业数据来自林业局；医保数据来自医保中心；其他数据来自长汀县统计局。</w:t>
      </w:r>
    </w:p>
    <w:p w14:paraId="65ED5606"/>
    <w:sectPr>
      <w:footerReference r:id="rId5" w:type="first"/>
      <w:footerReference r:id="rId3" w:type="default"/>
      <w:footerReference r:id="rId4" w:type="even"/>
      <w:pgSz w:w="11906" w:h="16838"/>
      <w:pgMar w:top="2098" w:right="1474" w:bottom="1985" w:left="1588" w:header="851" w:footer="992" w:gutter="0"/>
      <w:pgNumType w:start="1"/>
      <w:cols w:space="425" w:num="1"/>
      <w:titlePg/>
      <w:docGrid w:type="lines" w:linePitch="2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52B13">
    <w:pPr>
      <w:pStyle w:val="3"/>
      <w:jc w:val="center"/>
    </w:pPr>
    <w:r>
      <w:fldChar w:fldCharType="begin"/>
    </w:r>
    <w:r>
      <w:instrText xml:space="preserve">PAGE   \* MERGEFORMAT</w:instrText>
    </w:r>
    <w:r>
      <w:fldChar w:fldCharType="separate"/>
    </w:r>
    <w:r>
      <w:rPr>
        <w:lang w:val="zh-CN"/>
      </w:rPr>
      <w:t>20</w:t>
    </w:r>
    <w:r>
      <w:rPr>
        <w:lang w:val="zh-CN"/>
      </w:rPr>
      <w:fldChar w:fldCharType="end"/>
    </w:r>
  </w:p>
  <w:p w14:paraId="5610F6DD">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0BD4">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13DF8B72">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93126"/>
      <w:docPartObj>
        <w:docPartGallery w:val="AutoText"/>
      </w:docPartObj>
    </w:sdtPr>
    <w:sdtContent>
      <w:p w14:paraId="23FDA26A">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14:paraId="5CAE341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28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A40A2"/>
    <w:rsid w:val="0000505F"/>
    <w:rsid w:val="00017390"/>
    <w:rsid w:val="00017A94"/>
    <w:rsid w:val="00024E93"/>
    <w:rsid w:val="000326A6"/>
    <w:rsid w:val="00033809"/>
    <w:rsid w:val="00051431"/>
    <w:rsid w:val="00051EE2"/>
    <w:rsid w:val="0005689C"/>
    <w:rsid w:val="0006138D"/>
    <w:rsid w:val="00062F61"/>
    <w:rsid w:val="000728A4"/>
    <w:rsid w:val="00073A30"/>
    <w:rsid w:val="00077EED"/>
    <w:rsid w:val="00085D43"/>
    <w:rsid w:val="000917B8"/>
    <w:rsid w:val="000A598B"/>
    <w:rsid w:val="000D1509"/>
    <w:rsid w:val="000D3566"/>
    <w:rsid w:val="000F2FA8"/>
    <w:rsid w:val="00111B8F"/>
    <w:rsid w:val="00142E14"/>
    <w:rsid w:val="001612D1"/>
    <w:rsid w:val="00166889"/>
    <w:rsid w:val="00183D87"/>
    <w:rsid w:val="001C7C6E"/>
    <w:rsid w:val="001E13FF"/>
    <w:rsid w:val="001E5082"/>
    <w:rsid w:val="00201158"/>
    <w:rsid w:val="00215E3D"/>
    <w:rsid w:val="00224C42"/>
    <w:rsid w:val="0023680D"/>
    <w:rsid w:val="002428F0"/>
    <w:rsid w:val="00260D75"/>
    <w:rsid w:val="00286C2C"/>
    <w:rsid w:val="002937CA"/>
    <w:rsid w:val="002A0908"/>
    <w:rsid w:val="002A40A2"/>
    <w:rsid w:val="002B40F3"/>
    <w:rsid w:val="002B606E"/>
    <w:rsid w:val="002D126D"/>
    <w:rsid w:val="002E409D"/>
    <w:rsid w:val="00302DA5"/>
    <w:rsid w:val="00303F94"/>
    <w:rsid w:val="00307AF9"/>
    <w:rsid w:val="00316C37"/>
    <w:rsid w:val="003274C0"/>
    <w:rsid w:val="00350D76"/>
    <w:rsid w:val="00351295"/>
    <w:rsid w:val="003632C5"/>
    <w:rsid w:val="00376220"/>
    <w:rsid w:val="003B01A3"/>
    <w:rsid w:val="003C115C"/>
    <w:rsid w:val="003C4372"/>
    <w:rsid w:val="003F42BC"/>
    <w:rsid w:val="00407AA5"/>
    <w:rsid w:val="00421586"/>
    <w:rsid w:val="00422ED0"/>
    <w:rsid w:val="0043015A"/>
    <w:rsid w:val="00435F2C"/>
    <w:rsid w:val="004474DD"/>
    <w:rsid w:val="00450466"/>
    <w:rsid w:val="00464463"/>
    <w:rsid w:val="0048541D"/>
    <w:rsid w:val="004A57D4"/>
    <w:rsid w:val="004B297F"/>
    <w:rsid w:val="004B31A1"/>
    <w:rsid w:val="004F078B"/>
    <w:rsid w:val="004F192B"/>
    <w:rsid w:val="0050795A"/>
    <w:rsid w:val="00514065"/>
    <w:rsid w:val="0052442A"/>
    <w:rsid w:val="005511A8"/>
    <w:rsid w:val="00561B67"/>
    <w:rsid w:val="00590110"/>
    <w:rsid w:val="00593D07"/>
    <w:rsid w:val="005C05A0"/>
    <w:rsid w:val="005E7A48"/>
    <w:rsid w:val="005F39E1"/>
    <w:rsid w:val="00601FBA"/>
    <w:rsid w:val="00606F13"/>
    <w:rsid w:val="00611684"/>
    <w:rsid w:val="00612F55"/>
    <w:rsid w:val="0061513B"/>
    <w:rsid w:val="00616282"/>
    <w:rsid w:val="00625EDB"/>
    <w:rsid w:val="00627985"/>
    <w:rsid w:val="00634553"/>
    <w:rsid w:val="0063684E"/>
    <w:rsid w:val="00644D39"/>
    <w:rsid w:val="006452EB"/>
    <w:rsid w:val="00647903"/>
    <w:rsid w:val="0064794C"/>
    <w:rsid w:val="00652832"/>
    <w:rsid w:val="00653D23"/>
    <w:rsid w:val="00653EF3"/>
    <w:rsid w:val="00677A26"/>
    <w:rsid w:val="00677DB0"/>
    <w:rsid w:val="006940BA"/>
    <w:rsid w:val="006946C4"/>
    <w:rsid w:val="006A0C72"/>
    <w:rsid w:val="006B166A"/>
    <w:rsid w:val="006B4526"/>
    <w:rsid w:val="006B6A9F"/>
    <w:rsid w:val="006C4E6B"/>
    <w:rsid w:val="006C77EE"/>
    <w:rsid w:val="006F24C3"/>
    <w:rsid w:val="006F28A8"/>
    <w:rsid w:val="006F3768"/>
    <w:rsid w:val="006F78DB"/>
    <w:rsid w:val="007202DF"/>
    <w:rsid w:val="007253FA"/>
    <w:rsid w:val="00744BCC"/>
    <w:rsid w:val="00744C39"/>
    <w:rsid w:val="00767525"/>
    <w:rsid w:val="00770542"/>
    <w:rsid w:val="007E7A89"/>
    <w:rsid w:val="00802156"/>
    <w:rsid w:val="008107B6"/>
    <w:rsid w:val="008211C2"/>
    <w:rsid w:val="00835076"/>
    <w:rsid w:val="00846331"/>
    <w:rsid w:val="00855645"/>
    <w:rsid w:val="00861AAE"/>
    <w:rsid w:val="00875DDA"/>
    <w:rsid w:val="00884876"/>
    <w:rsid w:val="008A423D"/>
    <w:rsid w:val="008C1CF5"/>
    <w:rsid w:val="008D36F3"/>
    <w:rsid w:val="008E4268"/>
    <w:rsid w:val="008E6ED4"/>
    <w:rsid w:val="008E7467"/>
    <w:rsid w:val="008F292A"/>
    <w:rsid w:val="008F769F"/>
    <w:rsid w:val="00905A03"/>
    <w:rsid w:val="0091253A"/>
    <w:rsid w:val="00923A04"/>
    <w:rsid w:val="00942BB2"/>
    <w:rsid w:val="009545A4"/>
    <w:rsid w:val="00974A51"/>
    <w:rsid w:val="00982D99"/>
    <w:rsid w:val="009A3C79"/>
    <w:rsid w:val="009A703F"/>
    <w:rsid w:val="009B3FAA"/>
    <w:rsid w:val="009D7A1C"/>
    <w:rsid w:val="00A02CA8"/>
    <w:rsid w:val="00A120ED"/>
    <w:rsid w:val="00A16212"/>
    <w:rsid w:val="00A221DC"/>
    <w:rsid w:val="00A2542F"/>
    <w:rsid w:val="00A2587C"/>
    <w:rsid w:val="00A5073D"/>
    <w:rsid w:val="00A521B1"/>
    <w:rsid w:val="00A61F2F"/>
    <w:rsid w:val="00A65A88"/>
    <w:rsid w:val="00A77C2D"/>
    <w:rsid w:val="00A94605"/>
    <w:rsid w:val="00AA07FB"/>
    <w:rsid w:val="00AA48D1"/>
    <w:rsid w:val="00AA512D"/>
    <w:rsid w:val="00AB1C77"/>
    <w:rsid w:val="00AB2E0E"/>
    <w:rsid w:val="00AC228A"/>
    <w:rsid w:val="00AC2AF4"/>
    <w:rsid w:val="00AD00CC"/>
    <w:rsid w:val="00AD5E52"/>
    <w:rsid w:val="00AE1453"/>
    <w:rsid w:val="00B074EA"/>
    <w:rsid w:val="00B2252E"/>
    <w:rsid w:val="00B33807"/>
    <w:rsid w:val="00B40CE4"/>
    <w:rsid w:val="00B41A19"/>
    <w:rsid w:val="00B46733"/>
    <w:rsid w:val="00B650B8"/>
    <w:rsid w:val="00B65E9F"/>
    <w:rsid w:val="00B92497"/>
    <w:rsid w:val="00BA1E48"/>
    <w:rsid w:val="00BA7161"/>
    <w:rsid w:val="00BB38F7"/>
    <w:rsid w:val="00BD09D7"/>
    <w:rsid w:val="00BF17A1"/>
    <w:rsid w:val="00C13BA7"/>
    <w:rsid w:val="00C72A73"/>
    <w:rsid w:val="00CA4E43"/>
    <w:rsid w:val="00CB75B1"/>
    <w:rsid w:val="00CD5F3F"/>
    <w:rsid w:val="00CF0A0F"/>
    <w:rsid w:val="00CF6425"/>
    <w:rsid w:val="00CF7851"/>
    <w:rsid w:val="00CF7FFC"/>
    <w:rsid w:val="00D16C60"/>
    <w:rsid w:val="00D45967"/>
    <w:rsid w:val="00D553B1"/>
    <w:rsid w:val="00D63E3A"/>
    <w:rsid w:val="00D73BFC"/>
    <w:rsid w:val="00DA6980"/>
    <w:rsid w:val="00DB224D"/>
    <w:rsid w:val="00DB5F9A"/>
    <w:rsid w:val="00DC3319"/>
    <w:rsid w:val="00DC3D41"/>
    <w:rsid w:val="00DD4D71"/>
    <w:rsid w:val="00DD73D2"/>
    <w:rsid w:val="00DF4E0C"/>
    <w:rsid w:val="00DF5D42"/>
    <w:rsid w:val="00E018DB"/>
    <w:rsid w:val="00E15C1F"/>
    <w:rsid w:val="00E17D77"/>
    <w:rsid w:val="00E23A0A"/>
    <w:rsid w:val="00E313FC"/>
    <w:rsid w:val="00E471B0"/>
    <w:rsid w:val="00E640F9"/>
    <w:rsid w:val="00E720E6"/>
    <w:rsid w:val="00E86436"/>
    <w:rsid w:val="00EB456B"/>
    <w:rsid w:val="00EC1707"/>
    <w:rsid w:val="00ED0094"/>
    <w:rsid w:val="00EE42A5"/>
    <w:rsid w:val="00EE530F"/>
    <w:rsid w:val="00EF6E8E"/>
    <w:rsid w:val="00F13E5C"/>
    <w:rsid w:val="00F15D3A"/>
    <w:rsid w:val="00F20A88"/>
    <w:rsid w:val="00F33742"/>
    <w:rsid w:val="00F420D9"/>
    <w:rsid w:val="00F57C69"/>
    <w:rsid w:val="00F67669"/>
    <w:rsid w:val="00F706BA"/>
    <w:rsid w:val="00F711DC"/>
    <w:rsid w:val="00FB7BB5"/>
    <w:rsid w:val="00FD4D4A"/>
    <w:rsid w:val="00FE10BB"/>
    <w:rsid w:val="6D161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批注框文本 Char"/>
    <w:basedOn w:val="6"/>
    <w:link w:val="2"/>
    <w:semiHidden/>
    <w:uiPriority w:val="99"/>
    <w:rPr>
      <w:rFonts w:ascii="Times New Roman" w:hAnsi="Times New Roman" w:eastAsia="宋体" w:cs="Times New Roman"/>
      <w:sz w:val="18"/>
      <w:szCs w:val="18"/>
    </w:rPr>
  </w:style>
  <w:style w:type="character" w:customStyle="1" w:styleId="10">
    <w:name w:val="页眉 Char"/>
    <w:basedOn w:val="6"/>
    <w:link w:val="4"/>
    <w:semiHidden/>
    <w:uiPriority w:val="99"/>
    <w:rPr>
      <w:rFonts w:ascii="Times New Roman" w:hAnsi="Times New Roman" w:eastAsia="宋体" w:cs="Times New Roman"/>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2A809-6D11-4F1F-BEAF-BF7985438A4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2362</Words>
  <Characters>3184</Characters>
  <Lines>47</Lines>
  <Paragraphs>13</Paragraphs>
  <TotalTime>825</TotalTime>
  <ScaleCrop>false</ScaleCrop>
  <LinksUpToDate>false</LinksUpToDate>
  <CharactersWithSpaces>3204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2026-02-25T01:28:00Z</dcterms:created>
  <dc:creator>微软用户</dc:creator>
  <cp:lastModifiedBy>。</cp:lastModifiedBy>
  <dcterms:modified xsi:type="dcterms:W3CDTF">2026-05-18T03:05:37Z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eyJoZGlkIjoiNzU3YTUzOTkxODQ1NDMzZjUyNjA0Mjg3ODVjYzAwMWUiLCJ1c2VySWQiOiI0MDIwNzAyMjYifQ==</vt:lpwstr>
  </property>
  <property fmtid="{D5CDD505-2E9C-101B-9397-08002B2CF9AE}" pid="3" name="KSOProductBuildVer">
    <vt:lpwstr>2052-12.1.0.25865</vt:lpwstr>
  </property>
  <property fmtid="{D5CDD505-2E9C-101B-9397-08002B2CF9AE}" pid="4" name="ICV">
    <vt:lpwstr>517836735DD943B7B1AB4F0B66F5DB5C_12</vt:lpwstr>
  </property>
</Properties>
</file>