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12" w:rsidRDefault="000D34B2">
      <w:pPr>
        <w:rPr>
          <w:rFonts w:ascii="黑体" w:eastAsia="黑体" w:hAnsi="黑体" w:cs="黑体"/>
          <w:sz w:val="32"/>
          <w:szCs w:val="32"/>
        </w:rPr>
      </w:pPr>
      <w:bookmarkStart w:id="0" w:name="OLE_LINK3"/>
      <w:r>
        <w:rPr>
          <w:rFonts w:ascii="黑体" w:eastAsia="黑体" w:hAnsi="黑体" w:cs="黑体" w:hint="eastAsia"/>
          <w:sz w:val="32"/>
          <w:szCs w:val="32"/>
        </w:rPr>
        <w:t>附件：</w:t>
      </w:r>
    </w:p>
    <w:p w:rsidR="00B23312" w:rsidRDefault="00B23312">
      <w:pPr>
        <w:ind w:firstLineChars="200" w:firstLine="964"/>
        <w:rPr>
          <w:b/>
          <w:bCs/>
          <w:sz w:val="48"/>
          <w:szCs w:val="48"/>
        </w:rPr>
      </w:pPr>
    </w:p>
    <w:p w:rsidR="00B23312" w:rsidRDefault="00B23312">
      <w:pPr>
        <w:ind w:firstLineChars="200" w:firstLine="964"/>
        <w:rPr>
          <w:b/>
          <w:bCs/>
          <w:sz w:val="48"/>
          <w:szCs w:val="48"/>
        </w:rPr>
      </w:pPr>
    </w:p>
    <w:p w:rsidR="00B23312" w:rsidRDefault="00B23312">
      <w:pPr>
        <w:ind w:firstLineChars="200" w:firstLine="964"/>
        <w:rPr>
          <w:b/>
          <w:bCs/>
          <w:sz w:val="48"/>
          <w:szCs w:val="48"/>
        </w:rPr>
      </w:pPr>
    </w:p>
    <w:p w:rsidR="00B23312" w:rsidRDefault="000D34B2">
      <w:pPr>
        <w:jc w:val="center"/>
        <w:rPr>
          <w:b/>
          <w:bCs/>
          <w:sz w:val="72"/>
          <w:szCs w:val="72"/>
        </w:rPr>
      </w:pPr>
      <w:r>
        <w:rPr>
          <w:rFonts w:ascii="黑体" w:eastAsia="黑体" w:hAnsi="黑体" w:cs="黑体" w:hint="eastAsia"/>
          <w:sz w:val="72"/>
          <w:szCs w:val="72"/>
        </w:rPr>
        <w:t>福建省长汀县</w:t>
      </w:r>
    </w:p>
    <w:p w:rsidR="00B23312" w:rsidRDefault="00B23312">
      <w:pPr>
        <w:jc w:val="center"/>
        <w:rPr>
          <w:b/>
          <w:bCs/>
          <w:sz w:val="72"/>
          <w:szCs w:val="72"/>
        </w:rPr>
      </w:pPr>
    </w:p>
    <w:p w:rsidR="00B23312" w:rsidRDefault="000D34B2">
      <w:pPr>
        <w:jc w:val="center"/>
        <w:rPr>
          <w:rFonts w:ascii="黑体" w:eastAsia="黑体" w:hAnsi="黑体" w:cs="黑体"/>
          <w:sz w:val="52"/>
          <w:szCs w:val="52"/>
        </w:rPr>
      </w:pPr>
      <w:r>
        <w:rPr>
          <w:rFonts w:ascii="黑体" w:eastAsia="黑体" w:hAnsi="黑体" w:cs="黑体"/>
          <w:sz w:val="52"/>
          <w:szCs w:val="52"/>
        </w:rPr>
        <w:t>202</w:t>
      </w:r>
      <w:r>
        <w:rPr>
          <w:rFonts w:ascii="黑体" w:eastAsia="黑体" w:hAnsi="黑体" w:cs="黑体" w:hint="eastAsia"/>
          <w:sz w:val="52"/>
          <w:szCs w:val="52"/>
        </w:rPr>
        <w:t>4</w:t>
      </w:r>
      <w:r>
        <w:rPr>
          <w:rFonts w:ascii="黑体" w:eastAsia="黑体" w:hAnsi="黑体" w:cs="黑体" w:hint="eastAsia"/>
          <w:sz w:val="52"/>
          <w:szCs w:val="52"/>
        </w:rPr>
        <w:t>年度国有建设用地</w:t>
      </w:r>
    </w:p>
    <w:p w:rsidR="00B23312" w:rsidRDefault="000D34B2">
      <w:pPr>
        <w:jc w:val="center"/>
        <w:rPr>
          <w:rFonts w:ascii="黑体" w:eastAsia="黑体" w:hAnsi="黑体" w:cs="黑体"/>
          <w:sz w:val="72"/>
          <w:szCs w:val="72"/>
        </w:rPr>
      </w:pPr>
      <w:r>
        <w:rPr>
          <w:rFonts w:ascii="黑体" w:eastAsia="黑体" w:hAnsi="黑体" w:cs="黑体" w:hint="eastAsia"/>
          <w:sz w:val="52"/>
          <w:szCs w:val="52"/>
        </w:rPr>
        <w:t>供应计划</w:t>
      </w: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B23312">
      <w:pPr>
        <w:ind w:firstLineChars="200" w:firstLine="723"/>
        <w:rPr>
          <w:b/>
          <w:bCs/>
          <w:sz w:val="36"/>
          <w:szCs w:val="36"/>
        </w:rPr>
      </w:pPr>
    </w:p>
    <w:p w:rsidR="00B23312" w:rsidRDefault="000D34B2">
      <w:pPr>
        <w:jc w:val="center"/>
        <w:rPr>
          <w:sz w:val="36"/>
          <w:szCs w:val="36"/>
        </w:rPr>
      </w:pPr>
      <w:r>
        <w:rPr>
          <w:rFonts w:hint="eastAsia"/>
          <w:sz w:val="36"/>
          <w:szCs w:val="36"/>
        </w:rPr>
        <w:t>长汀县自然资源局</w:t>
      </w:r>
    </w:p>
    <w:p w:rsidR="00B23312" w:rsidRDefault="000D34B2">
      <w:pPr>
        <w:jc w:val="center"/>
        <w:rPr>
          <w:sz w:val="36"/>
          <w:szCs w:val="36"/>
        </w:rPr>
      </w:pPr>
      <w:r>
        <w:rPr>
          <w:rFonts w:hint="eastAsia"/>
          <w:sz w:val="36"/>
          <w:szCs w:val="36"/>
        </w:rPr>
        <w:t>二○二</w:t>
      </w:r>
      <w:r>
        <w:rPr>
          <w:rFonts w:hint="eastAsia"/>
          <w:sz w:val="36"/>
          <w:szCs w:val="36"/>
        </w:rPr>
        <w:t>四</w:t>
      </w:r>
      <w:r>
        <w:rPr>
          <w:rFonts w:hint="eastAsia"/>
          <w:sz w:val="36"/>
          <w:szCs w:val="36"/>
        </w:rPr>
        <w:t>年</w:t>
      </w:r>
      <w:r>
        <w:rPr>
          <w:rFonts w:hint="eastAsia"/>
          <w:sz w:val="36"/>
          <w:szCs w:val="36"/>
        </w:rPr>
        <w:t>三</w:t>
      </w:r>
      <w:r>
        <w:rPr>
          <w:rFonts w:hint="eastAsia"/>
          <w:sz w:val="36"/>
          <w:szCs w:val="36"/>
        </w:rPr>
        <w:t>月</w:t>
      </w:r>
    </w:p>
    <w:p w:rsidR="00B23312" w:rsidRDefault="00B23312">
      <w:pPr>
        <w:ind w:firstLineChars="200" w:firstLine="723"/>
        <w:rPr>
          <w:b/>
          <w:bCs/>
          <w:sz w:val="36"/>
          <w:szCs w:val="36"/>
        </w:rPr>
      </w:pPr>
    </w:p>
    <w:p w:rsidR="00B23312" w:rsidRDefault="00B23312">
      <w:pPr>
        <w:ind w:firstLineChars="200" w:firstLine="600"/>
        <w:rPr>
          <w:sz w:val="30"/>
          <w:szCs w:val="30"/>
        </w:rPr>
      </w:pPr>
    </w:p>
    <w:p w:rsidR="00B23312" w:rsidRDefault="00B23312">
      <w:pPr>
        <w:ind w:firstLineChars="200" w:firstLine="600"/>
        <w:rPr>
          <w:sz w:val="30"/>
          <w:szCs w:val="30"/>
        </w:rPr>
        <w:sectPr w:rsidR="00B23312">
          <w:footerReference w:type="default" r:id="rId8"/>
          <w:pgSz w:w="11906" w:h="16838"/>
          <w:pgMar w:top="1440" w:right="1800" w:bottom="1440" w:left="1800" w:header="851" w:footer="992" w:gutter="0"/>
          <w:cols w:space="720"/>
          <w:docGrid w:type="lines" w:linePitch="312"/>
        </w:sectPr>
      </w:pPr>
    </w:p>
    <w:sdt>
      <w:sdtPr>
        <w:rPr>
          <w:rFonts w:ascii="Calibri" w:eastAsia="宋体" w:hAnsi="Calibri" w:cs="Times New Roman"/>
          <w:color w:val="auto"/>
          <w:kern w:val="2"/>
          <w:sz w:val="21"/>
          <w:szCs w:val="24"/>
          <w:lang w:val="zh-CN"/>
        </w:rPr>
        <w:id w:val="-1648271953"/>
        <w:docPartObj>
          <w:docPartGallery w:val="Table of Contents"/>
          <w:docPartUnique/>
        </w:docPartObj>
      </w:sdtPr>
      <w:sdtEndPr>
        <w:rPr>
          <w:b/>
          <w:bCs/>
        </w:rPr>
      </w:sdtEndPr>
      <w:sdtContent>
        <w:p w:rsidR="00B23312" w:rsidRDefault="000D34B2">
          <w:pPr>
            <w:pStyle w:val="TOC1"/>
            <w:jc w:val="center"/>
            <w:rPr>
              <w:color w:val="auto"/>
              <w:sz w:val="36"/>
              <w:szCs w:val="36"/>
            </w:rPr>
          </w:pPr>
          <w:r>
            <w:rPr>
              <w:color w:val="auto"/>
              <w:sz w:val="36"/>
              <w:szCs w:val="36"/>
              <w:lang w:val="zh-CN"/>
            </w:rPr>
            <w:t>目</w:t>
          </w:r>
          <w:r>
            <w:rPr>
              <w:color w:val="auto"/>
              <w:sz w:val="36"/>
              <w:szCs w:val="36"/>
              <w:lang w:val="zh-CN"/>
            </w:rPr>
            <w:t xml:space="preserve"> </w:t>
          </w:r>
          <w:r>
            <w:rPr>
              <w:color w:val="auto"/>
              <w:sz w:val="36"/>
              <w:szCs w:val="36"/>
              <w:lang w:val="zh-CN"/>
            </w:rPr>
            <w:t>录</w:t>
          </w:r>
        </w:p>
        <w:p w:rsidR="00B23312" w:rsidRDefault="00B23312">
          <w:pPr>
            <w:pStyle w:val="20"/>
            <w:tabs>
              <w:tab w:val="right" w:leader="dot" w:pos="8306"/>
            </w:tabs>
          </w:pPr>
          <w:r w:rsidRPr="00B23312">
            <w:fldChar w:fldCharType="begin"/>
          </w:r>
          <w:r w:rsidR="000D34B2">
            <w:instrText xml:space="preserve"> TOC \o "1-3" \h \z \u </w:instrText>
          </w:r>
          <w:r w:rsidRPr="00B23312">
            <w:fldChar w:fldCharType="separate"/>
          </w:r>
          <w:hyperlink w:anchor="_Toc21509" w:history="1">
            <w:r w:rsidR="000D34B2">
              <w:rPr>
                <w:rFonts w:ascii="仿宋_GB2312" w:eastAsia="仿宋_GB2312" w:hAnsi="仿宋_GB2312" w:cs="仿宋_GB2312" w:hint="eastAsia"/>
              </w:rPr>
              <w:t>一、计划的目的、意义和编制依据</w:t>
            </w:r>
            <w:r w:rsidR="000D34B2">
              <w:tab/>
            </w:r>
            <w:r>
              <w:fldChar w:fldCharType="begin"/>
            </w:r>
            <w:r w:rsidR="000D34B2">
              <w:instrText xml:space="preserve"> PAGEREF _Toc21509 \h </w:instrText>
            </w:r>
            <w:r>
              <w:fldChar w:fldCharType="separate"/>
            </w:r>
            <w:r w:rsidR="000D34B2">
              <w:t>- 1 -</w:t>
            </w:r>
            <w:r>
              <w:fldChar w:fldCharType="end"/>
            </w:r>
          </w:hyperlink>
        </w:p>
        <w:p w:rsidR="00B23312" w:rsidRDefault="00B23312">
          <w:pPr>
            <w:pStyle w:val="20"/>
            <w:tabs>
              <w:tab w:val="right" w:leader="dot" w:pos="8306"/>
            </w:tabs>
          </w:pPr>
          <w:hyperlink w:anchor="_Toc9321" w:history="1">
            <w:r w:rsidR="000D34B2">
              <w:rPr>
                <w:rFonts w:ascii="仿宋_GB2312" w:eastAsia="仿宋_GB2312" w:hAnsi="仿宋_GB2312" w:cs="仿宋_GB2312" w:hint="eastAsia"/>
              </w:rPr>
              <w:t>（一）计划的目的、意义</w:t>
            </w:r>
            <w:r w:rsidR="000D34B2">
              <w:tab/>
            </w:r>
            <w:r>
              <w:fldChar w:fldCharType="begin"/>
            </w:r>
            <w:r w:rsidR="000D34B2">
              <w:instrText xml:space="preserve"> PAGEREF _Toc9321 \h </w:instrText>
            </w:r>
            <w:r>
              <w:fldChar w:fldCharType="separate"/>
            </w:r>
            <w:r w:rsidR="000D34B2">
              <w:t>- 1 -</w:t>
            </w:r>
            <w:r>
              <w:fldChar w:fldCharType="end"/>
            </w:r>
          </w:hyperlink>
        </w:p>
        <w:p w:rsidR="00B23312" w:rsidRDefault="00B23312">
          <w:pPr>
            <w:pStyle w:val="20"/>
            <w:tabs>
              <w:tab w:val="right" w:leader="dot" w:pos="8306"/>
            </w:tabs>
          </w:pPr>
          <w:hyperlink w:anchor="_Toc31685" w:history="1">
            <w:r w:rsidR="000D34B2">
              <w:rPr>
                <w:rFonts w:ascii="仿宋_GB2312" w:eastAsia="仿宋_GB2312" w:hAnsi="仿宋_GB2312" w:cs="仿宋_GB2312" w:hint="eastAsia"/>
              </w:rPr>
              <w:t>（二）编制依据</w:t>
            </w:r>
            <w:r w:rsidR="000D34B2">
              <w:tab/>
            </w:r>
            <w:r>
              <w:fldChar w:fldCharType="begin"/>
            </w:r>
            <w:r w:rsidR="000D34B2">
              <w:instrText xml:space="preserve"> PAGEREF _Toc31685 \h </w:instrText>
            </w:r>
            <w:r>
              <w:fldChar w:fldCharType="separate"/>
            </w:r>
            <w:r w:rsidR="000D34B2">
              <w:t>- 2 -</w:t>
            </w:r>
            <w:r>
              <w:fldChar w:fldCharType="end"/>
            </w:r>
          </w:hyperlink>
        </w:p>
        <w:p w:rsidR="00B23312" w:rsidRDefault="00B23312">
          <w:pPr>
            <w:pStyle w:val="20"/>
            <w:tabs>
              <w:tab w:val="right" w:leader="dot" w:pos="8306"/>
            </w:tabs>
          </w:pPr>
          <w:hyperlink w:anchor="_Toc22730" w:history="1">
            <w:r w:rsidR="000D34B2">
              <w:rPr>
                <w:rFonts w:ascii="仿宋_GB2312" w:eastAsia="仿宋_GB2312" w:hAnsi="仿宋_GB2312" w:cs="仿宋_GB2312" w:hint="eastAsia"/>
              </w:rPr>
              <w:t>二、指导思想和基本原则</w:t>
            </w:r>
            <w:r w:rsidR="000D34B2">
              <w:tab/>
            </w:r>
            <w:r>
              <w:fldChar w:fldCharType="begin"/>
            </w:r>
            <w:r w:rsidR="000D34B2">
              <w:instrText xml:space="preserve"> PAGEREF _Toc22730 \h </w:instrText>
            </w:r>
            <w:r>
              <w:fldChar w:fldCharType="separate"/>
            </w:r>
            <w:r w:rsidR="000D34B2">
              <w:t>- 4 -</w:t>
            </w:r>
            <w:r>
              <w:fldChar w:fldCharType="end"/>
            </w:r>
          </w:hyperlink>
        </w:p>
        <w:p w:rsidR="00B23312" w:rsidRDefault="00B23312">
          <w:pPr>
            <w:pStyle w:val="20"/>
            <w:tabs>
              <w:tab w:val="right" w:leader="dot" w:pos="8306"/>
            </w:tabs>
          </w:pPr>
          <w:hyperlink w:anchor="_Toc8797" w:history="1">
            <w:r w:rsidR="000D34B2">
              <w:rPr>
                <w:rFonts w:ascii="仿宋_GB2312" w:eastAsia="仿宋_GB2312" w:hAnsi="仿宋_GB2312" w:cs="仿宋_GB2312" w:hint="eastAsia"/>
              </w:rPr>
              <w:t>（一）指导思想</w:t>
            </w:r>
            <w:r w:rsidR="000D34B2">
              <w:tab/>
            </w:r>
            <w:r>
              <w:fldChar w:fldCharType="begin"/>
            </w:r>
            <w:r w:rsidR="000D34B2">
              <w:instrText xml:space="preserve"> PAGEREF _Toc8797 \h </w:instrText>
            </w:r>
            <w:r>
              <w:fldChar w:fldCharType="separate"/>
            </w:r>
            <w:r w:rsidR="000D34B2">
              <w:t>- 4 -</w:t>
            </w:r>
            <w:r>
              <w:fldChar w:fldCharType="end"/>
            </w:r>
          </w:hyperlink>
        </w:p>
        <w:p w:rsidR="00B23312" w:rsidRDefault="00B23312">
          <w:pPr>
            <w:pStyle w:val="20"/>
            <w:tabs>
              <w:tab w:val="right" w:leader="dot" w:pos="8306"/>
            </w:tabs>
          </w:pPr>
          <w:hyperlink w:anchor="_Toc17900" w:history="1">
            <w:r w:rsidR="000D34B2">
              <w:rPr>
                <w:rFonts w:ascii="仿宋_GB2312" w:eastAsia="仿宋_GB2312" w:hAnsi="仿宋_GB2312" w:cs="仿宋_GB2312" w:hint="eastAsia"/>
              </w:rPr>
              <w:t>（二）基本原则</w:t>
            </w:r>
            <w:r w:rsidR="000D34B2">
              <w:tab/>
            </w:r>
            <w:r>
              <w:fldChar w:fldCharType="begin"/>
            </w:r>
            <w:r w:rsidR="000D34B2">
              <w:instrText xml:space="preserve"> PAGEREF _Toc17900 \h </w:instrText>
            </w:r>
            <w:r>
              <w:fldChar w:fldCharType="separate"/>
            </w:r>
            <w:r w:rsidR="000D34B2">
              <w:t>- 5 -</w:t>
            </w:r>
            <w:r>
              <w:fldChar w:fldCharType="end"/>
            </w:r>
          </w:hyperlink>
        </w:p>
        <w:p w:rsidR="00B23312" w:rsidRDefault="00B23312">
          <w:pPr>
            <w:pStyle w:val="20"/>
            <w:tabs>
              <w:tab w:val="right" w:leader="dot" w:pos="8306"/>
            </w:tabs>
          </w:pPr>
          <w:hyperlink w:anchor="_Toc13272" w:history="1">
            <w:r w:rsidR="000D34B2">
              <w:rPr>
                <w:rFonts w:ascii="仿宋_GB2312" w:eastAsia="仿宋_GB2312" w:hAnsi="仿宋_GB2312" w:cs="仿宋_GB2312" w:hint="eastAsia"/>
              </w:rPr>
              <w:t>三、计划指标</w:t>
            </w:r>
            <w:r w:rsidR="000D34B2">
              <w:tab/>
            </w:r>
            <w:r>
              <w:fldChar w:fldCharType="begin"/>
            </w:r>
            <w:r w:rsidR="000D34B2">
              <w:instrText xml:space="preserve"> PAGEREF _Toc13272 \h </w:instrText>
            </w:r>
            <w:r>
              <w:fldChar w:fldCharType="separate"/>
            </w:r>
            <w:r w:rsidR="000D34B2">
              <w:t>- 6 -</w:t>
            </w:r>
            <w:r>
              <w:fldChar w:fldCharType="end"/>
            </w:r>
          </w:hyperlink>
        </w:p>
        <w:p w:rsidR="00B23312" w:rsidRDefault="00B23312">
          <w:pPr>
            <w:pStyle w:val="20"/>
            <w:tabs>
              <w:tab w:val="right" w:leader="dot" w:pos="8306"/>
            </w:tabs>
          </w:pPr>
          <w:hyperlink w:anchor="_Toc5113" w:history="1">
            <w:r w:rsidR="000D34B2">
              <w:rPr>
                <w:rFonts w:ascii="仿宋_GB2312" w:eastAsia="仿宋_GB2312" w:hAnsi="仿宋_GB2312" w:cs="仿宋_GB2312" w:hint="eastAsia"/>
              </w:rPr>
              <w:t>（一）国有建设用地供应总量</w:t>
            </w:r>
            <w:r w:rsidR="000D34B2">
              <w:tab/>
            </w:r>
            <w:r>
              <w:fldChar w:fldCharType="begin"/>
            </w:r>
            <w:r w:rsidR="000D34B2">
              <w:instrText xml:space="preserve"> PAGEREF _Toc5113 \h </w:instrText>
            </w:r>
            <w:r>
              <w:fldChar w:fldCharType="separate"/>
            </w:r>
            <w:r w:rsidR="000D34B2">
              <w:t>- 6 -</w:t>
            </w:r>
            <w:r>
              <w:fldChar w:fldCharType="end"/>
            </w:r>
          </w:hyperlink>
        </w:p>
        <w:p w:rsidR="00B23312" w:rsidRDefault="00B23312">
          <w:pPr>
            <w:pStyle w:val="20"/>
            <w:tabs>
              <w:tab w:val="right" w:leader="dot" w:pos="8306"/>
            </w:tabs>
          </w:pPr>
          <w:hyperlink w:anchor="_Toc6873" w:history="1">
            <w:r w:rsidR="000D34B2">
              <w:rPr>
                <w:rFonts w:ascii="仿宋_GB2312" w:eastAsia="仿宋_GB2312" w:hAnsi="仿宋_GB2312" w:cs="仿宋_GB2312" w:hint="eastAsia"/>
              </w:rPr>
              <w:t>（二）国有建设用地供应结构</w:t>
            </w:r>
            <w:r w:rsidR="000D34B2">
              <w:tab/>
            </w:r>
            <w:r>
              <w:fldChar w:fldCharType="begin"/>
            </w:r>
            <w:r w:rsidR="000D34B2">
              <w:instrText xml:space="preserve"> PAGEREF _Toc6873 \h </w:instrText>
            </w:r>
            <w:r>
              <w:fldChar w:fldCharType="separate"/>
            </w:r>
            <w:r w:rsidR="000D34B2">
              <w:t>- 6 -</w:t>
            </w:r>
            <w:r>
              <w:fldChar w:fldCharType="end"/>
            </w:r>
          </w:hyperlink>
        </w:p>
        <w:p w:rsidR="00B23312" w:rsidRDefault="00B23312">
          <w:pPr>
            <w:pStyle w:val="20"/>
            <w:tabs>
              <w:tab w:val="right" w:leader="dot" w:pos="8306"/>
            </w:tabs>
          </w:pPr>
          <w:hyperlink w:anchor="_Toc24994" w:history="1">
            <w:r w:rsidR="000D34B2">
              <w:rPr>
                <w:rFonts w:ascii="仿宋_GB2312" w:eastAsia="仿宋_GB2312" w:hAnsi="仿宋_GB2312" w:cs="仿宋_GB2312" w:hint="eastAsia"/>
              </w:rPr>
              <w:t>四、政策导向</w:t>
            </w:r>
            <w:r w:rsidR="000D34B2">
              <w:tab/>
            </w:r>
            <w:r>
              <w:fldChar w:fldCharType="begin"/>
            </w:r>
            <w:r w:rsidR="000D34B2">
              <w:instrText xml:space="preserve"> PAGEREF _Toc24994 \h </w:instrText>
            </w:r>
            <w:r>
              <w:fldChar w:fldCharType="separate"/>
            </w:r>
            <w:r w:rsidR="000D34B2">
              <w:t>- 7 -</w:t>
            </w:r>
            <w:r>
              <w:fldChar w:fldCharType="end"/>
            </w:r>
          </w:hyperlink>
        </w:p>
        <w:p w:rsidR="00B23312" w:rsidRDefault="00B23312">
          <w:pPr>
            <w:pStyle w:val="20"/>
            <w:tabs>
              <w:tab w:val="right" w:leader="dot" w:pos="8306"/>
            </w:tabs>
          </w:pPr>
          <w:hyperlink w:anchor="_Toc18301" w:history="1">
            <w:r w:rsidR="000D34B2">
              <w:rPr>
                <w:rFonts w:ascii="仿宋_GB2312" w:eastAsia="仿宋_GB2312" w:hAnsi="仿宋_GB2312" w:cs="仿宋_GB2312" w:hint="eastAsia"/>
              </w:rPr>
              <w:t>（一）优化空间布局</w:t>
            </w:r>
            <w:r w:rsidR="000D34B2">
              <w:tab/>
            </w:r>
            <w:r>
              <w:fldChar w:fldCharType="begin"/>
            </w:r>
            <w:r w:rsidR="000D34B2">
              <w:instrText xml:space="preserve"> PAGEREF _Toc18301 \h </w:instrText>
            </w:r>
            <w:r>
              <w:fldChar w:fldCharType="separate"/>
            </w:r>
            <w:r w:rsidR="000D34B2">
              <w:t>- 7 -</w:t>
            </w:r>
            <w:r>
              <w:fldChar w:fldCharType="end"/>
            </w:r>
          </w:hyperlink>
        </w:p>
        <w:p w:rsidR="00B23312" w:rsidRDefault="00B23312">
          <w:pPr>
            <w:pStyle w:val="20"/>
            <w:tabs>
              <w:tab w:val="right" w:leader="dot" w:pos="8306"/>
            </w:tabs>
          </w:pPr>
          <w:hyperlink w:anchor="_Toc16888" w:history="1">
            <w:r w:rsidR="000D34B2">
              <w:rPr>
                <w:rFonts w:ascii="仿宋_GB2312" w:eastAsia="仿宋_GB2312" w:hAnsi="仿宋_GB2312" w:cs="仿宋_GB2312" w:hint="eastAsia"/>
              </w:rPr>
              <w:t>（二）优化土地供应结构</w:t>
            </w:r>
            <w:r w:rsidR="000D34B2">
              <w:tab/>
            </w:r>
            <w:r>
              <w:fldChar w:fldCharType="begin"/>
            </w:r>
            <w:r w:rsidR="000D34B2">
              <w:instrText xml:space="preserve"> PAGEREF _Toc16888 \h </w:instrText>
            </w:r>
            <w:r>
              <w:fldChar w:fldCharType="separate"/>
            </w:r>
            <w:r w:rsidR="000D34B2">
              <w:t>- 7 -</w:t>
            </w:r>
            <w:r>
              <w:fldChar w:fldCharType="end"/>
            </w:r>
          </w:hyperlink>
        </w:p>
        <w:p w:rsidR="00B23312" w:rsidRDefault="00B23312">
          <w:pPr>
            <w:pStyle w:val="20"/>
            <w:tabs>
              <w:tab w:val="right" w:leader="dot" w:pos="8306"/>
            </w:tabs>
          </w:pPr>
          <w:hyperlink w:anchor="_Toc32341" w:history="1">
            <w:r w:rsidR="000D34B2">
              <w:rPr>
                <w:rFonts w:ascii="仿宋_GB2312" w:eastAsia="仿宋_GB2312" w:hAnsi="仿宋_GB2312" w:cs="仿宋_GB2312" w:hint="eastAsia"/>
              </w:rPr>
              <w:t>（三）促进土地集约节约利用</w:t>
            </w:r>
            <w:r w:rsidR="000D34B2">
              <w:tab/>
            </w:r>
            <w:r>
              <w:fldChar w:fldCharType="begin"/>
            </w:r>
            <w:r w:rsidR="000D34B2">
              <w:instrText xml:space="preserve"> PAGEREF _Toc32341 \h </w:instrText>
            </w:r>
            <w:r>
              <w:fldChar w:fldCharType="separate"/>
            </w:r>
            <w:r w:rsidR="000D34B2">
              <w:t>- 8 -</w:t>
            </w:r>
            <w:r>
              <w:fldChar w:fldCharType="end"/>
            </w:r>
          </w:hyperlink>
        </w:p>
        <w:p w:rsidR="00B23312" w:rsidRDefault="00B23312">
          <w:pPr>
            <w:pStyle w:val="20"/>
            <w:tabs>
              <w:tab w:val="right" w:leader="dot" w:pos="8306"/>
            </w:tabs>
          </w:pPr>
          <w:hyperlink w:anchor="_Toc30211" w:history="1">
            <w:r w:rsidR="000D34B2">
              <w:rPr>
                <w:rFonts w:ascii="仿宋_GB2312" w:eastAsia="仿宋_GB2312" w:hAnsi="仿宋_GB2312" w:cs="仿宋_GB2312" w:hint="eastAsia"/>
              </w:rPr>
              <w:t>（四）发挥市场配置资源基础性作用</w:t>
            </w:r>
            <w:r w:rsidR="000D34B2">
              <w:tab/>
            </w:r>
            <w:r>
              <w:fldChar w:fldCharType="begin"/>
            </w:r>
            <w:r w:rsidR="000D34B2">
              <w:instrText xml:space="preserve"> PAGEREF _Toc30211 </w:instrText>
            </w:r>
            <w:r w:rsidR="000D34B2">
              <w:instrText xml:space="preserve">\h </w:instrText>
            </w:r>
            <w:r>
              <w:fldChar w:fldCharType="separate"/>
            </w:r>
            <w:r w:rsidR="000D34B2">
              <w:t>- 8 -</w:t>
            </w:r>
            <w:r>
              <w:fldChar w:fldCharType="end"/>
            </w:r>
          </w:hyperlink>
        </w:p>
        <w:p w:rsidR="00B23312" w:rsidRDefault="00B23312">
          <w:pPr>
            <w:pStyle w:val="20"/>
            <w:tabs>
              <w:tab w:val="right" w:leader="dot" w:pos="8306"/>
            </w:tabs>
          </w:pPr>
          <w:hyperlink w:anchor="_Toc14360" w:history="1">
            <w:r w:rsidR="000D34B2">
              <w:rPr>
                <w:rFonts w:ascii="仿宋_GB2312" w:eastAsia="仿宋_GB2312" w:hAnsi="仿宋_GB2312" w:cs="仿宋_GB2312" w:hint="eastAsia"/>
              </w:rPr>
              <w:t>五、住宅供应计划</w:t>
            </w:r>
            <w:r w:rsidR="000D34B2">
              <w:tab/>
            </w:r>
            <w:r>
              <w:fldChar w:fldCharType="begin"/>
            </w:r>
            <w:r w:rsidR="000D34B2">
              <w:instrText xml:space="preserve"> PAGEREF _Toc14360 \h </w:instrText>
            </w:r>
            <w:r>
              <w:fldChar w:fldCharType="separate"/>
            </w:r>
            <w:r w:rsidR="000D34B2">
              <w:t>- 8 -</w:t>
            </w:r>
            <w:r>
              <w:fldChar w:fldCharType="end"/>
            </w:r>
          </w:hyperlink>
        </w:p>
        <w:p w:rsidR="00B23312" w:rsidRDefault="00B23312">
          <w:pPr>
            <w:pStyle w:val="20"/>
            <w:tabs>
              <w:tab w:val="right" w:leader="dot" w:pos="8306"/>
            </w:tabs>
          </w:pPr>
          <w:hyperlink w:anchor="_Toc10280" w:history="1">
            <w:r w:rsidR="000D34B2">
              <w:rPr>
                <w:rFonts w:ascii="仿宋_GB2312" w:eastAsia="仿宋_GB2312" w:hAnsi="仿宋_GB2312" w:cs="仿宋_GB2312" w:hint="eastAsia"/>
              </w:rPr>
              <w:t>（一）住宅用地总量和结构</w:t>
            </w:r>
            <w:r w:rsidR="000D34B2">
              <w:tab/>
            </w:r>
            <w:r>
              <w:fldChar w:fldCharType="begin"/>
            </w:r>
            <w:r w:rsidR="000D34B2">
              <w:instrText xml:space="preserve"> PAGEREF _Toc10</w:instrText>
            </w:r>
            <w:r w:rsidR="000D34B2">
              <w:instrText xml:space="preserve">280 \h </w:instrText>
            </w:r>
            <w:r>
              <w:fldChar w:fldCharType="separate"/>
            </w:r>
            <w:r w:rsidR="000D34B2">
              <w:t>- 8 -</w:t>
            </w:r>
            <w:r>
              <w:fldChar w:fldCharType="end"/>
            </w:r>
          </w:hyperlink>
        </w:p>
        <w:p w:rsidR="00B23312" w:rsidRDefault="00B23312">
          <w:pPr>
            <w:pStyle w:val="20"/>
            <w:tabs>
              <w:tab w:val="right" w:leader="dot" w:pos="8306"/>
            </w:tabs>
          </w:pPr>
          <w:hyperlink w:anchor="_Toc24576" w:history="1">
            <w:r w:rsidR="000D34B2">
              <w:rPr>
                <w:rFonts w:ascii="仿宋_GB2312" w:eastAsia="仿宋_GB2312" w:hAnsi="仿宋_GB2312" w:cs="仿宋_GB2312" w:hint="eastAsia"/>
              </w:rPr>
              <w:t>（二）住宅用地供应布局</w:t>
            </w:r>
            <w:r w:rsidR="000D34B2">
              <w:tab/>
            </w:r>
            <w:r>
              <w:fldChar w:fldCharType="begin"/>
            </w:r>
            <w:r w:rsidR="000D34B2">
              <w:instrText xml:space="preserve"> PAGEREF _Toc24576 \h </w:instrText>
            </w:r>
            <w:r>
              <w:fldChar w:fldCharType="separate"/>
            </w:r>
            <w:r w:rsidR="000D34B2">
              <w:t>- 9 -</w:t>
            </w:r>
            <w:r>
              <w:fldChar w:fldCharType="end"/>
            </w:r>
          </w:hyperlink>
        </w:p>
        <w:p w:rsidR="00B23312" w:rsidRDefault="00B23312">
          <w:pPr>
            <w:pStyle w:val="20"/>
            <w:tabs>
              <w:tab w:val="right" w:leader="dot" w:pos="8306"/>
            </w:tabs>
          </w:pPr>
          <w:hyperlink w:anchor="_Toc24469" w:history="1">
            <w:r w:rsidR="000D34B2">
              <w:rPr>
                <w:rFonts w:ascii="仿宋_GB2312" w:eastAsia="仿宋_GB2312" w:hAnsi="仿宋_GB2312" w:cs="仿宋_GB2312" w:hint="eastAsia"/>
              </w:rPr>
              <w:t>（三）住宅用地供应保障措施</w:t>
            </w:r>
            <w:r w:rsidR="000D34B2">
              <w:tab/>
            </w:r>
            <w:r>
              <w:fldChar w:fldCharType="begin"/>
            </w:r>
            <w:r w:rsidR="000D34B2">
              <w:instrText xml:space="preserve"> PAGEREF</w:instrText>
            </w:r>
            <w:r w:rsidR="000D34B2">
              <w:instrText xml:space="preserve"> _Toc24469 \h </w:instrText>
            </w:r>
            <w:r>
              <w:fldChar w:fldCharType="separate"/>
            </w:r>
            <w:r w:rsidR="000D34B2">
              <w:t>- 9 -</w:t>
            </w:r>
            <w:r>
              <w:fldChar w:fldCharType="end"/>
            </w:r>
          </w:hyperlink>
        </w:p>
        <w:p w:rsidR="00B23312" w:rsidRDefault="00B23312">
          <w:pPr>
            <w:pStyle w:val="20"/>
            <w:tabs>
              <w:tab w:val="right" w:leader="dot" w:pos="8306"/>
            </w:tabs>
          </w:pPr>
          <w:hyperlink w:anchor="_Toc28139" w:history="1">
            <w:r w:rsidR="000D34B2">
              <w:rPr>
                <w:rFonts w:ascii="仿宋_GB2312" w:eastAsia="仿宋_GB2312" w:hAnsi="仿宋_GB2312" w:cs="仿宋_GB2312" w:hint="eastAsia"/>
              </w:rPr>
              <w:t>六、国有建设用地供应计划实施的保障措施</w:t>
            </w:r>
            <w:r w:rsidR="000D34B2">
              <w:tab/>
            </w:r>
            <w:r>
              <w:fldChar w:fldCharType="begin"/>
            </w:r>
            <w:r w:rsidR="000D34B2">
              <w:instrText xml:space="preserve"> PAGEREF _Toc28139 \h </w:instrText>
            </w:r>
            <w:r>
              <w:fldChar w:fldCharType="separate"/>
            </w:r>
            <w:r w:rsidR="000D34B2">
              <w:t>- 10 -</w:t>
            </w:r>
            <w:r>
              <w:fldChar w:fldCharType="end"/>
            </w:r>
          </w:hyperlink>
        </w:p>
        <w:p w:rsidR="00B23312" w:rsidRDefault="00B23312">
          <w:pPr>
            <w:pStyle w:val="20"/>
            <w:tabs>
              <w:tab w:val="right" w:leader="dot" w:pos="8306"/>
            </w:tabs>
          </w:pPr>
          <w:hyperlink w:anchor="_Toc21591" w:history="1">
            <w:r w:rsidR="000D34B2">
              <w:rPr>
                <w:rFonts w:ascii="仿宋_GB2312" w:eastAsia="仿宋_GB2312" w:hAnsi="仿宋_GB2312" w:cs="仿宋_GB2312" w:hint="eastAsia"/>
              </w:rPr>
              <w:t>（一）舆论宣传</w:t>
            </w:r>
            <w:r w:rsidR="000D34B2">
              <w:tab/>
            </w:r>
            <w:r>
              <w:fldChar w:fldCharType="begin"/>
            </w:r>
            <w:r w:rsidR="000D34B2">
              <w:instrText xml:space="preserve"> PAGEREF _Toc21591 \h </w:instrText>
            </w:r>
            <w:r>
              <w:fldChar w:fldCharType="separate"/>
            </w:r>
            <w:r w:rsidR="000D34B2">
              <w:t>- 10 -</w:t>
            </w:r>
            <w:r>
              <w:fldChar w:fldCharType="end"/>
            </w:r>
          </w:hyperlink>
        </w:p>
        <w:p w:rsidR="00B23312" w:rsidRDefault="00B23312">
          <w:pPr>
            <w:pStyle w:val="20"/>
            <w:tabs>
              <w:tab w:val="right" w:leader="dot" w:pos="8306"/>
            </w:tabs>
          </w:pPr>
          <w:hyperlink w:anchor="_Toc701" w:history="1">
            <w:r w:rsidR="000D34B2">
              <w:rPr>
                <w:rFonts w:ascii="仿宋_GB2312" w:eastAsia="仿宋_GB2312" w:hAnsi="仿宋_GB2312" w:cs="仿宋_GB2312" w:hint="eastAsia"/>
              </w:rPr>
              <w:t>（二）部门配合</w:t>
            </w:r>
            <w:r w:rsidR="000D34B2">
              <w:tab/>
            </w:r>
            <w:r>
              <w:fldChar w:fldCharType="begin"/>
            </w:r>
            <w:r w:rsidR="000D34B2">
              <w:instrText xml:space="preserve"> PAGEREF _Toc701 \h </w:instrText>
            </w:r>
            <w:r>
              <w:fldChar w:fldCharType="separate"/>
            </w:r>
            <w:r w:rsidR="000D34B2">
              <w:t>- 11 -</w:t>
            </w:r>
            <w:r>
              <w:fldChar w:fldCharType="end"/>
            </w:r>
          </w:hyperlink>
        </w:p>
        <w:p w:rsidR="00B23312" w:rsidRDefault="00B23312">
          <w:pPr>
            <w:pStyle w:val="20"/>
            <w:tabs>
              <w:tab w:val="right" w:leader="dot" w:pos="8306"/>
            </w:tabs>
          </w:pPr>
          <w:hyperlink w:anchor="_Toc20669" w:history="1">
            <w:r w:rsidR="000D34B2">
              <w:rPr>
                <w:rFonts w:ascii="仿宋_GB2312" w:eastAsia="仿宋_GB2312" w:hAnsi="仿宋_GB2312" w:cs="仿宋_GB2312" w:hint="eastAsia"/>
              </w:rPr>
              <w:t>（三）相关激</w:t>
            </w:r>
            <w:r w:rsidR="000D34B2">
              <w:rPr>
                <w:rFonts w:ascii="仿宋_GB2312" w:eastAsia="仿宋_GB2312" w:hAnsi="仿宋_GB2312" w:cs="仿宋_GB2312" w:hint="eastAsia"/>
              </w:rPr>
              <w:t>励</w:t>
            </w:r>
            <w:r w:rsidR="000D34B2">
              <w:tab/>
            </w:r>
            <w:r>
              <w:fldChar w:fldCharType="begin"/>
            </w:r>
            <w:r w:rsidR="000D34B2">
              <w:instrText xml:space="preserve"> PAGEREF _Toc20669 \h </w:instrText>
            </w:r>
            <w:r>
              <w:fldChar w:fldCharType="separate"/>
            </w:r>
            <w:r w:rsidR="000D34B2">
              <w:t>- 11 -</w:t>
            </w:r>
            <w:r>
              <w:fldChar w:fldCharType="end"/>
            </w:r>
          </w:hyperlink>
        </w:p>
        <w:p w:rsidR="00B23312" w:rsidRDefault="00B23312">
          <w:pPr>
            <w:pStyle w:val="20"/>
            <w:tabs>
              <w:tab w:val="right" w:leader="dot" w:pos="8306"/>
            </w:tabs>
          </w:pPr>
          <w:hyperlink w:anchor="_Toc8340" w:history="1">
            <w:r w:rsidR="000D34B2">
              <w:rPr>
                <w:rFonts w:ascii="仿宋_GB2312" w:eastAsia="仿宋_GB2312" w:hAnsi="仿宋_GB2312" w:cs="仿宋_GB2312" w:hint="eastAsia"/>
              </w:rPr>
              <w:t>（四）制度保障</w:t>
            </w:r>
            <w:r w:rsidR="000D34B2">
              <w:tab/>
            </w:r>
            <w:r>
              <w:fldChar w:fldCharType="begin"/>
            </w:r>
            <w:r w:rsidR="000D34B2">
              <w:instrText xml:space="preserve"> PAGEREF _Toc8340 \h </w:instrText>
            </w:r>
            <w:r>
              <w:fldChar w:fldCharType="separate"/>
            </w:r>
            <w:r w:rsidR="000D34B2">
              <w:t>- 12 -</w:t>
            </w:r>
            <w:r>
              <w:fldChar w:fldCharType="end"/>
            </w:r>
          </w:hyperlink>
        </w:p>
        <w:p w:rsidR="00B23312" w:rsidRDefault="00B23312">
          <w:pPr>
            <w:pStyle w:val="20"/>
            <w:tabs>
              <w:tab w:val="right" w:leader="dot" w:pos="8306"/>
            </w:tabs>
          </w:pPr>
          <w:hyperlink w:anchor="_Toc29495" w:history="1">
            <w:r w:rsidR="000D34B2">
              <w:t>附表</w:t>
            </w:r>
            <w:r w:rsidR="000D34B2">
              <w:rPr>
                <w:rFonts w:hint="eastAsia"/>
              </w:rPr>
              <w:t>1</w:t>
            </w:r>
            <w:r w:rsidR="000D34B2">
              <w:rPr>
                <w:rFonts w:hint="eastAsia"/>
              </w:rPr>
              <w:t>：</w:t>
            </w:r>
            <w:r w:rsidR="000D34B2">
              <w:tab/>
            </w:r>
            <w:r>
              <w:fldChar w:fldCharType="begin"/>
            </w:r>
            <w:r w:rsidR="000D34B2">
              <w:instrText xml:space="preserve"> PAG</w:instrText>
            </w:r>
            <w:r w:rsidR="000D34B2">
              <w:instrText xml:space="preserve">EREF _Toc29495 \h </w:instrText>
            </w:r>
            <w:r>
              <w:fldChar w:fldCharType="separate"/>
            </w:r>
            <w:r w:rsidR="000D34B2">
              <w:t>- 13 -</w:t>
            </w:r>
            <w:r>
              <w:fldChar w:fldCharType="end"/>
            </w:r>
          </w:hyperlink>
        </w:p>
        <w:p w:rsidR="00B23312" w:rsidRDefault="00B23312">
          <w:pPr>
            <w:pStyle w:val="20"/>
            <w:tabs>
              <w:tab w:val="right" w:leader="dot" w:pos="8306"/>
            </w:tabs>
          </w:pPr>
          <w:hyperlink w:anchor="_Toc9673" w:history="1">
            <w:r w:rsidR="000D34B2">
              <w:rPr>
                <w:rFonts w:hint="eastAsia"/>
              </w:rPr>
              <w:t>长汀县</w:t>
            </w:r>
            <w:r w:rsidR="000D34B2">
              <w:rPr>
                <w:rFonts w:hint="eastAsia"/>
              </w:rPr>
              <w:t>2</w:t>
            </w:r>
            <w:r w:rsidR="000D34B2">
              <w:t>02</w:t>
            </w:r>
            <w:r w:rsidR="000D34B2">
              <w:rPr>
                <w:rFonts w:hint="eastAsia"/>
              </w:rPr>
              <w:t>4</w:t>
            </w:r>
            <w:r w:rsidR="000D34B2">
              <w:rPr>
                <w:rFonts w:hint="eastAsia"/>
              </w:rPr>
              <w:t>年度住宅用地供应计划表</w:t>
            </w:r>
            <w:r w:rsidR="000D34B2">
              <w:tab/>
            </w:r>
            <w:r>
              <w:fldChar w:fldCharType="begin"/>
            </w:r>
            <w:r w:rsidR="000D34B2">
              <w:instrText xml:space="preserve"> PAGEREF _Toc9673 \h </w:instrText>
            </w:r>
            <w:r>
              <w:fldChar w:fldCharType="separate"/>
            </w:r>
            <w:r w:rsidR="000D34B2">
              <w:t>- 13 -</w:t>
            </w:r>
            <w:r>
              <w:fldChar w:fldCharType="end"/>
            </w:r>
          </w:hyperlink>
        </w:p>
        <w:p w:rsidR="00B23312" w:rsidRDefault="00B23312">
          <w:pPr>
            <w:pStyle w:val="20"/>
            <w:tabs>
              <w:tab w:val="right" w:leader="dot" w:pos="8306"/>
            </w:tabs>
          </w:pPr>
          <w:hyperlink w:anchor="_Toc31701" w:history="1">
            <w:r w:rsidR="000D34B2">
              <w:rPr>
                <w:rFonts w:hint="eastAsia"/>
              </w:rPr>
              <w:t>附表</w:t>
            </w:r>
            <w:r w:rsidR="000D34B2">
              <w:rPr>
                <w:rFonts w:hint="eastAsia"/>
              </w:rPr>
              <w:t>2</w:t>
            </w:r>
            <w:r w:rsidR="000D34B2">
              <w:rPr>
                <w:rFonts w:hint="eastAsia"/>
              </w:rPr>
              <w:t>：</w:t>
            </w:r>
            <w:r w:rsidR="000D34B2">
              <w:tab/>
            </w:r>
            <w:r>
              <w:fldChar w:fldCharType="begin"/>
            </w:r>
            <w:r w:rsidR="000D34B2">
              <w:instrText xml:space="preserve"> PAGEREF _Toc31701 \h </w:instrText>
            </w:r>
            <w:r>
              <w:fldChar w:fldCharType="separate"/>
            </w:r>
            <w:r w:rsidR="000D34B2">
              <w:t>- 14 -</w:t>
            </w:r>
            <w:r>
              <w:fldChar w:fldCharType="end"/>
            </w:r>
          </w:hyperlink>
        </w:p>
        <w:p w:rsidR="00B23312" w:rsidRDefault="00B23312">
          <w:pPr>
            <w:pStyle w:val="20"/>
            <w:tabs>
              <w:tab w:val="right" w:leader="dot" w:pos="8306"/>
            </w:tabs>
          </w:pPr>
          <w:hyperlink w:anchor="_Toc10455" w:history="1">
            <w:r w:rsidR="000D34B2">
              <w:rPr>
                <w:rFonts w:hint="eastAsia"/>
              </w:rPr>
              <w:t>长汀县</w:t>
            </w:r>
            <w:r w:rsidR="000D34B2">
              <w:rPr>
                <w:rFonts w:hint="eastAsia"/>
              </w:rPr>
              <w:t>2</w:t>
            </w:r>
            <w:r w:rsidR="000D34B2">
              <w:t>02</w:t>
            </w:r>
            <w:r w:rsidR="000D34B2">
              <w:rPr>
                <w:rFonts w:hint="eastAsia"/>
              </w:rPr>
              <w:t>4</w:t>
            </w:r>
            <w:r w:rsidR="000D34B2">
              <w:rPr>
                <w:rFonts w:hint="eastAsia"/>
              </w:rPr>
              <w:t>年度住宅用地供应计划宗地表</w:t>
            </w:r>
            <w:r w:rsidR="000D34B2">
              <w:tab/>
            </w:r>
            <w:r>
              <w:fldChar w:fldCharType="begin"/>
            </w:r>
            <w:r w:rsidR="000D34B2">
              <w:instrText xml:space="preserve"> PAGEREF _Toc10455 \h </w:instrText>
            </w:r>
            <w:r>
              <w:fldChar w:fldCharType="separate"/>
            </w:r>
            <w:r w:rsidR="000D34B2">
              <w:t>- 14 -</w:t>
            </w:r>
            <w:r>
              <w:fldChar w:fldCharType="end"/>
            </w:r>
          </w:hyperlink>
        </w:p>
        <w:p w:rsidR="00B23312" w:rsidRDefault="00B23312">
          <w:pPr>
            <w:pStyle w:val="20"/>
            <w:tabs>
              <w:tab w:val="right" w:leader="dot" w:pos="8306"/>
            </w:tabs>
          </w:pPr>
          <w:hyperlink w:anchor="_Toc27406" w:history="1">
            <w:r w:rsidR="000D34B2">
              <w:rPr>
                <w:rFonts w:hint="eastAsia"/>
              </w:rPr>
              <w:t>附表</w:t>
            </w:r>
            <w:r w:rsidR="000D34B2">
              <w:t>3</w:t>
            </w:r>
            <w:r w:rsidR="000D34B2">
              <w:rPr>
                <w:rFonts w:hint="eastAsia"/>
              </w:rPr>
              <w:t>：</w:t>
            </w:r>
            <w:r w:rsidR="000D34B2">
              <w:tab/>
            </w:r>
            <w:r>
              <w:fldChar w:fldCharType="begin"/>
            </w:r>
            <w:r w:rsidR="000D34B2">
              <w:instrText xml:space="preserve"> PAGEREF _Toc27406 \h </w:instrText>
            </w:r>
            <w:r>
              <w:fldChar w:fldCharType="separate"/>
            </w:r>
            <w:r w:rsidR="000D34B2">
              <w:t>- 15 -</w:t>
            </w:r>
            <w:r>
              <w:fldChar w:fldCharType="end"/>
            </w:r>
          </w:hyperlink>
        </w:p>
        <w:p w:rsidR="00B23312" w:rsidRDefault="00B23312">
          <w:pPr>
            <w:pStyle w:val="20"/>
            <w:tabs>
              <w:tab w:val="right" w:leader="dot" w:pos="8306"/>
            </w:tabs>
          </w:pPr>
          <w:hyperlink w:anchor="_Toc1182" w:history="1">
            <w:r w:rsidR="000D34B2">
              <w:rPr>
                <w:rFonts w:hint="eastAsia"/>
              </w:rPr>
              <w:t>长汀县</w:t>
            </w:r>
            <w:r w:rsidR="000D34B2">
              <w:rPr>
                <w:rFonts w:hint="eastAsia"/>
              </w:rPr>
              <w:t>202</w:t>
            </w:r>
            <w:r w:rsidR="000D34B2">
              <w:rPr>
                <w:rFonts w:hint="eastAsia"/>
              </w:rPr>
              <w:t>4</w:t>
            </w:r>
            <w:r w:rsidR="000D34B2">
              <w:rPr>
                <w:rFonts w:hint="eastAsia"/>
              </w:rPr>
              <w:t>年度</w:t>
            </w:r>
            <w:r w:rsidR="000D34B2">
              <w:t>其他用地供应计划</w:t>
            </w:r>
            <w:r w:rsidR="000D34B2">
              <w:tab/>
            </w:r>
            <w:r>
              <w:fldChar w:fldCharType="begin"/>
            </w:r>
            <w:r w:rsidR="000D34B2">
              <w:instrText xml:space="preserve"> PAGEREF _Toc1182 \h </w:instrText>
            </w:r>
            <w:r>
              <w:fldChar w:fldCharType="separate"/>
            </w:r>
            <w:r w:rsidR="000D34B2">
              <w:t>- 15 -</w:t>
            </w:r>
            <w:r>
              <w:fldChar w:fldCharType="end"/>
            </w:r>
          </w:hyperlink>
        </w:p>
        <w:p w:rsidR="00B23312" w:rsidRDefault="00B23312">
          <w:r>
            <w:rPr>
              <w:bCs/>
              <w:lang w:val="zh-CN"/>
            </w:rPr>
            <w:fldChar w:fldCharType="end"/>
          </w:r>
        </w:p>
      </w:sdtContent>
    </w:sdt>
    <w:p w:rsidR="00B23312" w:rsidRDefault="00B23312">
      <w:pPr>
        <w:rPr>
          <w:rFonts w:ascii="仿宋_GB2312" w:eastAsia="仿宋_GB2312" w:hAnsi="仿宋_GB2312" w:cs="仿宋_GB2312"/>
          <w:b/>
          <w:bCs/>
          <w:sz w:val="24"/>
        </w:rPr>
        <w:sectPr w:rsidR="00B23312">
          <w:footerReference w:type="default" r:id="rId9"/>
          <w:pgSz w:w="11906" w:h="16838"/>
          <w:pgMar w:top="1440" w:right="1800" w:bottom="1440" w:left="1800" w:header="851" w:footer="992" w:gutter="0"/>
          <w:pgNumType w:start="1"/>
          <w:cols w:space="720"/>
          <w:docGrid w:type="lines" w:linePitch="312"/>
        </w:sectPr>
      </w:pPr>
    </w:p>
    <w:p w:rsidR="00B23312" w:rsidRDefault="000D34B2">
      <w:pPr>
        <w:jc w:val="center"/>
        <w:rPr>
          <w:rFonts w:ascii="黑体" w:eastAsia="黑体" w:hAnsi="黑体" w:cs="方正仿宋简体"/>
          <w:sz w:val="44"/>
          <w:szCs w:val="44"/>
        </w:rPr>
      </w:pPr>
      <w:bookmarkStart w:id="1" w:name="_Toc20433_WPSOffice_Level1"/>
      <w:bookmarkStart w:id="2" w:name="_Toc28239_WPSOffice_Level1"/>
      <w:bookmarkStart w:id="3" w:name="_Toc32613_WPSOffice_Level1"/>
      <w:bookmarkStart w:id="4" w:name="OLE_LINK13"/>
      <w:r>
        <w:rPr>
          <w:rFonts w:ascii="黑体" w:eastAsia="黑体" w:hAnsi="黑体" w:cs="方正仿宋简体" w:hint="eastAsia"/>
          <w:sz w:val="44"/>
          <w:szCs w:val="44"/>
        </w:rPr>
        <w:lastRenderedPageBreak/>
        <w:t>长汀县</w:t>
      </w:r>
      <w:r>
        <w:rPr>
          <w:rFonts w:ascii="黑体" w:eastAsia="黑体" w:hAnsi="黑体" w:cs="方正仿宋简体"/>
          <w:sz w:val="44"/>
          <w:szCs w:val="44"/>
        </w:rPr>
        <w:t>202</w:t>
      </w:r>
      <w:r>
        <w:rPr>
          <w:rFonts w:ascii="黑体" w:eastAsia="黑体" w:hAnsi="黑体" w:cs="方正仿宋简体" w:hint="eastAsia"/>
          <w:sz w:val="44"/>
          <w:szCs w:val="44"/>
        </w:rPr>
        <w:t>4</w:t>
      </w:r>
      <w:r>
        <w:rPr>
          <w:rFonts w:ascii="黑体" w:eastAsia="黑体" w:hAnsi="黑体" w:cs="方正仿宋简体" w:hint="eastAsia"/>
          <w:sz w:val="44"/>
          <w:szCs w:val="44"/>
        </w:rPr>
        <w:t>年度国有建设用地供应计划</w:t>
      </w:r>
      <w:bookmarkEnd w:id="1"/>
      <w:bookmarkEnd w:id="2"/>
      <w:bookmarkEnd w:id="3"/>
    </w:p>
    <w:p w:rsidR="00B23312" w:rsidRDefault="00B23312">
      <w:pPr>
        <w:ind w:firstLineChars="200" w:firstLine="640"/>
        <w:rPr>
          <w:sz w:val="32"/>
          <w:szCs w:val="32"/>
        </w:rPr>
      </w:pPr>
      <w:bookmarkStart w:id="5" w:name="_Toc287858610"/>
    </w:p>
    <w:p w:rsidR="00B23312" w:rsidRDefault="000D34B2">
      <w:pPr>
        <w:pStyle w:val="2"/>
        <w:spacing w:line="240" w:lineRule="auto"/>
        <w:rPr>
          <w:rFonts w:ascii="仿宋_GB2312" w:eastAsia="仿宋_GB2312" w:hAnsi="仿宋_GB2312" w:cs="仿宋_GB2312"/>
          <w:b w:val="0"/>
          <w:bCs w:val="0"/>
        </w:rPr>
      </w:pPr>
      <w:bookmarkStart w:id="6" w:name="_Toc21509"/>
      <w:r>
        <w:rPr>
          <w:rFonts w:ascii="仿宋_GB2312" w:eastAsia="仿宋_GB2312" w:hAnsi="仿宋_GB2312" w:cs="仿宋_GB2312" w:hint="eastAsia"/>
        </w:rPr>
        <w:t>一、计划的目的、意义和编制依据</w:t>
      </w:r>
      <w:bookmarkEnd w:id="5"/>
      <w:bookmarkEnd w:id="6"/>
    </w:p>
    <w:p w:rsidR="00B23312" w:rsidRDefault="000D34B2">
      <w:pPr>
        <w:pStyle w:val="2"/>
        <w:spacing w:line="240" w:lineRule="auto"/>
        <w:rPr>
          <w:rFonts w:ascii="仿宋_GB2312" w:eastAsia="仿宋_GB2312" w:hAnsi="仿宋_GB2312" w:cs="仿宋_GB2312"/>
          <w:b w:val="0"/>
          <w:bCs w:val="0"/>
        </w:rPr>
      </w:pPr>
      <w:bookmarkStart w:id="7" w:name="_Toc287858611"/>
      <w:bookmarkStart w:id="8" w:name="_Toc9321"/>
      <w:r>
        <w:rPr>
          <w:rFonts w:ascii="仿宋_GB2312" w:eastAsia="仿宋_GB2312" w:hAnsi="仿宋_GB2312" w:cs="仿宋_GB2312" w:hint="eastAsia"/>
        </w:rPr>
        <w:t>（一）计划的目的、意义</w:t>
      </w:r>
      <w:bookmarkEnd w:id="7"/>
      <w:bookmarkEnd w:id="8"/>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是年度经济计划的重要组成部分。规范管理国有建设用地是做好自然资源管理工作的重要措施。供地计划是否合理，对落实一个地区的国民经济和社会发展规划、土地利用年度计划以及城市的功能分区与布局有直接影响，也会影响到国家土地管理法规政策的落实和土地参与宏观调控的效果。规范编制国有建设用地供应计划工作，有利于更客观、更准确地了解实际用地需求，提高供地的科学性、针对性和合理性，科学安排国有建设用地供应，保证土地利用总体规划和年度计划的有效实施，促进土地供应的规范化、制度化、科学化，提高土地参与国家宏观调</w:t>
      </w:r>
      <w:r>
        <w:rPr>
          <w:rFonts w:ascii="仿宋_GB2312" w:eastAsia="仿宋_GB2312" w:hAnsi="仿宋_GB2312" w:cs="仿宋_GB2312" w:hint="eastAsia"/>
          <w:sz w:val="32"/>
          <w:szCs w:val="32"/>
        </w:rPr>
        <w:t>控的作用。</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原国土资源部（现自然资源部）于</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日下发了《国有建设用地供应计划编制规范</w:t>
      </w:r>
      <w:r w:rsidR="00F75D28" w:rsidRPr="00F75D28">
        <w:rPr>
          <w:rFonts w:ascii="仿宋_GB2312" w:eastAsia="仿宋_GB2312" w:hAnsi="仿宋_GB2312" w:cs="仿宋_GB2312" w:hint="eastAsia"/>
          <w:sz w:val="32"/>
          <w:szCs w:val="32"/>
        </w:rPr>
        <w:t>（试行）》</w:t>
      </w:r>
      <w:r>
        <w:rPr>
          <w:rFonts w:ascii="仿宋_GB2312" w:eastAsia="仿宋_GB2312" w:hAnsi="仿宋_GB2312" w:cs="仿宋_GB2312" w:hint="eastAsia"/>
          <w:sz w:val="32"/>
          <w:szCs w:val="32"/>
        </w:rPr>
        <w:t>，《规范》指出，国有建设用地供应计划是指市、县人民政府在计划期内对国有建设用地供应的总量、结构、布局、时序和方式做出的科学安排。市、县行政辖区内计划期供应的全部国有建设用地纳入供应计划。省政府、市政府分别召</w:t>
      </w:r>
      <w:r>
        <w:rPr>
          <w:rFonts w:ascii="仿宋_GB2312" w:eastAsia="仿宋_GB2312" w:hAnsi="仿宋_GB2312" w:cs="仿宋_GB2312" w:hint="eastAsia"/>
          <w:sz w:val="32"/>
          <w:szCs w:val="32"/>
        </w:rPr>
        <w:lastRenderedPageBreak/>
        <w:t>开了会议，下发了文件，明确提出，国土资源（现自然资源）主管部门应依据批准的国有建设用地供应计划，编制国有建设用地供应方案，实施国有建设用地供应。</w:t>
      </w:r>
      <w:r>
        <w:rPr>
          <w:rFonts w:ascii="仿宋_GB2312" w:eastAsia="仿宋_GB2312" w:hAnsi="仿宋_GB2312" w:cs="仿宋_GB2312" w:hint="eastAsia"/>
          <w:sz w:val="32"/>
          <w:szCs w:val="32"/>
        </w:rPr>
        <w:t xml:space="preserve"> </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由此可见，编制好国有建设用地供应计划对长汀县</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年乃至以后几年各类建设项目及时落位具有十分重要的意义。</w:t>
      </w:r>
    </w:p>
    <w:p w:rsidR="00B23312" w:rsidRDefault="000D34B2">
      <w:pPr>
        <w:pStyle w:val="2"/>
        <w:spacing w:line="240" w:lineRule="auto"/>
        <w:rPr>
          <w:rFonts w:ascii="仿宋_GB2312" w:eastAsia="仿宋_GB2312" w:hAnsi="仿宋_GB2312" w:cs="仿宋_GB2312"/>
          <w:b w:val="0"/>
          <w:bCs w:val="0"/>
        </w:rPr>
      </w:pPr>
      <w:bookmarkStart w:id="9" w:name="_Toc287858612"/>
      <w:bookmarkStart w:id="10" w:name="_Toc31685"/>
      <w:r>
        <w:rPr>
          <w:rFonts w:ascii="仿宋_GB2312" w:eastAsia="仿宋_GB2312" w:hAnsi="仿宋_GB2312" w:cs="仿宋_GB2312" w:hint="eastAsia"/>
        </w:rPr>
        <w:t>（二）编制依据</w:t>
      </w:r>
      <w:bookmarkEnd w:id="9"/>
      <w:bookmarkEnd w:id="10"/>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长汀县国有建设用地供应计划的编制依据主要有：</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）《中华人民共和国土地管理法》</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）《中华人民共和国城市房地产管理法》</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）《中华人民共和国城乡规划法》</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）《国务院关于深化改革严格土地管理的决定》（国发〔</w:t>
      </w:r>
      <w:r>
        <w:rPr>
          <w:rFonts w:ascii="仿宋_GB2312" w:eastAsia="仿宋_GB2312" w:hAnsi="仿宋_GB2312" w:cs="仿宋_GB2312" w:hint="eastAsia"/>
          <w:sz w:val="32"/>
          <w:szCs w:val="32"/>
        </w:rPr>
        <w:t>2004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）《国务院关于加强土地调控有关问题的通知》（国发〔</w:t>
      </w:r>
      <w:r>
        <w:rPr>
          <w:rFonts w:ascii="仿宋_GB2312" w:eastAsia="仿宋_GB2312" w:hAnsi="仿宋_GB2312" w:cs="仿宋_GB2312" w:hint="eastAsia"/>
          <w:sz w:val="32"/>
          <w:szCs w:val="32"/>
        </w:rPr>
        <w:t>2006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）《国务院关于促进节约集约用地的通知》（国发〔</w:t>
      </w:r>
      <w:r>
        <w:rPr>
          <w:rFonts w:ascii="仿宋_GB2312" w:eastAsia="仿宋_GB2312" w:hAnsi="仿宋_GB2312" w:cs="仿宋_GB2312" w:hint="eastAsia"/>
          <w:sz w:val="32"/>
          <w:szCs w:val="32"/>
        </w:rPr>
        <w:t>2008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）《国务院批转发展改革委等部门关于抑制部分行业产能过剩和重复</w:t>
      </w:r>
      <w:r>
        <w:rPr>
          <w:rFonts w:ascii="仿宋_GB2312" w:eastAsia="仿宋_GB2312" w:hAnsi="仿宋_GB2312" w:cs="仿宋_GB2312" w:hint="eastAsia"/>
          <w:sz w:val="32"/>
          <w:szCs w:val="32"/>
        </w:rPr>
        <w:t>建设引导产业健康发展若干意见的通知》（国发〔</w:t>
      </w:r>
      <w:r>
        <w:rPr>
          <w:rFonts w:ascii="仿宋_GB2312" w:eastAsia="仿宋_GB2312" w:hAnsi="仿宋_GB2312" w:cs="仿宋_GB2312" w:hint="eastAsia"/>
          <w:sz w:val="32"/>
          <w:szCs w:val="32"/>
        </w:rPr>
        <w:t>2009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）《国务院办公厅关于促进房地产市场平稳健康发</w:t>
      </w:r>
      <w:r>
        <w:rPr>
          <w:rFonts w:ascii="仿宋_GB2312" w:eastAsia="仿宋_GB2312" w:hAnsi="仿宋_GB2312" w:cs="仿宋_GB2312" w:hint="eastAsia"/>
          <w:sz w:val="32"/>
          <w:szCs w:val="32"/>
        </w:rPr>
        <w:lastRenderedPageBreak/>
        <w:t>展的通知》（国办发〔</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）《国务院关于全民所有自然资源资产有偿使用制度改革的指导意见》（国发〔</w:t>
      </w:r>
      <w:r>
        <w:rPr>
          <w:rFonts w:ascii="仿宋_GB2312" w:eastAsia="仿宋_GB2312" w:hAnsi="仿宋_GB2312" w:cs="仿宋_GB2312" w:hint="eastAsia"/>
          <w:sz w:val="32"/>
          <w:szCs w:val="32"/>
        </w:rPr>
        <w:t>2016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82</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）《招标拍卖挂牌出让国有建设用地使用权规定》（国土资源部令第</w:t>
      </w:r>
      <w:r>
        <w:rPr>
          <w:rFonts w:ascii="仿宋_GB2312" w:eastAsia="仿宋_GB2312" w:hAnsi="仿宋_GB2312" w:cs="仿宋_GB2312" w:hint="eastAsia"/>
          <w:sz w:val="32"/>
          <w:szCs w:val="32"/>
        </w:rPr>
        <w:t>39</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）《协议出让国有土地使用权规定》（国土资源部令第</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）《划拨用地目录》（国土资源部令第</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）《限制用地项目目录（</w:t>
      </w:r>
      <w:r>
        <w:rPr>
          <w:rFonts w:ascii="仿宋_GB2312" w:eastAsia="仿宋_GB2312" w:hAnsi="仿宋_GB2312" w:cs="仿宋_GB2312"/>
          <w:sz w:val="32"/>
          <w:szCs w:val="32"/>
        </w:rPr>
        <w:t>2012</w:t>
      </w:r>
      <w:r>
        <w:rPr>
          <w:rFonts w:ascii="仿宋_GB2312" w:eastAsia="仿宋_GB2312" w:hAnsi="仿宋_GB2312" w:cs="仿宋_GB2312" w:hint="eastAsia"/>
          <w:sz w:val="32"/>
          <w:szCs w:val="32"/>
        </w:rPr>
        <w:t>年本）》和《禁止用地项目目录（</w:t>
      </w:r>
      <w:r>
        <w:rPr>
          <w:rFonts w:ascii="仿宋_GB2312" w:eastAsia="仿宋_GB2312" w:hAnsi="仿宋_GB2312" w:cs="仿宋_GB2312"/>
          <w:sz w:val="32"/>
          <w:szCs w:val="32"/>
        </w:rPr>
        <w:t>2012</w:t>
      </w:r>
      <w:r>
        <w:rPr>
          <w:rFonts w:ascii="仿宋_GB2312" w:eastAsia="仿宋_GB2312" w:hAnsi="仿宋_GB2312" w:cs="仿宋_GB2312" w:hint="eastAsia"/>
          <w:sz w:val="32"/>
          <w:szCs w:val="32"/>
        </w:rPr>
        <w:t>年本）》（国土资发〔</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98</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）《土地储备管理办法》（国土资发〔</w:t>
      </w:r>
      <w:r>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277</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）《国土资源部关于认真贯彻〈国务院关于解决城市低收入家庭住房困难的若干意见〉进一步加强土地供应调控的通知》（国土资发〔</w:t>
      </w:r>
      <w:r>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236</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）《国土资源部监察部关于进一步落实工业用地出让制度的通知》（国土资发〔</w:t>
      </w:r>
      <w:r>
        <w:rPr>
          <w:rFonts w:ascii="仿宋_GB2312" w:eastAsia="仿宋_GB2312" w:hAnsi="仿宋_GB2312" w:cs="仿宋_GB2312" w:hint="eastAsia"/>
          <w:sz w:val="32"/>
          <w:szCs w:val="32"/>
        </w:rPr>
        <w:t>2009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101</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）《国土资源部关于加强房地产用地供应和监管有关问题的通知》（国土资发〔</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）《国土资源部办公厅关于印发</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产业用地政策实施工作指引（</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年版）</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的通知》（自然资办发〔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）《土地利用年度计划管理办法》（国土资源部令第</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）《福建省人民政府关于印发福建省全民所有自然资源资产有偿使用制度改革实施方案的通知》（闽政〔</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）《福建省人民政府办公厅关于印发〈福建省工业用地招标拍卖挂牌出让实施办法》的通知〉（闽政办〔</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bookmarkStart w:id="11" w:name="OLE_LINK10"/>
      <w:r>
        <w:rPr>
          <w:rFonts w:ascii="仿宋_GB2312" w:eastAsia="仿宋_GB2312" w:hAnsi="仿宋_GB2312" w:cs="仿宋_GB2312" w:hint="eastAsia"/>
          <w:sz w:val="32"/>
          <w:szCs w:val="32"/>
        </w:rPr>
        <w:t>长汀县国民经济与社会发展第十四个五年规划和二〇三五年远景目标纲要</w:t>
      </w:r>
      <w:bookmarkEnd w:id="11"/>
      <w:r>
        <w:rPr>
          <w:rFonts w:ascii="仿宋_GB2312" w:eastAsia="仿宋_GB2312" w:hAnsi="仿宋_GB2312" w:cs="仿宋_GB2312" w:hint="eastAsia"/>
          <w:sz w:val="32"/>
          <w:szCs w:val="32"/>
        </w:rPr>
        <w:t>；</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w:t>
      </w:r>
      <w:bookmarkStart w:id="12" w:name="OLE_LINK12"/>
      <w:r>
        <w:rPr>
          <w:rFonts w:ascii="仿宋_GB2312" w:eastAsia="仿宋_GB2312" w:hAnsi="仿宋_GB2312" w:cs="仿宋_GB2312" w:hint="eastAsia"/>
          <w:sz w:val="32"/>
          <w:szCs w:val="32"/>
        </w:rPr>
        <w:t>长汀县</w:t>
      </w:r>
      <w:r>
        <w:rPr>
          <w:rFonts w:ascii="仿宋_GB2312" w:eastAsia="仿宋_GB2312" w:hAnsi="仿宋_GB2312" w:cs="仿宋_GB2312" w:hint="eastAsia"/>
          <w:sz w:val="32"/>
          <w:szCs w:val="32"/>
        </w:rPr>
        <w:t>国土空间总体</w:t>
      </w:r>
      <w:r>
        <w:rPr>
          <w:rFonts w:ascii="仿宋_GB2312" w:eastAsia="仿宋_GB2312" w:hAnsi="仿宋_GB2312" w:cs="仿宋_GB2312" w:hint="eastAsia"/>
          <w:sz w:val="32"/>
          <w:szCs w:val="32"/>
        </w:rPr>
        <w:t>规划</w:t>
      </w:r>
      <w:r>
        <w:rPr>
          <w:rFonts w:ascii="仿宋_GB2312" w:eastAsia="仿宋_GB2312" w:hAnsi="仿宋_GB2312" w:cs="仿宋_GB2312" w:hint="eastAsia"/>
          <w:sz w:val="32"/>
          <w:szCs w:val="32"/>
        </w:rPr>
        <w:t>（成果稿）</w:t>
      </w:r>
      <w:bookmarkEnd w:id="12"/>
      <w:r>
        <w:rPr>
          <w:rFonts w:ascii="仿宋_GB2312" w:eastAsia="仿宋_GB2312" w:hAnsi="仿宋_GB2312" w:cs="仿宋_GB2312" w:hint="eastAsia"/>
          <w:sz w:val="32"/>
          <w:szCs w:val="32"/>
        </w:rPr>
        <w:t>；</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）长汀县</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年度土地储备计划；</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）《国有建设用地供应计划编制规范</w:t>
      </w:r>
      <w:r w:rsidR="00F75D28" w:rsidRPr="00F75D28">
        <w:rPr>
          <w:rFonts w:ascii="仿宋_GB2312" w:eastAsia="仿宋_GB2312" w:hAnsi="仿宋_GB2312" w:cs="仿宋_GB2312" w:hint="eastAsia"/>
          <w:sz w:val="32"/>
          <w:szCs w:val="32"/>
        </w:rPr>
        <w:t>（试行）》</w:t>
      </w:r>
      <w:r>
        <w:rPr>
          <w:rFonts w:ascii="仿宋_GB2312" w:eastAsia="仿宋_GB2312" w:hAnsi="仿宋_GB2312" w:cs="仿宋_GB2312" w:hint="eastAsia"/>
          <w:sz w:val="32"/>
          <w:szCs w:val="32"/>
        </w:rPr>
        <w:t>（国土资发</w:t>
      </w:r>
      <w:bookmarkStart w:id="13" w:name="OLE_LINK4"/>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2010</w:t>
      </w:r>
      <w:r>
        <w:rPr>
          <w:rFonts w:ascii="仿宋_GB2312" w:eastAsia="仿宋_GB2312" w:hAnsi="仿宋_GB2312" w:cs="仿宋_GB2312" w:hint="eastAsia"/>
          <w:sz w:val="32"/>
          <w:szCs w:val="32"/>
        </w:rPr>
        <w:t>〕</w:t>
      </w:r>
      <w:bookmarkEnd w:id="13"/>
      <w:r>
        <w:rPr>
          <w:rFonts w:ascii="仿宋_GB2312" w:eastAsia="仿宋_GB2312" w:hAnsi="仿宋_GB2312" w:cs="仿宋_GB2312" w:hint="eastAsia"/>
          <w:sz w:val="32"/>
          <w:szCs w:val="32"/>
        </w:rPr>
        <w:t>117</w:t>
      </w:r>
      <w:r>
        <w:rPr>
          <w:rFonts w:ascii="仿宋_GB2312" w:eastAsia="仿宋_GB2312" w:hAnsi="仿宋_GB2312" w:cs="仿宋_GB2312" w:hint="eastAsia"/>
          <w:sz w:val="32"/>
          <w:szCs w:val="32"/>
        </w:rPr>
        <w:t>号）。</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w:t>
      </w:r>
      <w:bookmarkStart w:id="14" w:name="OLE_LINK7"/>
      <w:r>
        <w:rPr>
          <w:rFonts w:ascii="仿宋_GB2312" w:eastAsia="仿宋_GB2312" w:hAnsi="仿宋_GB2312" w:cs="仿宋_GB2312" w:hint="eastAsia"/>
          <w:sz w:val="32"/>
          <w:szCs w:val="32"/>
        </w:rPr>
        <w:t>《自然资源部办公厅关于进一步规范住宅用地供应信息公开工作的通知》（自然资办函〔</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2728</w:t>
      </w:r>
      <w:r>
        <w:rPr>
          <w:rFonts w:ascii="仿宋_GB2312" w:eastAsia="仿宋_GB2312" w:hAnsi="仿宋_GB2312" w:cs="仿宋_GB2312" w:hint="eastAsia"/>
          <w:sz w:val="32"/>
          <w:szCs w:val="32"/>
        </w:rPr>
        <w:t>号）</w:t>
      </w:r>
      <w:bookmarkEnd w:id="14"/>
    </w:p>
    <w:p w:rsidR="00B23312" w:rsidRDefault="000D34B2">
      <w:pPr>
        <w:pStyle w:val="2"/>
        <w:spacing w:line="240" w:lineRule="auto"/>
        <w:rPr>
          <w:rFonts w:ascii="仿宋_GB2312" w:eastAsia="仿宋_GB2312" w:hAnsi="仿宋_GB2312" w:cs="仿宋_GB2312"/>
          <w:b w:val="0"/>
          <w:bCs w:val="0"/>
        </w:rPr>
      </w:pPr>
      <w:bookmarkStart w:id="15" w:name="_Toc287858613"/>
      <w:bookmarkStart w:id="16" w:name="_Toc22730"/>
      <w:r>
        <w:rPr>
          <w:rFonts w:ascii="仿宋_GB2312" w:eastAsia="仿宋_GB2312" w:hAnsi="仿宋_GB2312" w:cs="仿宋_GB2312" w:hint="eastAsia"/>
        </w:rPr>
        <w:t>二、指导思想和基本原则</w:t>
      </w:r>
      <w:bookmarkEnd w:id="15"/>
      <w:bookmarkEnd w:id="16"/>
    </w:p>
    <w:p w:rsidR="00B23312" w:rsidRDefault="000D34B2">
      <w:pPr>
        <w:pStyle w:val="2"/>
        <w:spacing w:line="240" w:lineRule="auto"/>
        <w:rPr>
          <w:rFonts w:ascii="仿宋_GB2312" w:eastAsia="仿宋_GB2312" w:hAnsi="仿宋_GB2312" w:cs="仿宋_GB2312"/>
          <w:b w:val="0"/>
          <w:bCs w:val="0"/>
        </w:rPr>
      </w:pPr>
      <w:bookmarkStart w:id="17" w:name="_Toc287858614"/>
      <w:bookmarkStart w:id="18" w:name="_Toc8797"/>
      <w:r>
        <w:rPr>
          <w:rFonts w:ascii="仿宋_GB2312" w:eastAsia="仿宋_GB2312" w:hAnsi="仿宋_GB2312" w:cs="仿宋_GB2312" w:hint="eastAsia"/>
        </w:rPr>
        <w:t>（一）指导思想</w:t>
      </w:r>
      <w:bookmarkEnd w:id="17"/>
      <w:bookmarkEnd w:id="18"/>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以长汀县国民经济与社会发展第十四个五年规划、长汀县国土空间总体规划（成果稿）、长汀县年度土地储备</w:t>
      </w:r>
      <w:r>
        <w:rPr>
          <w:rFonts w:ascii="仿宋_GB2312" w:eastAsia="仿宋_GB2312" w:hAnsi="仿宋_GB2312" w:cs="仿宋_GB2312" w:hint="eastAsia"/>
          <w:sz w:val="32"/>
          <w:szCs w:val="32"/>
        </w:rPr>
        <w:lastRenderedPageBreak/>
        <w:t>计划为依据，坚持城乡统筹、节约集约用地、供需平衡和有保有压原则，坚持高质量发展落实赶超，主动融入粤港澳大湾区、闽西南协同发展区和山区绿色发展带建设，建设“机制活、产业优、百姓富、生态</w:t>
      </w:r>
      <w:r>
        <w:rPr>
          <w:rFonts w:ascii="仿宋_GB2312" w:eastAsia="仿宋_GB2312" w:hAnsi="仿宋_GB2312" w:cs="仿宋_GB2312" w:hint="eastAsia"/>
          <w:sz w:val="32"/>
          <w:szCs w:val="32"/>
        </w:rPr>
        <w:t>美”新长汀建设。进一步改造老城区，产业园区优化配置，全力推进生态城市建设。进一步加强普通商品房建设，提高人民群众居住水平。加快产业园区建设，以良好的硬件环境承接优质工业项目进园落户。</w:t>
      </w:r>
    </w:p>
    <w:p w:rsidR="00B23312" w:rsidRDefault="000D34B2">
      <w:pPr>
        <w:pStyle w:val="2"/>
        <w:spacing w:line="240" w:lineRule="auto"/>
        <w:rPr>
          <w:rFonts w:ascii="仿宋_GB2312" w:eastAsia="仿宋_GB2312" w:hAnsi="仿宋_GB2312" w:cs="仿宋_GB2312"/>
          <w:b w:val="0"/>
          <w:bCs w:val="0"/>
        </w:rPr>
      </w:pPr>
      <w:bookmarkStart w:id="19" w:name="_Toc287858615"/>
      <w:bookmarkStart w:id="20" w:name="_Toc17900"/>
      <w:r>
        <w:rPr>
          <w:rFonts w:ascii="仿宋_GB2312" w:eastAsia="仿宋_GB2312" w:hAnsi="仿宋_GB2312" w:cs="仿宋_GB2312" w:hint="eastAsia"/>
        </w:rPr>
        <w:t>（二）基本原则</w:t>
      </w:r>
      <w:bookmarkEnd w:id="19"/>
      <w:bookmarkEnd w:id="20"/>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、城乡统筹原则</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编制的城乡统筹原则就是通过建设用地的供应计划，建立合理的城镇体系结构，改变分散状态，促进人口和经济向中心城区、中心镇、中心村集中；逐步改变城乡“二元”经济体制，促进城乡一体化的同步发展。</w:t>
      </w:r>
    </w:p>
    <w:p w:rsidR="00B23312" w:rsidRDefault="000D34B2">
      <w:pPr>
        <w:ind w:firstLineChars="200" w:firstLine="640"/>
        <w:rPr>
          <w:rFonts w:ascii="仿宋_GB2312" w:eastAsia="仿宋_GB2312" w:hAnsi="仿宋_GB2312" w:cs="仿宋_GB2312"/>
          <w:sz w:val="32"/>
          <w:szCs w:val="32"/>
        </w:rPr>
      </w:pPr>
      <w:bookmarkStart w:id="21" w:name="_Toc287858616"/>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、节约集约用地原则</w:t>
      </w:r>
      <w:bookmarkEnd w:id="21"/>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节约利用主要是从保护土地资源的角度通过一系列的政策、措施或技术手段，减少社会经济发展对土地造成不可逆转的消耗；而集约利用是指在一定面积的土地上，集中地投入较多的生产资料和劳动，使用先进的技术和管理方法，以求在较小面积的土地上获得高额产值和收入的一</w:t>
      </w:r>
      <w:r>
        <w:rPr>
          <w:rFonts w:ascii="仿宋_GB2312" w:eastAsia="仿宋_GB2312" w:hAnsi="仿宋_GB2312" w:cs="仿宋_GB2312" w:hint="eastAsia"/>
          <w:sz w:val="32"/>
          <w:szCs w:val="32"/>
        </w:rPr>
        <w:lastRenderedPageBreak/>
        <w:t>种经营方式。国有建设用地供应计划编制的节约与集约用地原则，总的来说就是如何更有效地利用建设用地，以最小的土地成本来满足社会经济发展与环境建设的需要。</w:t>
      </w:r>
    </w:p>
    <w:p w:rsidR="00B23312" w:rsidRDefault="000D34B2">
      <w:pPr>
        <w:ind w:firstLineChars="200" w:firstLine="640"/>
        <w:rPr>
          <w:rFonts w:ascii="仿宋_GB2312" w:eastAsia="仿宋_GB2312" w:hAnsi="仿宋_GB2312" w:cs="仿宋_GB2312"/>
          <w:sz w:val="32"/>
          <w:szCs w:val="32"/>
        </w:rPr>
      </w:pPr>
      <w:bookmarkStart w:id="22" w:name="_Toc287858617"/>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、供需平衡原则</w:t>
      </w:r>
      <w:bookmarkEnd w:id="22"/>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建设用地必须在建设用地供需预测的基础上，进行土地供需平衡分析，分析土地供给和需求的矛盾，提出相应的</w:t>
      </w:r>
      <w:r>
        <w:rPr>
          <w:rFonts w:ascii="仿宋_GB2312" w:eastAsia="仿宋_GB2312" w:hAnsi="仿宋_GB2312" w:cs="仿宋_GB2312" w:hint="eastAsia"/>
          <w:sz w:val="32"/>
          <w:szCs w:val="32"/>
        </w:rPr>
        <w:t>供地方式。使得建设用地的利用方式不是某一部门的、某一产业的、某一时期的、某一种回报的最优，而是整体的最优（经济、社会和生态）和跨时期的最优。</w:t>
      </w:r>
    </w:p>
    <w:p w:rsidR="00B23312" w:rsidRDefault="000D34B2">
      <w:pPr>
        <w:ind w:firstLineChars="200" w:firstLine="640"/>
        <w:rPr>
          <w:rFonts w:ascii="仿宋_GB2312" w:eastAsia="仿宋_GB2312" w:hAnsi="仿宋_GB2312" w:cs="仿宋_GB2312"/>
          <w:sz w:val="32"/>
          <w:szCs w:val="32"/>
        </w:rPr>
      </w:pPr>
      <w:bookmarkStart w:id="23" w:name="_Toc287858618"/>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、有保有压原则</w:t>
      </w:r>
      <w:bookmarkEnd w:id="23"/>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“有保有压”，就是从全局出发，支持经济社会发展中国家重点项目、基础行业、高新技术产业、重点能源项目建设，坚决控制投机性需求膨胀，把技术含量低，不符合</w:t>
      </w:r>
      <w:hyperlink r:id="rId10" w:tgtFrame="http://www.mlr.gov.cn/tdsc/gdjh/201503/_blank" w:history="1">
        <w:r>
          <w:rPr>
            <w:rFonts w:ascii="仿宋_GB2312" w:eastAsia="仿宋_GB2312" w:hAnsi="仿宋_GB2312" w:cs="仿宋_GB2312" w:hint="eastAsia"/>
            <w:sz w:val="32"/>
            <w:szCs w:val="32"/>
          </w:rPr>
          <w:t>结构调整</w:t>
        </w:r>
      </w:hyperlink>
      <w:r>
        <w:rPr>
          <w:rFonts w:ascii="仿宋_GB2312" w:eastAsia="仿宋_GB2312" w:hAnsi="仿宋_GB2312" w:cs="仿宋_GB2312" w:hint="eastAsia"/>
          <w:sz w:val="32"/>
          <w:szCs w:val="32"/>
        </w:rPr>
        <w:t>要求的项目，特别是资源消耗高，污染重的项目坚决控制下来，做到统筹兼顾是当前经济发展的国策，国有建设用地供应计划必须符合这一基本原则。</w:t>
      </w:r>
    </w:p>
    <w:p w:rsidR="00B23312" w:rsidRDefault="000D34B2">
      <w:pPr>
        <w:pStyle w:val="2"/>
        <w:spacing w:line="240" w:lineRule="auto"/>
        <w:rPr>
          <w:rFonts w:ascii="仿宋_GB2312" w:eastAsia="仿宋_GB2312" w:hAnsi="仿宋_GB2312" w:cs="仿宋_GB2312"/>
          <w:b w:val="0"/>
          <w:bCs w:val="0"/>
        </w:rPr>
      </w:pPr>
      <w:bookmarkStart w:id="24" w:name="_Toc287858619"/>
      <w:bookmarkStart w:id="25" w:name="_Toc13272"/>
      <w:r>
        <w:rPr>
          <w:rFonts w:ascii="仿宋_GB2312" w:eastAsia="仿宋_GB2312" w:hAnsi="仿宋_GB2312" w:cs="仿宋_GB2312" w:hint="eastAsia"/>
        </w:rPr>
        <w:t>三、计划指标</w:t>
      </w:r>
      <w:bookmarkEnd w:id="24"/>
      <w:bookmarkEnd w:id="25"/>
    </w:p>
    <w:p w:rsidR="00B23312" w:rsidRDefault="000D34B2">
      <w:pPr>
        <w:pStyle w:val="2"/>
        <w:spacing w:line="240" w:lineRule="auto"/>
        <w:rPr>
          <w:rFonts w:ascii="仿宋_GB2312" w:eastAsia="仿宋_GB2312" w:hAnsi="仿宋_GB2312" w:cs="仿宋_GB2312"/>
          <w:b w:val="0"/>
          <w:bCs w:val="0"/>
        </w:rPr>
      </w:pPr>
      <w:bookmarkStart w:id="26" w:name="_Toc287858620"/>
      <w:bookmarkStart w:id="27" w:name="_Toc5113"/>
      <w:r>
        <w:rPr>
          <w:rFonts w:ascii="仿宋_GB2312" w:eastAsia="仿宋_GB2312" w:hAnsi="仿宋_GB2312" w:cs="仿宋_GB2312" w:hint="eastAsia"/>
        </w:rPr>
        <w:t>（一）国有建设用地供应总量</w:t>
      </w:r>
      <w:bookmarkEnd w:id="26"/>
      <w:bookmarkEnd w:id="27"/>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年度长汀县国有建设用地供应总量控制在</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公顷。</w:t>
      </w:r>
    </w:p>
    <w:p w:rsidR="00B23312" w:rsidRDefault="000D34B2">
      <w:pPr>
        <w:pStyle w:val="2"/>
        <w:spacing w:line="240" w:lineRule="auto"/>
        <w:rPr>
          <w:rFonts w:ascii="仿宋_GB2312" w:eastAsia="仿宋_GB2312" w:hAnsi="仿宋_GB2312" w:cs="仿宋_GB2312"/>
          <w:b w:val="0"/>
          <w:bCs w:val="0"/>
        </w:rPr>
      </w:pPr>
      <w:bookmarkStart w:id="28" w:name="_Toc287858621"/>
      <w:bookmarkStart w:id="29" w:name="_Toc6873"/>
      <w:r>
        <w:rPr>
          <w:rFonts w:ascii="仿宋_GB2312" w:eastAsia="仿宋_GB2312" w:hAnsi="仿宋_GB2312" w:cs="仿宋_GB2312" w:hint="eastAsia"/>
        </w:rPr>
        <w:lastRenderedPageBreak/>
        <w:t>（二）国有建设用地供应结构</w:t>
      </w:r>
      <w:bookmarkEnd w:id="28"/>
      <w:bookmarkEnd w:id="29"/>
    </w:p>
    <w:p w:rsidR="00B23312" w:rsidRDefault="000D34B2">
      <w:pPr>
        <w:ind w:firstLineChars="200" w:firstLine="640"/>
        <w:rPr>
          <w:rFonts w:ascii="仿宋_GB2312" w:eastAsia="仿宋_GB2312" w:hAnsi="仿宋_GB2312" w:cs="仿宋_GB2312"/>
          <w:sz w:val="32"/>
          <w:szCs w:val="32"/>
        </w:rPr>
      </w:pPr>
      <w:bookmarkStart w:id="30" w:name="_Hlk69467043"/>
      <w:bookmarkStart w:id="31" w:name="_Toc287858623"/>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年度长汀县国有建设用地供应总量控制在</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公顷，</w:t>
      </w:r>
      <w:bookmarkStart w:id="32" w:name="OLE_LINK44"/>
      <w:bookmarkStart w:id="33" w:name="OLE_LINK47"/>
      <w:bookmarkStart w:id="34" w:name="OLE_LINK45"/>
      <w:bookmarkStart w:id="35" w:name="OLE_LINK46"/>
      <w:r>
        <w:rPr>
          <w:rFonts w:ascii="仿宋_GB2312" w:eastAsia="仿宋_GB2312" w:hAnsi="仿宋_GB2312" w:cs="仿宋_GB2312" w:hint="eastAsia"/>
          <w:sz w:val="32"/>
          <w:szCs w:val="32"/>
        </w:rPr>
        <w:t>其中工矿仓储用地</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公顷，住宅用地为</w:t>
      </w:r>
      <w:r>
        <w:rPr>
          <w:rFonts w:ascii="仿宋_GB2312" w:eastAsia="仿宋_GB2312" w:hAnsi="仿宋_GB2312" w:cs="仿宋_GB2312" w:hint="eastAsia"/>
          <w:sz w:val="32"/>
          <w:szCs w:val="32"/>
        </w:rPr>
        <w:t>17.33</w:t>
      </w:r>
      <w:r>
        <w:rPr>
          <w:rFonts w:ascii="仿宋_GB2312" w:eastAsia="仿宋_GB2312" w:hAnsi="仿宋_GB2312" w:cs="仿宋_GB2312" w:hint="eastAsia"/>
          <w:sz w:val="32"/>
          <w:szCs w:val="32"/>
        </w:rPr>
        <w:t>公顷，</w:t>
      </w:r>
      <w:r>
        <w:rPr>
          <w:rFonts w:ascii="仿宋_GB2312" w:eastAsia="仿宋_GB2312" w:hAnsi="仿宋_GB2312" w:cs="仿宋_GB2312" w:hint="eastAsia"/>
          <w:sz w:val="32"/>
          <w:szCs w:val="32"/>
        </w:rPr>
        <w:t>商服用地</w:t>
      </w:r>
      <w:r>
        <w:rPr>
          <w:rFonts w:ascii="仿宋_GB2312" w:eastAsia="仿宋_GB2312" w:hAnsi="仿宋_GB2312" w:cs="仿宋_GB2312" w:hint="eastAsia"/>
          <w:sz w:val="32"/>
          <w:szCs w:val="32"/>
        </w:rPr>
        <w:t>14.04</w:t>
      </w:r>
      <w:r>
        <w:rPr>
          <w:rFonts w:ascii="仿宋_GB2312" w:eastAsia="仿宋_GB2312" w:hAnsi="仿宋_GB2312" w:cs="仿宋_GB2312" w:hint="eastAsia"/>
          <w:sz w:val="32"/>
          <w:szCs w:val="32"/>
        </w:rPr>
        <w:t>公顷，</w:t>
      </w:r>
      <w:r>
        <w:rPr>
          <w:rFonts w:ascii="仿宋_GB2312" w:eastAsia="仿宋_GB2312" w:hAnsi="仿宋_GB2312" w:cs="仿宋_GB2312" w:hint="eastAsia"/>
          <w:sz w:val="32"/>
          <w:szCs w:val="32"/>
        </w:rPr>
        <w:t>公共管理和公共服务用地</w:t>
      </w:r>
      <w:r>
        <w:rPr>
          <w:rFonts w:ascii="仿宋_GB2312" w:eastAsia="仿宋_GB2312" w:hAnsi="仿宋_GB2312" w:cs="仿宋_GB2312" w:hint="eastAsia"/>
          <w:sz w:val="32"/>
          <w:szCs w:val="32"/>
        </w:rPr>
        <w:t>120</w:t>
      </w:r>
      <w:r>
        <w:rPr>
          <w:rFonts w:ascii="仿宋_GB2312" w:eastAsia="仿宋_GB2312" w:hAnsi="仿宋_GB2312" w:cs="仿宋_GB2312" w:hint="eastAsia"/>
          <w:sz w:val="32"/>
          <w:szCs w:val="32"/>
        </w:rPr>
        <w:t>公顷</w:t>
      </w:r>
      <w:r>
        <w:rPr>
          <w:rFonts w:ascii="仿宋_GB2312" w:eastAsia="仿宋_GB2312" w:hAnsi="仿宋_GB2312" w:cs="仿宋_GB2312" w:hint="eastAsia"/>
          <w:sz w:val="32"/>
          <w:szCs w:val="32"/>
        </w:rPr>
        <w:t>，养老服务设施用地</w:t>
      </w:r>
      <w:r>
        <w:rPr>
          <w:rFonts w:ascii="仿宋_GB2312" w:eastAsia="仿宋_GB2312" w:hAnsi="仿宋_GB2312" w:cs="仿宋_GB2312" w:hint="eastAsia"/>
          <w:sz w:val="32"/>
          <w:szCs w:val="32"/>
        </w:rPr>
        <w:t>2.33</w:t>
      </w:r>
      <w:r>
        <w:rPr>
          <w:rFonts w:ascii="仿宋_GB2312" w:eastAsia="仿宋_GB2312" w:hAnsi="仿宋_GB2312" w:cs="仿宋_GB2312" w:hint="eastAsia"/>
          <w:sz w:val="32"/>
          <w:szCs w:val="32"/>
        </w:rPr>
        <w:t>公顷</w:t>
      </w:r>
      <w:r>
        <w:rPr>
          <w:rFonts w:ascii="仿宋_GB2312" w:eastAsia="仿宋_GB2312" w:hAnsi="仿宋_GB2312" w:cs="仿宋_GB2312" w:hint="eastAsia"/>
          <w:sz w:val="32"/>
          <w:szCs w:val="32"/>
        </w:rPr>
        <w:t>。</w:t>
      </w:r>
      <w:bookmarkEnd w:id="32"/>
      <w:bookmarkEnd w:id="33"/>
      <w:bookmarkEnd w:id="34"/>
      <w:bookmarkEnd w:id="35"/>
    </w:p>
    <w:p w:rsidR="00B23312" w:rsidRDefault="000D34B2">
      <w:pPr>
        <w:pStyle w:val="2"/>
        <w:spacing w:line="240" w:lineRule="auto"/>
        <w:rPr>
          <w:rFonts w:ascii="仿宋_GB2312" w:eastAsia="仿宋_GB2312" w:hAnsi="仿宋_GB2312" w:cs="仿宋_GB2312"/>
          <w:b w:val="0"/>
          <w:bCs w:val="0"/>
        </w:rPr>
      </w:pPr>
      <w:bookmarkStart w:id="36" w:name="_Toc24994"/>
      <w:bookmarkEnd w:id="30"/>
      <w:r>
        <w:rPr>
          <w:rFonts w:ascii="仿宋_GB2312" w:eastAsia="仿宋_GB2312" w:hAnsi="仿宋_GB2312" w:cs="仿宋_GB2312" w:hint="eastAsia"/>
        </w:rPr>
        <w:t>四、政策导向</w:t>
      </w:r>
      <w:bookmarkEnd w:id="31"/>
      <w:bookmarkEnd w:id="36"/>
    </w:p>
    <w:p w:rsidR="00B23312" w:rsidRDefault="000D34B2">
      <w:pPr>
        <w:pStyle w:val="2"/>
        <w:spacing w:line="240" w:lineRule="auto"/>
        <w:rPr>
          <w:rFonts w:ascii="仿宋_GB2312" w:eastAsia="仿宋_GB2312" w:hAnsi="仿宋_GB2312" w:cs="仿宋_GB2312"/>
          <w:b w:val="0"/>
          <w:bCs w:val="0"/>
        </w:rPr>
      </w:pPr>
      <w:bookmarkStart w:id="37" w:name="_Toc287858624"/>
      <w:bookmarkStart w:id="38" w:name="_Toc18301"/>
      <w:r>
        <w:rPr>
          <w:rFonts w:ascii="仿宋_GB2312" w:eastAsia="仿宋_GB2312" w:hAnsi="仿宋_GB2312" w:cs="仿宋_GB2312" w:hint="eastAsia"/>
        </w:rPr>
        <w:t>（一）优化空间布局</w:t>
      </w:r>
      <w:bookmarkEnd w:id="37"/>
      <w:bookmarkEnd w:id="38"/>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年长汀县国有建设用地供应立足于《长汀县国土空间总体规划（成果稿）》、《长汀县城市规划》，</w:t>
      </w:r>
      <w:bookmarkStart w:id="39" w:name="_Toc287858625"/>
      <w:r>
        <w:rPr>
          <w:rFonts w:ascii="仿宋_GB2312" w:eastAsia="仿宋_GB2312" w:hAnsi="仿宋_GB2312" w:cs="仿宋_GB2312" w:hint="eastAsia"/>
          <w:sz w:val="32"/>
          <w:szCs w:val="32"/>
        </w:rPr>
        <w:t>实施主城区“南拓北扩”发展战略，加快县域产城融合发展，大力发展县域经济，加快南拓连接火车南站、稀土工业园区、晋江（长汀）工业园、河田镇小城镇建设，进一步拉开城市框架，扩大城市容量，促进城市空间布局结构优化。</w:t>
      </w:r>
    </w:p>
    <w:p w:rsidR="00B23312" w:rsidRDefault="000D34B2">
      <w:pPr>
        <w:pStyle w:val="2"/>
        <w:spacing w:line="240" w:lineRule="auto"/>
        <w:rPr>
          <w:rFonts w:ascii="仿宋_GB2312" w:eastAsia="仿宋_GB2312" w:hAnsi="仿宋_GB2312" w:cs="仿宋_GB2312"/>
          <w:b w:val="0"/>
          <w:bCs w:val="0"/>
        </w:rPr>
      </w:pPr>
      <w:bookmarkStart w:id="40" w:name="_Toc16888"/>
      <w:r>
        <w:rPr>
          <w:rFonts w:ascii="仿宋_GB2312" w:eastAsia="仿宋_GB2312" w:hAnsi="仿宋_GB2312" w:cs="仿宋_GB2312" w:hint="eastAsia"/>
        </w:rPr>
        <w:t>（二）优化土地供应结构</w:t>
      </w:r>
      <w:bookmarkEnd w:id="39"/>
      <w:bookmarkEnd w:id="40"/>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年长汀县国有建设用地供应按照《长汀县国土空间总体规划（成果稿</w:t>
      </w:r>
      <w:r>
        <w:rPr>
          <w:rFonts w:ascii="仿宋_GB2312" w:eastAsia="仿宋_GB2312" w:hAnsi="仿宋_GB2312" w:cs="仿宋_GB2312" w:hint="eastAsia"/>
          <w:sz w:val="32"/>
          <w:szCs w:val="32"/>
        </w:rPr>
        <w:t>）》的要求优化土地供应结构，着重于省重点建设项目用地、工业用地、基础设施和基础产业的用地安排，以实现和谐社会以及节约型社会为根本目标，建立多层次、多渠道的住房供应体系，均衡房源供应，满</w:t>
      </w:r>
      <w:r>
        <w:rPr>
          <w:rFonts w:ascii="仿宋_GB2312" w:eastAsia="仿宋_GB2312" w:hAnsi="仿宋_GB2312" w:cs="仿宋_GB2312" w:hint="eastAsia"/>
          <w:sz w:val="32"/>
          <w:szCs w:val="32"/>
        </w:rPr>
        <w:lastRenderedPageBreak/>
        <w:t>足不同收入层次居民住房的需求，实现中小套型商品房用地不低于住房建设用地供应总量的</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w:t>
      </w:r>
    </w:p>
    <w:p w:rsidR="00B23312" w:rsidRDefault="000D34B2">
      <w:pPr>
        <w:pStyle w:val="2"/>
        <w:spacing w:line="240" w:lineRule="auto"/>
        <w:rPr>
          <w:rFonts w:ascii="仿宋_GB2312" w:eastAsia="仿宋_GB2312" w:hAnsi="仿宋_GB2312" w:cs="仿宋_GB2312"/>
          <w:b w:val="0"/>
          <w:bCs w:val="0"/>
        </w:rPr>
      </w:pPr>
      <w:bookmarkStart w:id="41" w:name="_Toc287858626"/>
      <w:bookmarkStart w:id="42" w:name="_Toc32341"/>
      <w:r>
        <w:rPr>
          <w:rFonts w:ascii="仿宋_GB2312" w:eastAsia="仿宋_GB2312" w:hAnsi="仿宋_GB2312" w:cs="仿宋_GB2312" w:hint="eastAsia"/>
        </w:rPr>
        <w:t>（三）促进土地集约节约利用</w:t>
      </w:r>
      <w:bookmarkEnd w:id="41"/>
      <w:bookmarkEnd w:id="42"/>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长汀县国有建设用地供应立足于土地集约节约利用的需求，按照以供给引导和制约需求的原则来编制，严格控制土地供应总量，严格按照各类建设项目用地定额标准和投资强度来计算建设用地的需求，防止浪费土地；充分挖掘农</w:t>
      </w:r>
      <w:r>
        <w:rPr>
          <w:rFonts w:ascii="仿宋_GB2312" w:eastAsia="仿宋_GB2312" w:hAnsi="仿宋_GB2312" w:cs="仿宋_GB2312" w:hint="eastAsia"/>
          <w:sz w:val="32"/>
          <w:szCs w:val="32"/>
        </w:rPr>
        <w:t>用地转用潜力、农村城乡增减挂钩潜力、政府收购储备潜力，最大限度利用原有建设用地，尽量少占耕地，做到建设用地集约节约利用。</w:t>
      </w:r>
    </w:p>
    <w:p w:rsidR="00B23312" w:rsidRDefault="000D34B2">
      <w:pPr>
        <w:pStyle w:val="2"/>
        <w:spacing w:line="240" w:lineRule="auto"/>
        <w:rPr>
          <w:rFonts w:ascii="仿宋_GB2312" w:eastAsia="仿宋_GB2312" w:hAnsi="仿宋_GB2312" w:cs="仿宋_GB2312"/>
          <w:b w:val="0"/>
          <w:bCs w:val="0"/>
        </w:rPr>
      </w:pPr>
      <w:bookmarkStart w:id="43" w:name="_Toc287858627"/>
      <w:bookmarkStart w:id="44" w:name="_Toc30211"/>
      <w:r>
        <w:rPr>
          <w:rFonts w:ascii="仿宋_GB2312" w:eastAsia="仿宋_GB2312" w:hAnsi="仿宋_GB2312" w:cs="仿宋_GB2312" w:hint="eastAsia"/>
        </w:rPr>
        <w:t>（四）发挥市场配置资源基础性作用</w:t>
      </w:r>
      <w:bookmarkEnd w:id="43"/>
      <w:bookmarkEnd w:id="44"/>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长汀县国有建设用地供应本着尊重市场在资源配置中的基础性作用的原则，推进土地市场建设，对经营性用地和工业用地一律实施“招、拍、挂”制度，逐步减少划拨土地的供应数量，划拨用地仅限于教育用地、为民办实事项目，以及省重点建设基础设施用地。同时，转变政府职能，从宏观上控制建设用地的流向，规范管理土地市场供应，以市场主导资源配置，减少损害群众利益的行为发生</w:t>
      </w:r>
      <w:r>
        <w:rPr>
          <w:rFonts w:ascii="仿宋_GB2312" w:eastAsia="仿宋_GB2312" w:hAnsi="仿宋_GB2312" w:cs="仿宋_GB2312" w:hint="eastAsia"/>
          <w:sz w:val="32"/>
          <w:szCs w:val="32"/>
        </w:rPr>
        <w:t>，减少社会矛盾，促进社会和谐。</w:t>
      </w:r>
    </w:p>
    <w:p w:rsidR="00B23312" w:rsidRDefault="000D34B2">
      <w:pPr>
        <w:pStyle w:val="2"/>
        <w:spacing w:line="240" w:lineRule="auto"/>
        <w:rPr>
          <w:rFonts w:ascii="仿宋_GB2312" w:eastAsia="仿宋_GB2312" w:hAnsi="仿宋_GB2312" w:cs="仿宋_GB2312"/>
          <w:b w:val="0"/>
          <w:bCs w:val="0"/>
        </w:rPr>
      </w:pPr>
      <w:bookmarkStart w:id="45" w:name="_Toc14360"/>
      <w:r>
        <w:rPr>
          <w:rFonts w:ascii="仿宋_GB2312" w:eastAsia="仿宋_GB2312" w:hAnsi="仿宋_GB2312" w:cs="仿宋_GB2312" w:hint="eastAsia"/>
        </w:rPr>
        <w:lastRenderedPageBreak/>
        <w:t>五、住宅供应计划</w:t>
      </w:r>
      <w:bookmarkEnd w:id="45"/>
    </w:p>
    <w:p w:rsidR="00B23312" w:rsidRDefault="000D34B2">
      <w:pPr>
        <w:pStyle w:val="2"/>
        <w:spacing w:line="240" w:lineRule="auto"/>
        <w:rPr>
          <w:rFonts w:ascii="仿宋_GB2312" w:eastAsia="仿宋_GB2312" w:hAnsi="仿宋_GB2312" w:cs="仿宋_GB2312"/>
          <w:b w:val="0"/>
          <w:bCs w:val="0"/>
        </w:rPr>
      </w:pPr>
      <w:bookmarkStart w:id="46" w:name="_Toc10280"/>
      <w:r>
        <w:rPr>
          <w:rFonts w:ascii="仿宋_GB2312" w:eastAsia="仿宋_GB2312" w:hAnsi="仿宋_GB2312" w:cs="仿宋_GB2312" w:hint="eastAsia"/>
        </w:rPr>
        <w:t>（一）住宅用地总量和结构</w:t>
      </w:r>
      <w:bookmarkEnd w:id="46"/>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依据《自然资源部办公厅关于进一步规范住宅用地供应信息公开工作的通知》（自然资办函〔</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2728</w:t>
      </w:r>
      <w:r>
        <w:rPr>
          <w:rFonts w:ascii="仿宋_GB2312" w:eastAsia="仿宋_GB2312" w:hAnsi="仿宋_GB2312" w:cs="仿宋_GB2312" w:hint="eastAsia"/>
          <w:sz w:val="32"/>
          <w:szCs w:val="32"/>
        </w:rPr>
        <w:t>号）精神，长汀县</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至</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年前五年供应经营性房地产住宅用地</w:t>
      </w:r>
      <w:r>
        <w:rPr>
          <w:rFonts w:ascii="仿宋_GB2312" w:eastAsia="仿宋_GB2312" w:hAnsi="仿宋_GB2312" w:cs="仿宋_GB2312" w:hint="eastAsia"/>
          <w:sz w:val="32"/>
          <w:szCs w:val="32"/>
        </w:rPr>
        <w:t>1048.52</w:t>
      </w:r>
      <w:r>
        <w:rPr>
          <w:rFonts w:ascii="仿宋_GB2312" w:eastAsia="仿宋_GB2312" w:hAnsi="仿宋_GB2312" w:cs="仿宋_GB2312" w:hint="eastAsia"/>
          <w:sz w:val="32"/>
          <w:szCs w:val="32"/>
        </w:rPr>
        <w:t>亩，平均年供应量</w:t>
      </w:r>
      <w:r>
        <w:rPr>
          <w:rFonts w:ascii="仿宋_GB2312" w:eastAsia="仿宋_GB2312" w:hAnsi="仿宋_GB2312" w:cs="仿宋_GB2312" w:hint="eastAsia"/>
          <w:sz w:val="32"/>
          <w:szCs w:val="32"/>
        </w:rPr>
        <w:t>209.7</w:t>
      </w:r>
      <w:r>
        <w:rPr>
          <w:rFonts w:ascii="仿宋_GB2312" w:eastAsia="仿宋_GB2312" w:hAnsi="仿宋_GB2312" w:cs="仿宋_GB2312" w:hint="eastAsia"/>
          <w:sz w:val="32"/>
          <w:szCs w:val="32"/>
        </w:rPr>
        <w:t>亩。按照目前国家对房地产市场调控“房子是用来住的，不是用来炒的定位”，稳定市场预期、维护市场公平，促进房地产市场平稳健康发展的要求。</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年度本县住宅用地计划供应</w:t>
      </w:r>
      <w:r>
        <w:rPr>
          <w:rFonts w:ascii="仿宋_GB2312" w:eastAsia="仿宋_GB2312" w:hAnsi="仿宋_GB2312" w:cs="仿宋_GB2312" w:hint="eastAsia"/>
          <w:sz w:val="32"/>
          <w:szCs w:val="32"/>
        </w:rPr>
        <w:t>17.33</w:t>
      </w:r>
      <w:r>
        <w:rPr>
          <w:rFonts w:ascii="仿宋_GB2312" w:eastAsia="仿宋_GB2312" w:hAnsi="仿宋_GB2312" w:cs="仿宋_GB2312" w:hint="eastAsia"/>
          <w:sz w:val="32"/>
          <w:szCs w:val="32"/>
        </w:rPr>
        <w:t>公顷，其中产权住宅用地</w:t>
      </w:r>
      <w:r>
        <w:rPr>
          <w:rFonts w:ascii="仿宋_GB2312" w:eastAsia="仿宋_GB2312" w:hAnsi="仿宋_GB2312" w:cs="仿宋_GB2312" w:hint="eastAsia"/>
          <w:sz w:val="32"/>
          <w:szCs w:val="32"/>
        </w:rPr>
        <w:t>17.33</w:t>
      </w:r>
      <w:r>
        <w:rPr>
          <w:rFonts w:ascii="仿宋_GB2312" w:eastAsia="仿宋_GB2312" w:hAnsi="仿宋_GB2312" w:cs="仿宋_GB2312" w:hint="eastAsia"/>
          <w:sz w:val="32"/>
          <w:szCs w:val="32"/>
        </w:rPr>
        <w:t>公顷（商品住宅用地</w:t>
      </w:r>
      <w:r>
        <w:rPr>
          <w:rFonts w:ascii="仿宋_GB2312" w:eastAsia="仿宋_GB2312" w:hAnsi="仿宋_GB2312" w:cs="仿宋_GB2312" w:hint="eastAsia"/>
          <w:sz w:val="32"/>
          <w:szCs w:val="32"/>
        </w:rPr>
        <w:t>17.33</w:t>
      </w:r>
      <w:r>
        <w:rPr>
          <w:rFonts w:ascii="仿宋_GB2312" w:eastAsia="仿宋_GB2312" w:hAnsi="仿宋_GB2312" w:cs="仿宋_GB2312" w:hint="eastAsia"/>
          <w:sz w:val="32"/>
          <w:szCs w:val="32"/>
        </w:rPr>
        <w:t>公顷）详见附表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B23312" w:rsidRDefault="000D34B2">
      <w:pPr>
        <w:pStyle w:val="2"/>
        <w:spacing w:line="240" w:lineRule="auto"/>
        <w:rPr>
          <w:rFonts w:ascii="仿宋_GB2312" w:eastAsia="仿宋_GB2312" w:hAnsi="仿宋_GB2312" w:cs="仿宋_GB2312"/>
          <w:b w:val="0"/>
          <w:bCs w:val="0"/>
        </w:rPr>
      </w:pPr>
      <w:bookmarkStart w:id="47" w:name="_Toc24576"/>
      <w:r>
        <w:rPr>
          <w:rFonts w:ascii="仿宋_GB2312" w:eastAsia="仿宋_GB2312" w:hAnsi="仿宋_GB2312" w:cs="仿宋_GB2312" w:hint="eastAsia"/>
        </w:rPr>
        <w:t>（二）住宅用地供应布局</w:t>
      </w:r>
      <w:bookmarkEnd w:id="47"/>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根据人口结构情况、居民住宅需求、房地产市场走势，合理确定计划供应的住宅用地规模。在区域分布上，城市周边计划供应</w:t>
      </w:r>
      <w:r>
        <w:rPr>
          <w:rFonts w:ascii="仿宋_GB2312" w:eastAsia="仿宋_GB2312" w:hAnsi="仿宋_GB2312" w:cs="仿宋_GB2312" w:hint="eastAsia"/>
          <w:sz w:val="32"/>
          <w:szCs w:val="32"/>
        </w:rPr>
        <w:t>17.33</w:t>
      </w:r>
      <w:r>
        <w:rPr>
          <w:rFonts w:ascii="仿宋_GB2312" w:eastAsia="仿宋_GB2312" w:hAnsi="仿宋_GB2312" w:cs="仿宋_GB2312" w:hint="eastAsia"/>
          <w:sz w:val="32"/>
          <w:szCs w:val="32"/>
        </w:rPr>
        <w:t>公顷，达到均衡合理布局，有利于促进住宅平衡。</w:t>
      </w:r>
    </w:p>
    <w:p w:rsidR="00B23312" w:rsidRDefault="000D34B2">
      <w:pPr>
        <w:pStyle w:val="2"/>
        <w:spacing w:line="240" w:lineRule="auto"/>
        <w:rPr>
          <w:rFonts w:ascii="仿宋_GB2312" w:eastAsia="仿宋_GB2312" w:hAnsi="仿宋_GB2312" w:cs="仿宋_GB2312"/>
          <w:b w:val="0"/>
          <w:bCs w:val="0"/>
        </w:rPr>
      </w:pPr>
      <w:bookmarkStart w:id="48" w:name="_Toc24469"/>
      <w:r>
        <w:rPr>
          <w:rFonts w:ascii="仿宋_GB2312" w:eastAsia="仿宋_GB2312" w:hAnsi="仿宋_GB2312" w:cs="仿宋_GB2312" w:hint="eastAsia"/>
        </w:rPr>
        <w:t>（三）住宅用地供应保障措施</w:t>
      </w:r>
      <w:bookmarkEnd w:id="48"/>
    </w:p>
    <w:p w:rsidR="00B23312" w:rsidRDefault="000D34B2" w:rsidP="00F75D28">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组织领导方面。</w:t>
      </w:r>
      <w:r>
        <w:rPr>
          <w:rFonts w:ascii="仿宋_GB2312" w:eastAsia="仿宋_GB2312" w:hAnsi="仿宋_GB2312" w:cs="仿宋_GB2312" w:hint="eastAsia"/>
          <w:sz w:val="32"/>
          <w:szCs w:val="32"/>
        </w:rPr>
        <w:t>各部门在供应计划推进中遇到困难问题，及时进行沟通协调，定期向县土管委、县招拍挂领导小组汇报，进行统一协调，确保计划项目的实施。</w:t>
      </w:r>
    </w:p>
    <w:p w:rsidR="00B23312" w:rsidRDefault="000D34B2" w:rsidP="00F75D28">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2</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规划编制方面。</w:t>
      </w:r>
      <w:r>
        <w:rPr>
          <w:rFonts w:ascii="仿宋_GB2312" w:eastAsia="仿宋_GB2312" w:hAnsi="仿宋_GB2312" w:cs="仿宋_GB2312" w:hint="eastAsia"/>
          <w:sz w:val="32"/>
          <w:szCs w:val="32"/>
        </w:rPr>
        <w:t>在年度计划执行过程中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加强自然资源和规划、发改、住建、气象部门间的沟通合作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探索建立关联数据共享机制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及时协调解决计划实施过程中的问题加快审批列入计划内项目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支持乡镇政府推进计划实施。各乡镇政府应加强规划设计征地拆迁、房屋征收等前期工作协调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及时主动与相关部门沟通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确保计划实施。</w:t>
      </w:r>
    </w:p>
    <w:p w:rsidR="00B23312" w:rsidRDefault="000D34B2" w:rsidP="00F75D28">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财政保障方面。</w:t>
      </w:r>
      <w:r>
        <w:rPr>
          <w:rFonts w:ascii="仿宋_GB2312" w:eastAsia="仿宋_GB2312" w:hAnsi="仿宋_GB2312" w:cs="仿宋_GB2312" w:hint="eastAsia"/>
          <w:sz w:val="32"/>
          <w:szCs w:val="32"/>
        </w:rPr>
        <w:t>县财政局按照计划安排，提前谋划安排各项下拨资金费用，将涉及项目的资金列入支出计划，确保所需资金费用足额下拨各相关部门、乡镇。</w:t>
      </w:r>
    </w:p>
    <w:p w:rsidR="00B23312" w:rsidRDefault="000D34B2" w:rsidP="00F75D28">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监督管理方面。</w:t>
      </w:r>
      <w:r>
        <w:rPr>
          <w:rFonts w:ascii="仿宋_GB2312" w:eastAsia="仿宋_GB2312" w:hAnsi="仿宋_GB2312" w:cs="仿宋_GB2312" w:hint="eastAsia"/>
          <w:sz w:val="32"/>
          <w:szCs w:val="32"/>
        </w:rPr>
        <w:t>严格落实建设用地全程管理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及时发现计划执行进程中存在的问题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定期向社会通报计划执行情况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对因特殊原因影响供应计划安排的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应及时会同相关部门做好计划调整工作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促进地块按期开发建设。加大置土地处置力度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加强土地市场动态监测监管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加快推进诚信体系建设构建节约用地长效制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完善工业项目考核验收机制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建立节地综合考评制度。</w:t>
      </w:r>
    </w:p>
    <w:p w:rsidR="00B23312" w:rsidRDefault="000D34B2" w:rsidP="00F75D28">
      <w:pPr>
        <w:ind w:firstLineChars="200" w:firstLine="641"/>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信息披露方面。</w:t>
      </w:r>
      <w:r>
        <w:rPr>
          <w:rFonts w:ascii="仿宋_GB2312" w:eastAsia="仿宋_GB2312" w:hAnsi="仿宋_GB2312" w:cs="仿宋_GB2312" w:hint="eastAsia"/>
          <w:sz w:val="32"/>
          <w:szCs w:val="32"/>
        </w:rPr>
        <w:t>对于拟供地块要加大供地信息披露力度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严格按照相关程和规范做好供地手续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切实做到公开、公平、公正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维护土地市。</w:t>
      </w:r>
    </w:p>
    <w:p w:rsidR="00B23312" w:rsidRDefault="000D34B2">
      <w:pPr>
        <w:pStyle w:val="2"/>
        <w:spacing w:line="240" w:lineRule="auto"/>
        <w:rPr>
          <w:rFonts w:ascii="仿宋_GB2312" w:eastAsia="仿宋_GB2312" w:hAnsi="仿宋_GB2312" w:cs="仿宋_GB2312"/>
          <w:b w:val="0"/>
          <w:bCs w:val="0"/>
        </w:rPr>
      </w:pPr>
      <w:bookmarkStart w:id="49" w:name="_Toc287858628"/>
      <w:bookmarkStart w:id="50" w:name="_Toc28139"/>
      <w:r>
        <w:rPr>
          <w:rFonts w:ascii="仿宋_GB2312" w:eastAsia="仿宋_GB2312" w:hAnsi="仿宋_GB2312" w:cs="仿宋_GB2312" w:hint="eastAsia"/>
        </w:rPr>
        <w:lastRenderedPageBreak/>
        <w:t>六、国有建设用地供应计划实施的保障措施</w:t>
      </w:r>
      <w:bookmarkEnd w:id="49"/>
      <w:bookmarkEnd w:id="50"/>
    </w:p>
    <w:p w:rsidR="00B23312" w:rsidRDefault="000D34B2">
      <w:pPr>
        <w:pStyle w:val="2"/>
        <w:spacing w:line="240" w:lineRule="auto"/>
        <w:rPr>
          <w:rFonts w:ascii="仿宋_GB2312" w:eastAsia="仿宋_GB2312" w:hAnsi="仿宋_GB2312" w:cs="仿宋_GB2312"/>
          <w:b w:val="0"/>
          <w:bCs w:val="0"/>
        </w:rPr>
      </w:pPr>
      <w:bookmarkStart w:id="51" w:name="_Toc287858629"/>
      <w:bookmarkStart w:id="52" w:name="_Toc21591"/>
      <w:r>
        <w:rPr>
          <w:rFonts w:ascii="仿宋_GB2312" w:eastAsia="仿宋_GB2312" w:hAnsi="仿宋_GB2312" w:cs="仿宋_GB2312" w:hint="eastAsia"/>
        </w:rPr>
        <w:t>（一）舆论宣传</w:t>
      </w:r>
      <w:bookmarkEnd w:id="51"/>
      <w:bookmarkEnd w:id="52"/>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舆论反映人心的向背，影响着人们的行动和局势的发展，在造成或转移社会风气方面具有不可估量的影响。国有建设用地计划的编制，是国家加强土地宏观管理的一项战略措施，直接影响到国家土地管理法规政策的落实和土地宏观调控的效果。因此，要加强公众和利益部门的舆论引导，坚持以供给来制约和引导需求的土地利用原则，把建设用地的集约节约利用上升为全民的主流意识，为社会主义土地公有制服务，为社会主义经济建设服务，促进人地的和谐发展、促进土地资源的可持续利用。</w:t>
      </w:r>
    </w:p>
    <w:p w:rsidR="00B23312" w:rsidRDefault="000D34B2">
      <w:pPr>
        <w:pStyle w:val="2"/>
        <w:spacing w:line="240" w:lineRule="auto"/>
        <w:rPr>
          <w:rFonts w:ascii="仿宋_GB2312" w:eastAsia="仿宋_GB2312" w:hAnsi="仿宋_GB2312" w:cs="仿宋_GB2312"/>
          <w:b w:val="0"/>
          <w:bCs w:val="0"/>
        </w:rPr>
      </w:pPr>
      <w:bookmarkStart w:id="53" w:name="_Toc287858630"/>
      <w:bookmarkStart w:id="54" w:name="_Toc701"/>
      <w:r>
        <w:rPr>
          <w:rFonts w:ascii="仿宋_GB2312" w:eastAsia="仿宋_GB2312" w:hAnsi="仿宋_GB2312" w:cs="仿宋_GB2312" w:hint="eastAsia"/>
        </w:rPr>
        <w:t>（二）部门配合</w:t>
      </w:r>
      <w:bookmarkEnd w:id="53"/>
      <w:bookmarkEnd w:id="54"/>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国有建设用地供应计划的编制，是一个综合平衡过程，牵涉到</w:t>
      </w:r>
      <w:r>
        <w:rPr>
          <w:rFonts w:ascii="仿宋_GB2312" w:eastAsia="仿宋_GB2312" w:hAnsi="仿宋_GB2312" w:cs="仿宋_GB2312" w:hint="eastAsia"/>
          <w:sz w:val="32"/>
          <w:szCs w:val="32"/>
        </w:rPr>
        <w:t>自然资源、建设、发改、经贸、财政等各个单位。</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年的用地计划能够落实，关键在于各部门是否执行到位，因此要强化配合，形成合力，做好建设用地的管理工作。</w:t>
      </w:r>
    </w:p>
    <w:p w:rsidR="00B23312" w:rsidRDefault="000D34B2">
      <w:pPr>
        <w:pStyle w:val="2"/>
        <w:spacing w:line="240" w:lineRule="auto"/>
        <w:rPr>
          <w:rFonts w:ascii="仿宋_GB2312" w:eastAsia="仿宋_GB2312" w:hAnsi="仿宋_GB2312" w:cs="仿宋_GB2312"/>
          <w:b w:val="0"/>
        </w:rPr>
      </w:pPr>
      <w:bookmarkStart w:id="55" w:name="_Toc287858631"/>
      <w:bookmarkStart w:id="56" w:name="_Toc20669"/>
      <w:r>
        <w:rPr>
          <w:rFonts w:ascii="仿宋_GB2312" w:eastAsia="仿宋_GB2312" w:hAnsi="仿宋_GB2312" w:cs="仿宋_GB2312" w:hint="eastAsia"/>
        </w:rPr>
        <w:t>（三）相关激励</w:t>
      </w:r>
      <w:bookmarkEnd w:id="55"/>
      <w:bookmarkEnd w:id="56"/>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激励政策，就是要经济活动的当事人达到一种状态，在这种状态下，它具有从事某种经济活动的内在推动力。</w:t>
      </w:r>
      <w:r>
        <w:rPr>
          <w:rFonts w:ascii="仿宋_GB2312" w:eastAsia="仿宋_GB2312" w:hAnsi="仿宋_GB2312" w:cs="仿宋_GB2312" w:hint="eastAsia"/>
          <w:sz w:val="32"/>
          <w:szCs w:val="32"/>
        </w:rPr>
        <w:lastRenderedPageBreak/>
        <w:t>必须建立起相关激励机制，运用行政的、经济的、技术的、法律的激励机制，建立起城市土地的集约、节约利用激励机制、农用地保护的激励机制、农用地向建设用地最优转化激励机制等相关内容，确保</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年国有建设用地供应计划能够落到实处。</w:t>
      </w:r>
    </w:p>
    <w:p w:rsidR="00B23312" w:rsidRDefault="000D34B2">
      <w:pPr>
        <w:pStyle w:val="2"/>
        <w:spacing w:line="240" w:lineRule="auto"/>
        <w:rPr>
          <w:rFonts w:ascii="仿宋_GB2312" w:eastAsia="仿宋_GB2312" w:hAnsi="仿宋_GB2312" w:cs="仿宋_GB2312"/>
          <w:b w:val="0"/>
        </w:rPr>
      </w:pPr>
      <w:bookmarkStart w:id="57" w:name="_Toc287858632"/>
      <w:bookmarkStart w:id="58" w:name="_Toc8340"/>
      <w:r>
        <w:rPr>
          <w:rFonts w:ascii="仿宋_GB2312" w:eastAsia="仿宋_GB2312" w:hAnsi="仿宋_GB2312" w:cs="仿宋_GB2312" w:hint="eastAsia"/>
        </w:rPr>
        <w:t>（四）制度保障</w:t>
      </w:r>
      <w:bookmarkEnd w:id="57"/>
      <w:bookmarkEnd w:id="58"/>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制度表</w:t>
      </w:r>
      <w:r>
        <w:rPr>
          <w:rFonts w:ascii="仿宋_GB2312" w:eastAsia="仿宋_GB2312" w:hAnsi="仿宋_GB2312" w:cs="仿宋_GB2312" w:hint="eastAsia"/>
          <w:sz w:val="32"/>
          <w:szCs w:val="32"/>
        </w:rPr>
        <w:t>现为管束人们行为的一系列规则。正式的制度是指人们有意识的创造一系列政策法规以及由这一系列规则构成的等级结构。制度具有降低交易成本，为经济提供服务，为合作创造条件，提供激励机制等功能为土地资源的持续利用作贡献。建设用地的供给计划本身就是一项建设用地管理的制度安排，关系到各部门各行业的切身利益，在其执行过程中，极易产生不确定性，因此，要建立和完善国有建设用地供应计划的执行、监督、考评、监测体系，做到权力与权威、谋断与决断的统一，确保</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年国有建设用地供应计划能够贯彻执行。</w:t>
      </w:r>
    </w:p>
    <w:p w:rsidR="00B23312" w:rsidRDefault="000D34B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本计划向社会公开，网址为长汀县政府网（网址：</w:t>
      </w:r>
      <w:r>
        <w:rPr>
          <w:rFonts w:ascii="仿宋_GB2312" w:eastAsia="仿宋_GB2312" w:hAnsi="仿宋_GB2312" w:cs="仿宋_GB2312"/>
          <w:sz w:val="32"/>
          <w:szCs w:val="32"/>
        </w:rPr>
        <w:t>http://www.changting.gov.cn/</w:t>
      </w:r>
      <w:r>
        <w:rPr>
          <w:rFonts w:ascii="仿宋_GB2312" w:eastAsia="仿宋_GB2312" w:hAnsi="仿宋_GB2312" w:cs="仿宋_GB2312" w:hint="eastAsia"/>
          <w:sz w:val="32"/>
          <w:szCs w:val="32"/>
        </w:rPr>
        <w:t>），中国土地市场网（网址：</w:t>
      </w:r>
      <w:r>
        <w:rPr>
          <w:rFonts w:ascii="仿宋_GB2312" w:eastAsia="仿宋_GB2312" w:hAnsi="仿宋_GB2312" w:cs="仿宋_GB2312"/>
          <w:sz w:val="32"/>
          <w:szCs w:val="32"/>
        </w:rPr>
        <w:t>https://www.landchina.com/</w:t>
      </w:r>
      <w:r>
        <w:rPr>
          <w:rFonts w:ascii="仿宋_GB2312" w:eastAsia="仿宋_GB2312" w:hAnsi="仿宋_GB2312" w:cs="仿宋_GB2312" w:hint="eastAsia"/>
          <w:sz w:val="32"/>
          <w:szCs w:val="32"/>
        </w:rPr>
        <w:t>）。</w:t>
      </w:r>
    </w:p>
    <w:p w:rsidR="00B23312" w:rsidRDefault="00B23312">
      <w:pPr>
        <w:ind w:firstLineChars="200" w:firstLine="420"/>
      </w:pPr>
    </w:p>
    <w:p w:rsidR="00B23312" w:rsidRDefault="00B23312">
      <w:pPr>
        <w:ind w:firstLineChars="200" w:firstLine="420"/>
        <w:sectPr w:rsidR="00B23312">
          <w:footerReference w:type="default" r:id="rId11"/>
          <w:pgSz w:w="11906" w:h="16838"/>
          <w:pgMar w:top="1440" w:right="1800" w:bottom="1440" w:left="1800" w:header="851" w:footer="992" w:gutter="0"/>
          <w:pgNumType w:fmt="numberInDash" w:start="1"/>
          <w:cols w:space="720"/>
          <w:docGrid w:type="lines" w:linePitch="312"/>
        </w:sectPr>
      </w:pPr>
    </w:p>
    <w:p w:rsidR="00B23312" w:rsidRDefault="000D34B2">
      <w:pPr>
        <w:pStyle w:val="2"/>
        <w:spacing w:line="240" w:lineRule="auto"/>
      </w:pPr>
      <w:bookmarkStart w:id="59" w:name="_Toc22288_WPSOffice_Level1"/>
      <w:bookmarkStart w:id="60" w:name="_Toc9841_WPSOffice_Level1"/>
      <w:bookmarkStart w:id="61" w:name="_Toc29495"/>
      <w:r>
        <w:lastRenderedPageBreak/>
        <w:t>附</w:t>
      </w:r>
      <w:bookmarkStart w:id="62" w:name="_Toc17532_WPSOffice_Level1"/>
      <w:bookmarkEnd w:id="59"/>
      <w:r>
        <w:t>表</w:t>
      </w:r>
      <w:r>
        <w:rPr>
          <w:rFonts w:hint="eastAsia"/>
        </w:rPr>
        <w:t>1</w:t>
      </w:r>
      <w:r>
        <w:rPr>
          <w:rFonts w:hint="eastAsia"/>
        </w:rPr>
        <w:t>：</w:t>
      </w:r>
      <w:bookmarkEnd w:id="60"/>
      <w:bookmarkEnd w:id="61"/>
      <w:bookmarkEnd w:id="62"/>
    </w:p>
    <w:p w:rsidR="00B23312" w:rsidRDefault="000D34B2">
      <w:pPr>
        <w:pStyle w:val="2"/>
        <w:spacing w:line="240" w:lineRule="auto"/>
        <w:rPr>
          <w:b w:val="0"/>
          <w:bCs w:val="0"/>
        </w:rPr>
      </w:pPr>
      <w:bookmarkStart w:id="63" w:name="_Toc9673"/>
      <w:r>
        <w:rPr>
          <w:rFonts w:hint="eastAsia"/>
        </w:rPr>
        <w:t>长汀县</w:t>
      </w:r>
      <w:r>
        <w:rPr>
          <w:rFonts w:hint="eastAsia"/>
        </w:rPr>
        <w:t>2</w:t>
      </w:r>
      <w:r>
        <w:t>02</w:t>
      </w:r>
      <w:r>
        <w:rPr>
          <w:rFonts w:hint="eastAsia"/>
        </w:rPr>
        <w:t>4</w:t>
      </w:r>
      <w:r>
        <w:rPr>
          <w:rFonts w:hint="eastAsia"/>
        </w:rPr>
        <w:t>年度住宅用地供应计划表</w:t>
      </w:r>
      <w:bookmarkEnd w:id="63"/>
    </w:p>
    <w:p w:rsidR="00B23312" w:rsidRDefault="000D34B2">
      <w:pPr>
        <w:ind w:firstLineChars="200" w:firstLine="420"/>
        <w:jc w:val="right"/>
      </w:pPr>
      <w:r>
        <w:rPr>
          <w:rFonts w:hint="eastAsia"/>
        </w:rPr>
        <w:t>单位：公顷</w:t>
      </w:r>
    </w:p>
    <w:tbl>
      <w:tblPr>
        <w:tblpPr w:leftFromText="180" w:rightFromText="180" w:vertAnchor="text" w:horzAnchor="margin" w:tblpY="32"/>
        <w:tblW w:w="13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1014"/>
        <w:gridCol w:w="1400"/>
        <w:gridCol w:w="1400"/>
        <w:gridCol w:w="1403"/>
        <w:gridCol w:w="1498"/>
        <w:gridCol w:w="1385"/>
        <w:gridCol w:w="1320"/>
        <w:gridCol w:w="2165"/>
      </w:tblGrid>
      <w:tr w:rsidR="00B23312">
        <w:trPr>
          <w:trHeight w:val="1047"/>
        </w:trPr>
        <w:tc>
          <w:tcPr>
            <w:tcW w:w="1786"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片区</w:t>
            </w:r>
          </w:p>
        </w:tc>
        <w:tc>
          <w:tcPr>
            <w:tcW w:w="1014"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总量</w:t>
            </w:r>
          </w:p>
        </w:tc>
        <w:tc>
          <w:tcPr>
            <w:tcW w:w="4203" w:type="dxa"/>
            <w:gridSpan w:val="3"/>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产权住宅用地</w:t>
            </w:r>
          </w:p>
        </w:tc>
        <w:tc>
          <w:tcPr>
            <w:tcW w:w="4203" w:type="dxa"/>
            <w:gridSpan w:val="3"/>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租赁住宅用地</w:t>
            </w:r>
          </w:p>
        </w:tc>
        <w:tc>
          <w:tcPr>
            <w:tcW w:w="2165"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其他住宅用地</w:t>
            </w:r>
          </w:p>
        </w:tc>
      </w:tr>
      <w:tr w:rsidR="00B23312">
        <w:trPr>
          <w:trHeight w:val="1007"/>
        </w:trPr>
        <w:tc>
          <w:tcPr>
            <w:tcW w:w="1786" w:type="dxa"/>
            <w:vMerge/>
            <w:vAlign w:val="center"/>
          </w:tcPr>
          <w:p w:rsidR="00B23312" w:rsidRDefault="00B23312">
            <w:pPr>
              <w:widowControl/>
              <w:jc w:val="center"/>
              <w:rPr>
                <w:rFonts w:ascii="仿宋_GB2312" w:eastAsia="仿宋_GB2312" w:hAnsi="宋体" w:cs="宋体"/>
                <w:b/>
                <w:bCs/>
                <w:kern w:val="0"/>
                <w:sz w:val="24"/>
              </w:rPr>
            </w:pPr>
          </w:p>
        </w:tc>
        <w:tc>
          <w:tcPr>
            <w:tcW w:w="1014" w:type="dxa"/>
            <w:vMerge/>
            <w:vAlign w:val="center"/>
          </w:tcPr>
          <w:p w:rsidR="00B23312" w:rsidRDefault="00B23312">
            <w:pPr>
              <w:widowControl/>
              <w:jc w:val="center"/>
              <w:rPr>
                <w:rFonts w:ascii="仿宋_GB2312" w:eastAsia="仿宋_GB2312" w:hAnsi="宋体" w:cs="宋体"/>
                <w:b/>
                <w:bCs/>
                <w:kern w:val="0"/>
                <w:sz w:val="24"/>
              </w:rPr>
            </w:pPr>
          </w:p>
        </w:tc>
        <w:tc>
          <w:tcPr>
            <w:tcW w:w="1400"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商品</w:t>
            </w:r>
          </w:p>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住宅用地</w:t>
            </w:r>
          </w:p>
        </w:tc>
        <w:tc>
          <w:tcPr>
            <w:tcW w:w="1400"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共有产权</w:t>
            </w:r>
          </w:p>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住宅用地</w:t>
            </w:r>
          </w:p>
        </w:tc>
        <w:tc>
          <w:tcPr>
            <w:tcW w:w="1401"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小计</w:t>
            </w:r>
          </w:p>
        </w:tc>
        <w:tc>
          <w:tcPr>
            <w:tcW w:w="1498"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保障性租赁住宅用地</w:t>
            </w:r>
          </w:p>
        </w:tc>
        <w:tc>
          <w:tcPr>
            <w:tcW w:w="1385"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市场化租赁住宅用地</w:t>
            </w:r>
          </w:p>
        </w:tc>
        <w:tc>
          <w:tcPr>
            <w:tcW w:w="1319" w:type="dxa"/>
            <w:vMerge w:val="restart"/>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小计</w:t>
            </w:r>
          </w:p>
        </w:tc>
        <w:tc>
          <w:tcPr>
            <w:tcW w:w="2165" w:type="dxa"/>
            <w:vMerge/>
            <w:vAlign w:val="center"/>
          </w:tcPr>
          <w:p w:rsidR="00B23312" w:rsidRDefault="00B23312">
            <w:pPr>
              <w:widowControl/>
              <w:jc w:val="center"/>
              <w:rPr>
                <w:rFonts w:ascii="仿宋_GB2312" w:eastAsia="仿宋_GB2312" w:hAnsi="宋体" w:cs="宋体"/>
                <w:b/>
                <w:bCs/>
                <w:kern w:val="0"/>
                <w:sz w:val="24"/>
              </w:rPr>
            </w:pPr>
          </w:p>
        </w:tc>
      </w:tr>
      <w:tr w:rsidR="00B23312">
        <w:trPr>
          <w:trHeight w:val="1007"/>
        </w:trPr>
        <w:tc>
          <w:tcPr>
            <w:tcW w:w="1786" w:type="dxa"/>
            <w:vMerge/>
            <w:vAlign w:val="center"/>
          </w:tcPr>
          <w:p w:rsidR="00B23312" w:rsidRDefault="00B23312">
            <w:pPr>
              <w:widowControl/>
              <w:jc w:val="center"/>
              <w:rPr>
                <w:rFonts w:ascii="仿宋_GB2312" w:eastAsia="仿宋_GB2312" w:hAnsi="宋体" w:cs="宋体"/>
                <w:b/>
                <w:bCs/>
                <w:kern w:val="0"/>
                <w:sz w:val="24"/>
              </w:rPr>
            </w:pPr>
          </w:p>
        </w:tc>
        <w:tc>
          <w:tcPr>
            <w:tcW w:w="1014" w:type="dxa"/>
            <w:vMerge/>
            <w:vAlign w:val="center"/>
          </w:tcPr>
          <w:p w:rsidR="00B23312" w:rsidRDefault="00B23312">
            <w:pPr>
              <w:widowControl/>
              <w:jc w:val="center"/>
              <w:rPr>
                <w:rFonts w:ascii="仿宋_GB2312" w:eastAsia="仿宋_GB2312" w:hAnsi="宋体" w:cs="宋体"/>
                <w:b/>
                <w:bCs/>
                <w:kern w:val="0"/>
                <w:sz w:val="24"/>
              </w:rPr>
            </w:pPr>
          </w:p>
        </w:tc>
        <w:tc>
          <w:tcPr>
            <w:tcW w:w="1400" w:type="dxa"/>
            <w:vMerge/>
            <w:vAlign w:val="center"/>
          </w:tcPr>
          <w:p w:rsidR="00B23312" w:rsidRDefault="00B23312">
            <w:pPr>
              <w:widowControl/>
              <w:jc w:val="center"/>
              <w:rPr>
                <w:rFonts w:ascii="仿宋_GB2312" w:eastAsia="仿宋_GB2312" w:hAnsi="宋体" w:cs="宋体"/>
                <w:b/>
                <w:bCs/>
                <w:kern w:val="0"/>
                <w:sz w:val="24"/>
              </w:rPr>
            </w:pPr>
          </w:p>
        </w:tc>
        <w:tc>
          <w:tcPr>
            <w:tcW w:w="1400" w:type="dxa"/>
            <w:vMerge/>
            <w:vAlign w:val="center"/>
          </w:tcPr>
          <w:p w:rsidR="00B23312" w:rsidRDefault="00B23312">
            <w:pPr>
              <w:widowControl/>
              <w:jc w:val="center"/>
              <w:rPr>
                <w:rFonts w:ascii="仿宋_GB2312" w:eastAsia="仿宋_GB2312" w:hAnsi="宋体" w:cs="宋体"/>
                <w:b/>
                <w:bCs/>
                <w:kern w:val="0"/>
                <w:sz w:val="24"/>
              </w:rPr>
            </w:pPr>
          </w:p>
        </w:tc>
        <w:tc>
          <w:tcPr>
            <w:tcW w:w="1401" w:type="dxa"/>
            <w:vMerge/>
            <w:vAlign w:val="center"/>
          </w:tcPr>
          <w:p w:rsidR="00B23312" w:rsidRDefault="00B23312">
            <w:pPr>
              <w:widowControl/>
              <w:jc w:val="center"/>
              <w:rPr>
                <w:rFonts w:ascii="仿宋_GB2312" w:eastAsia="仿宋_GB2312" w:hAnsi="宋体" w:cs="宋体"/>
                <w:b/>
                <w:bCs/>
                <w:kern w:val="0"/>
                <w:sz w:val="24"/>
              </w:rPr>
            </w:pPr>
          </w:p>
        </w:tc>
        <w:tc>
          <w:tcPr>
            <w:tcW w:w="1498" w:type="dxa"/>
            <w:vMerge/>
            <w:vAlign w:val="center"/>
          </w:tcPr>
          <w:p w:rsidR="00B23312" w:rsidRDefault="00B23312">
            <w:pPr>
              <w:widowControl/>
              <w:jc w:val="center"/>
              <w:rPr>
                <w:rFonts w:ascii="仿宋_GB2312" w:eastAsia="仿宋_GB2312" w:hAnsi="宋体" w:cs="宋体"/>
                <w:b/>
                <w:bCs/>
                <w:kern w:val="0"/>
                <w:sz w:val="24"/>
              </w:rPr>
            </w:pPr>
          </w:p>
        </w:tc>
        <w:tc>
          <w:tcPr>
            <w:tcW w:w="1385" w:type="dxa"/>
            <w:vMerge/>
            <w:vAlign w:val="center"/>
          </w:tcPr>
          <w:p w:rsidR="00B23312" w:rsidRDefault="00B23312">
            <w:pPr>
              <w:widowControl/>
              <w:jc w:val="center"/>
              <w:rPr>
                <w:rFonts w:ascii="仿宋_GB2312" w:eastAsia="仿宋_GB2312" w:hAnsi="宋体" w:cs="宋体"/>
                <w:b/>
                <w:bCs/>
                <w:kern w:val="0"/>
                <w:sz w:val="24"/>
              </w:rPr>
            </w:pPr>
          </w:p>
        </w:tc>
        <w:tc>
          <w:tcPr>
            <w:tcW w:w="1319" w:type="dxa"/>
            <w:vMerge/>
            <w:vAlign w:val="center"/>
          </w:tcPr>
          <w:p w:rsidR="00B23312" w:rsidRDefault="00B23312">
            <w:pPr>
              <w:widowControl/>
              <w:jc w:val="center"/>
              <w:rPr>
                <w:rFonts w:ascii="仿宋_GB2312" w:eastAsia="仿宋_GB2312" w:hAnsi="宋体" w:cs="宋体"/>
                <w:b/>
                <w:bCs/>
                <w:kern w:val="0"/>
                <w:sz w:val="24"/>
              </w:rPr>
            </w:pPr>
          </w:p>
        </w:tc>
        <w:tc>
          <w:tcPr>
            <w:tcW w:w="2165" w:type="dxa"/>
            <w:vMerge/>
            <w:vAlign w:val="center"/>
          </w:tcPr>
          <w:p w:rsidR="00B23312" w:rsidRDefault="00B23312">
            <w:pPr>
              <w:widowControl/>
              <w:jc w:val="center"/>
              <w:rPr>
                <w:rFonts w:ascii="仿宋_GB2312" w:eastAsia="仿宋_GB2312" w:hAnsi="宋体" w:cs="宋体"/>
                <w:b/>
                <w:bCs/>
                <w:kern w:val="0"/>
                <w:sz w:val="24"/>
              </w:rPr>
            </w:pPr>
          </w:p>
        </w:tc>
      </w:tr>
      <w:tr w:rsidR="00B23312">
        <w:trPr>
          <w:trHeight w:val="1007"/>
        </w:trPr>
        <w:tc>
          <w:tcPr>
            <w:tcW w:w="1786" w:type="dxa"/>
            <w:vAlign w:val="center"/>
          </w:tcPr>
          <w:p w:rsidR="00B23312" w:rsidRDefault="00B23312">
            <w:pPr>
              <w:widowControl/>
              <w:jc w:val="center"/>
              <w:rPr>
                <w:rFonts w:ascii="仿宋_GB2312" w:eastAsia="仿宋_GB2312" w:hAnsi="宋体" w:cs="宋体"/>
                <w:kern w:val="0"/>
                <w:sz w:val="24"/>
              </w:rPr>
            </w:pPr>
          </w:p>
        </w:tc>
        <w:tc>
          <w:tcPr>
            <w:tcW w:w="1014"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①</w:t>
            </w:r>
          </w:p>
        </w:tc>
        <w:tc>
          <w:tcPr>
            <w:tcW w:w="1400"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②</w:t>
            </w:r>
          </w:p>
        </w:tc>
        <w:tc>
          <w:tcPr>
            <w:tcW w:w="1400"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③</w:t>
            </w:r>
          </w:p>
        </w:tc>
        <w:tc>
          <w:tcPr>
            <w:tcW w:w="1401"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④</w:t>
            </w:r>
          </w:p>
        </w:tc>
        <w:tc>
          <w:tcPr>
            <w:tcW w:w="1498"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⑤</w:t>
            </w:r>
          </w:p>
        </w:tc>
        <w:tc>
          <w:tcPr>
            <w:tcW w:w="1385"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⑥</w:t>
            </w:r>
          </w:p>
        </w:tc>
        <w:tc>
          <w:tcPr>
            <w:tcW w:w="1319"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⑦</w:t>
            </w:r>
          </w:p>
        </w:tc>
        <w:tc>
          <w:tcPr>
            <w:tcW w:w="2165"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⑧</w:t>
            </w:r>
          </w:p>
        </w:tc>
      </w:tr>
      <w:tr w:rsidR="00B23312">
        <w:trPr>
          <w:trHeight w:val="1007"/>
        </w:trPr>
        <w:tc>
          <w:tcPr>
            <w:tcW w:w="1786"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合计</w:t>
            </w:r>
          </w:p>
        </w:tc>
        <w:tc>
          <w:tcPr>
            <w:tcW w:w="1014"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17.33</w:t>
            </w:r>
          </w:p>
        </w:tc>
        <w:tc>
          <w:tcPr>
            <w:tcW w:w="1400"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17.33</w:t>
            </w:r>
          </w:p>
        </w:tc>
        <w:tc>
          <w:tcPr>
            <w:tcW w:w="1400"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401"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498"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385"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1319"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c>
          <w:tcPr>
            <w:tcW w:w="2165" w:type="dxa"/>
            <w:vAlign w:val="center"/>
          </w:tcPr>
          <w:p w:rsidR="00B23312" w:rsidRDefault="000D34B2">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0</w:t>
            </w:r>
          </w:p>
        </w:tc>
      </w:tr>
      <w:tr w:rsidR="00B23312">
        <w:trPr>
          <w:trHeight w:val="1007"/>
        </w:trPr>
        <w:tc>
          <w:tcPr>
            <w:tcW w:w="1786"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城市周边</w:t>
            </w:r>
          </w:p>
        </w:tc>
        <w:tc>
          <w:tcPr>
            <w:tcW w:w="1014"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17.33</w:t>
            </w:r>
          </w:p>
        </w:tc>
        <w:tc>
          <w:tcPr>
            <w:tcW w:w="1400"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17.33</w:t>
            </w:r>
          </w:p>
        </w:tc>
        <w:tc>
          <w:tcPr>
            <w:tcW w:w="1400"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401"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498"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385"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319"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2165" w:type="dxa"/>
            <w:vAlign w:val="center"/>
          </w:tcPr>
          <w:p w:rsidR="00B23312" w:rsidRDefault="000D34B2">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r>
    </w:tbl>
    <w:p w:rsidR="00B23312" w:rsidRDefault="000D34B2">
      <w:pPr>
        <w:pStyle w:val="2"/>
        <w:spacing w:line="240" w:lineRule="auto"/>
      </w:pPr>
      <w:bookmarkStart w:id="64" w:name="_Toc31701"/>
      <w:bookmarkStart w:id="65" w:name="_Hlk67924025"/>
      <w:r>
        <w:rPr>
          <w:rFonts w:hint="eastAsia"/>
        </w:rPr>
        <w:lastRenderedPageBreak/>
        <w:t>附表</w:t>
      </w:r>
      <w:r>
        <w:rPr>
          <w:rFonts w:hint="eastAsia"/>
        </w:rPr>
        <w:t>2</w:t>
      </w:r>
      <w:r>
        <w:rPr>
          <w:rFonts w:hint="eastAsia"/>
        </w:rPr>
        <w:t>：</w:t>
      </w:r>
      <w:bookmarkEnd w:id="64"/>
    </w:p>
    <w:p w:rsidR="00B23312" w:rsidRDefault="000D34B2">
      <w:pPr>
        <w:pStyle w:val="2"/>
        <w:spacing w:line="240" w:lineRule="auto"/>
        <w:rPr>
          <w:b w:val="0"/>
          <w:bCs w:val="0"/>
        </w:rPr>
      </w:pPr>
      <w:bookmarkStart w:id="66" w:name="_Toc10455"/>
      <w:bookmarkStart w:id="67" w:name="OLE_LINK6"/>
      <w:bookmarkEnd w:id="65"/>
      <w:r>
        <w:rPr>
          <w:rFonts w:hint="eastAsia"/>
        </w:rPr>
        <w:t>长汀县</w:t>
      </w:r>
      <w:r>
        <w:rPr>
          <w:rFonts w:hint="eastAsia"/>
        </w:rPr>
        <w:t>2</w:t>
      </w:r>
      <w:r>
        <w:t>02</w:t>
      </w:r>
      <w:r>
        <w:rPr>
          <w:rFonts w:hint="eastAsia"/>
        </w:rPr>
        <w:t>4</w:t>
      </w:r>
      <w:r>
        <w:rPr>
          <w:rFonts w:hint="eastAsia"/>
        </w:rPr>
        <w:t>年度住宅用地供应计划宗地表</w:t>
      </w:r>
      <w:bookmarkEnd w:id="66"/>
    </w:p>
    <w:tbl>
      <w:tblPr>
        <w:tblStyle w:val="a7"/>
        <w:tblpPr w:leftFromText="180" w:rightFromText="180" w:vertAnchor="text" w:horzAnchor="margin" w:tblpY="408"/>
        <w:tblW w:w="13518" w:type="dxa"/>
        <w:tblLayout w:type="fixed"/>
        <w:tblLook w:val="04A0"/>
      </w:tblPr>
      <w:tblGrid>
        <w:gridCol w:w="788"/>
        <w:gridCol w:w="1504"/>
        <w:gridCol w:w="2602"/>
        <w:gridCol w:w="1373"/>
        <w:gridCol w:w="2009"/>
        <w:gridCol w:w="1409"/>
        <w:gridCol w:w="1916"/>
        <w:gridCol w:w="1917"/>
      </w:tblGrid>
      <w:tr w:rsidR="00B23312">
        <w:trPr>
          <w:trHeight w:val="881"/>
        </w:trPr>
        <w:tc>
          <w:tcPr>
            <w:tcW w:w="788" w:type="dxa"/>
            <w:vAlign w:val="center"/>
          </w:tcPr>
          <w:p w:rsidR="00B23312" w:rsidRDefault="000D34B2">
            <w:pPr>
              <w:jc w:val="center"/>
              <w:rPr>
                <w:rFonts w:ascii="仿宋_GB2312" w:eastAsia="仿宋_GB2312" w:hAnsi="Times New Roman"/>
                <w:sz w:val="28"/>
                <w:szCs w:val="28"/>
              </w:rPr>
            </w:pPr>
            <w:bookmarkStart w:id="68" w:name="_Hlk67924172"/>
            <w:bookmarkStart w:id="69" w:name="OLE_LINK9"/>
            <w:bookmarkEnd w:id="67"/>
            <w:r>
              <w:rPr>
                <w:rFonts w:ascii="仿宋_GB2312" w:eastAsia="仿宋_GB2312" w:hAnsi="Times New Roman" w:hint="eastAsia"/>
                <w:sz w:val="28"/>
                <w:szCs w:val="28"/>
              </w:rPr>
              <w:t>序号</w:t>
            </w:r>
          </w:p>
        </w:tc>
        <w:tc>
          <w:tcPr>
            <w:tcW w:w="1504"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宗地编号</w:t>
            </w:r>
          </w:p>
        </w:tc>
        <w:tc>
          <w:tcPr>
            <w:tcW w:w="2602"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宗地坐落</w:t>
            </w:r>
          </w:p>
        </w:tc>
        <w:tc>
          <w:tcPr>
            <w:tcW w:w="1373"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宗地面积</w:t>
            </w:r>
          </w:p>
        </w:tc>
        <w:tc>
          <w:tcPr>
            <w:tcW w:w="2009"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住宅用地类型</w:t>
            </w:r>
          </w:p>
        </w:tc>
        <w:tc>
          <w:tcPr>
            <w:tcW w:w="1409"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供应方式</w:t>
            </w:r>
          </w:p>
        </w:tc>
        <w:tc>
          <w:tcPr>
            <w:tcW w:w="1916" w:type="dxa"/>
            <w:vAlign w:val="center"/>
          </w:tcPr>
          <w:p w:rsidR="00B23312" w:rsidRDefault="000D34B2">
            <w:pPr>
              <w:jc w:val="center"/>
              <w:rPr>
                <w:rFonts w:ascii="仿宋_GB2312" w:eastAsia="仿宋_GB2312" w:hAnsi="Times New Roman"/>
                <w:sz w:val="28"/>
                <w:szCs w:val="28"/>
              </w:rPr>
            </w:pPr>
            <w:bookmarkStart w:id="70" w:name="OLE_LINK1"/>
            <w:bookmarkStart w:id="71" w:name="OLE_LINK2"/>
            <w:r>
              <w:rPr>
                <w:rFonts w:ascii="仿宋_GB2312" w:eastAsia="仿宋_GB2312" w:hAnsi="Times New Roman" w:hint="eastAsia"/>
                <w:sz w:val="28"/>
                <w:szCs w:val="28"/>
              </w:rPr>
              <w:t>计划供应时间</w:t>
            </w:r>
            <w:bookmarkEnd w:id="70"/>
            <w:bookmarkEnd w:id="71"/>
          </w:p>
        </w:tc>
        <w:tc>
          <w:tcPr>
            <w:tcW w:w="1917" w:type="dxa"/>
            <w:vAlign w:val="center"/>
          </w:tcPr>
          <w:p w:rsidR="00B23312" w:rsidRDefault="000D34B2">
            <w:pPr>
              <w:jc w:val="center"/>
              <w:rPr>
                <w:rFonts w:ascii="仿宋_GB2312" w:eastAsia="仿宋_GB2312" w:hAnsi="Times New Roman"/>
                <w:sz w:val="28"/>
                <w:szCs w:val="28"/>
              </w:rPr>
            </w:pPr>
            <w:r>
              <w:rPr>
                <w:rFonts w:ascii="仿宋_GB2312" w:eastAsia="仿宋_GB2312" w:hAnsi="Times New Roman" w:hint="eastAsia"/>
                <w:sz w:val="28"/>
                <w:szCs w:val="28"/>
              </w:rPr>
              <w:t>备注</w:t>
            </w:r>
          </w:p>
        </w:tc>
      </w:tr>
      <w:tr w:rsidR="00B23312">
        <w:trPr>
          <w:trHeight w:val="881"/>
        </w:trPr>
        <w:tc>
          <w:tcPr>
            <w:tcW w:w="788"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1</w:t>
            </w:r>
          </w:p>
        </w:tc>
        <w:tc>
          <w:tcPr>
            <w:tcW w:w="1504"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P01</w:t>
            </w:r>
          </w:p>
        </w:tc>
        <w:tc>
          <w:tcPr>
            <w:tcW w:w="2602"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w:t>
            </w:r>
            <w:r>
              <w:rPr>
                <w:rFonts w:ascii="仿宋_GB2312" w:eastAsia="仿宋_GB2312" w:hAnsi="Times New Roman" w:hint="eastAsia"/>
                <w:sz w:val="28"/>
                <w:szCs w:val="28"/>
              </w:rPr>
              <w:t>红星村</w:t>
            </w:r>
          </w:p>
        </w:tc>
        <w:tc>
          <w:tcPr>
            <w:tcW w:w="1373"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6666.67</w:t>
            </w:r>
          </w:p>
        </w:tc>
        <w:tc>
          <w:tcPr>
            <w:tcW w:w="2009" w:type="dxa"/>
            <w:vAlign w:val="center"/>
          </w:tcPr>
          <w:p w:rsidR="00B23312" w:rsidRDefault="000D34B2">
            <w:pPr>
              <w:spacing w:line="320" w:lineRule="exact"/>
              <w:jc w:val="center"/>
              <w:rPr>
                <w:rFonts w:ascii="仿宋_GB2312" w:eastAsia="仿宋_GB2312" w:hAnsi="Times New Roman"/>
                <w:sz w:val="28"/>
                <w:szCs w:val="28"/>
              </w:rPr>
            </w:pPr>
            <w:bookmarkStart w:id="72" w:name="OLE_LINK8"/>
            <w:r>
              <w:rPr>
                <w:rFonts w:ascii="仿宋_GB2312" w:eastAsia="仿宋_GB2312" w:hAnsi="Times New Roman" w:hint="eastAsia"/>
                <w:sz w:val="28"/>
                <w:szCs w:val="28"/>
              </w:rPr>
              <w:t>商品住宅用地</w:t>
            </w:r>
            <w:bookmarkEnd w:id="72"/>
          </w:p>
        </w:tc>
        <w:tc>
          <w:tcPr>
            <w:tcW w:w="14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一季度</w:t>
            </w:r>
          </w:p>
        </w:tc>
        <w:tc>
          <w:tcPr>
            <w:tcW w:w="1917"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原</w:t>
            </w:r>
            <w:r>
              <w:rPr>
                <w:rFonts w:ascii="仿宋_GB2312" w:eastAsia="仿宋_GB2312" w:hAnsi="Times New Roman" w:hint="eastAsia"/>
                <w:sz w:val="28"/>
                <w:szCs w:val="28"/>
              </w:rPr>
              <w:t>605</w:t>
            </w:r>
            <w:r>
              <w:rPr>
                <w:rFonts w:ascii="仿宋_GB2312" w:eastAsia="仿宋_GB2312" w:hAnsi="Times New Roman" w:hint="eastAsia"/>
                <w:sz w:val="28"/>
                <w:szCs w:val="28"/>
              </w:rPr>
              <w:t>台</w:t>
            </w:r>
          </w:p>
        </w:tc>
      </w:tr>
      <w:tr w:rsidR="00B23312">
        <w:trPr>
          <w:trHeight w:val="881"/>
        </w:trPr>
        <w:tc>
          <w:tcPr>
            <w:tcW w:w="788"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2</w:t>
            </w:r>
          </w:p>
        </w:tc>
        <w:tc>
          <w:tcPr>
            <w:tcW w:w="1504"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P02</w:t>
            </w:r>
          </w:p>
        </w:tc>
        <w:tc>
          <w:tcPr>
            <w:tcW w:w="2602"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w:t>
            </w:r>
            <w:r>
              <w:rPr>
                <w:rFonts w:ascii="仿宋_GB2312" w:eastAsia="仿宋_GB2312" w:hAnsi="Times New Roman" w:hint="eastAsia"/>
                <w:sz w:val="28"/>
                <w:szCs w:val="28"/>
              </w:rPr>
              <w:t>红星</w:t>
            </w:r>
            <w:r>
              <w:rPr>
                <w:rFonts w:ascii="仿宋_GB2312" w:eastAsia="仿宋_GB2312" w:hAnsi="Times New Roman" w:hint="eastAsia"/>
                <w:sz w:val="28"/>
                <w:szCs w:val="28"/>
              </w:rPr>
              <w:t>村</w:t>
            </w:r>
          </w:p>
        </w:tc>
        <w:tc>
          <w:tcPr>
            <w:tcW w:w="1373"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18000</w:t>
            </w:r>
          </w:p>
        </w:tc>
        <w:tc>
          <w:tcPr>
            <w:tcW w:w="20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一</w:t>
            </w:r>
            <w:r>
              <w:rPr>
                <w:rFonts w:ascii="仿宋_GB2312" w:eastAsia="仿宋_GB2312" w:hAnsi="Times New Roman" w:hint="eastAsia"/>
                <w:sz w:val="28"/>
                <w:szCs w:val="28"/>
              </w:rPr>
              <w:t>、二</w:t>
            </w:r>
            <w:r>
              <w:rPr>
                <w:rFonts w:ascii="仿宋_GB2312" w:eastAsia="仿宋_GB2312" w:hAnsi="Times New Roman" w:hint="eastAsia"/>
                <w:sz w:val="28"/>
                <w:szCs w:val="28"/>
              </w:rPr>
              <w:t>季度</w:t>
            </w:r>
          </w:p>
        </w:tc>
        <w:tc>
          <w:tcPr>
            <w:tcW w:w="1917"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闽兴汽车旁</w:t>
            </w:r>
          </w:p>
        </w:tc>
      </w:tr>
      <w:tr w:rsidR="00B23312">
        <w:trPr>
          <w:trHeight w:val="881"/>
        </w:trPr>
        <w:tc>
          <w:tcPr>
            <w:tcW w:w="788"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3</w:t>
            </w:r>
          </w:p>
        </w:tc>
        <w:tc>
          <w:tcPr>
            <w:tcW w:w="1504"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P03</w:t>
            </w:r>
          </w:p>
        </w:tc>
        <w:tc>
          <w:tcPr>
            <w:tcW w:w="2602"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策武镇策田村</w:t>
            </w:r>
          </w:p>
        </w:tc>
        <w:tc>
          <w:tcPr>
            <w:tcW w:w="1373"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68666.67</w:t>
            </w:r>
          </w:p>
        </w:tc>
        <w:tc>
          <w:tcPr>
            <w:tcW w:w="20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三季度</w:t>
            </w:r>
          </w:p>
        </w:tc>
        <w:tc>
          <w:tcPr>
            <w:tcW w:w="1917"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稀土园区内</w:t>
            </w:r>
          </w:p>
        </w:tc>
      </w:tr>
      <w:tr w:rsidR="00B23312">
        <w:trPr>
          <w:trHeight w:val="881"/>
        </w:trPr>
        <w:tc>
          <w:tcPr>
            <w:tcW w:w="788"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4</w:t>
            </w:r>
          </w:p>
        </w:tc>
        <w:tc>
          <w:tcPr>
            <w:tcW w:w="1504"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P04</w:t>
            </w:r>
          </w:p>
        </w:tc>
        <w:tc>
          <w:tcPr>
            <w:tcW w:w="2602"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大同镇南里村</w:t>
            </w:r>
          </w:p>
        </w:tc>
        <w:tc>
          <w:tcPr>
            <w:tcW w:w="1373"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33333.34</w:t>
            </w:r>
          </w:p>
        </w:tc>
        <w:tc>
          <w:tcPr>
            <w:tcW w:w="20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四季度</w:t>
            </w:r>
          </w:p>
        </w:tc>
        <w:tc>
          <w:tcPr>
            <w:tcW w:w="1917"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新汀州医院周边</w:t>
            </w:r>
          </w:p>
        </w:tc>
      </w:tr>
      <w:tr w:rsidR="00B23312">
        <w:trPr>
          <w:trHeight w:val="881"/>
        </w:trPr>
        <w:tc>
          <w:tcPr>
            <w:tcW w:w="788"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5</w:t>
            </w:r>
          </w:p>
        </w:tc>
        <w:tc>
          <w:tcPr>
            <w:tcW w:w="1504"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sz w:val="28"/>
                <w:szCs w:val="28"/>
              </w:rPr>
              <w:t>P05</w:t>
            </w:r>
          </w:p>
        </w:tc>
        <w:tc>
          <w:tcPr>
            <w:tcW w:w="2602"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大同镇</w:t>
            </w:r>
            <w:r>
              <w:rPr>
                <w:rFonts w:ascii="仿宋_GB2312" w:eastAsia="仿宋_GB2312" w:hAnsi="Times New Roman" w:hint="eastAsia"/>
                <w:sz w:val="28"/>
                <w:szCs w:val="28"/>
              </w:rPr>
              <w:t>罗坊村</w:t>
            </w:r>
          </w:p>
        </w:tc>
        <w:tc>
          <w:tcPr>
            <w:tcW w:w="1373"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46666.67</w:t>
            </w:r>
          </w:p>
        </w:tc>
        <w:tc>
          <w:tcPr>
            <w:tcW w:w="20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商品住宅用地</w:t>
            </w:r>
          </w:p>
        </w:tc>
        <w:tc>
          <w:tcPr>
            <w:tcW w:w="1409"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拍卖</w:t>
            </w:r>
          </w:p>
        </w:tc>
        <w:tc>
          <w:tcPr>
            <w:tcW w:w="1916"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四季度</w:t>
            </w:r>
          </w:p>
        </w:tc>
        <w:tc>
          <w:tcPr>
            <w:tcW w:w="1917" w:type="dxa"/>
            <w:vAlign w:val="center"/>
          </w:tcPr>
          <w:p w:rsidR="00B23312" w:rsidRDefault="000D34B2">
            <w:pPr>
              <w:spacing w:line="320" w:lineRule="exact"/>
              <w:jc w:val="center"/>
              <w:rPr>
                <w:rFonts w:ascii="仿宋_GB2312" w:eastAsia="仿宋_GB2312" w:hAnsi="Times New Roman"/>
                <w:sz w:val="28"/>
                <w:szCs w:val="28"/>
              </w:rPr>
            </w:pPr>
            <w:r>
              <w:rPr>
                <w:rFonts w:ascii="仿宋_GB2312" w:eastAsia="仿宋_GB2312" w:hAnsi="Times New Roman" w:hint="eastAsia"/>
                <w:sz w:val="28"/>
                <w:szCs w:val="28"/>
              </w:rPr>
              <w:t>罗坊中段</w:t>
            </w:r>
          </w:p>
        </w:tc>
      </w:tr>
      <w:tr w:rsidR="00B23312">
        <w:trPr>
          <w:trHeight w:val="881"/>
        </w:trPr>
        <w:tc>
          <w:tcPr>
            <w:tcW w:w="788" w:type="dxa"/>
            <w:vAlign w:val="center"/>
          </w:tcPr>
          <w:p w:rsidR="00B23312" w:rsidRDefault="00B23312">
            <w:pPr>
              <w:spacing w:line="320" w:lineRule="exact"/>
              <w:jc w:val="center"/>
              <w:rPr>
                <w:rFonts w:ascii="仿宋_GB2312" w:eastAsia="仿宋_GB2312" w:hAnsi="Times New Roman"/>
                <w:sz w:val="28"/>
                <w:szCs w:val="28"/>
              </w:rPr>
            </w:pPr>
          </w:p>
        </w:tc>
        <w:tc>
          <w:tcPr>
            <w:tcW w:w="1504" w:type="dxa"/>
            <w:vAlign w:val="center"/>
          </w:tcPr>
          <w:p w:rsidR="00B23312" w:rsidRDefault="00B23312">
            <w:pPr>
              <w:spacing w:line="320" w:lineRule="exact"/>
              <w:jc w:val="center"/>
              <w:rPr>
                <w:rFonts w:ascii="仿宋_GB2312" w:eastAsia="仿宋_GB2312" w:hAnsi="Times New Roman"/>
                <w:sz w:val="28"/>
                <w:szCs w:val="28"/>
              </w:rPr>
            </w:pPr>
          </w:p>
        </w:tc>
        <w:tc>
          <w:tcPr>
            <w:tcW w:w="2602" w:type="dxa"/>
            <w:vAlign w:val="center"/>
          </w:tcPr>
          <w:p w:rsidR="00B23312" w:rsidRDefault="00B23312">
            <w:pPr>
              <w:spacing w:line="320" w:lineRule="exact"/>
              <w:jc w:val="center"/>
              <w:rPr>
                <w:rFonts w:ascii="仿宋_GB2312" w:eastAsia="仿宋_GB2312" w:hAnsi="Times New Roman"/>
                <w:sz w:val="28"/>
                <w:szCs w:val="28"/>
              </w:rPr>
            </w:pPr>
          </w:p>
        </w:tc>
        <w:tc>
          <w:tcPr>
            <w:tcW w:w="1373" w:type="dxa"/>
            <w:vAlign w:val="center"/>
          </w:tcPr>
          <w:p w:rsidR="00B23312" w:rsidRDefault="00B23312">
            <w:pPr>
              <w:spacing w:line="320" w:lineRule="exact"/>
              <w:jc w:val="center"/>
              <w:rPr>
                <w:rFonts w:ascii="仿宋_GB2312" w:eastAsia="仿宋_GB2312" w:hAnsi="Times New Roman"/>
                <w:sz w:val="28"/>
                <w:szCs w:val="28"/>
              </w:rPr>
            </w:pPr>
            <w:r>
              <w:rPr>
                <w:rFonts w:ascii="仿宋_GB2312" w:eastAsia="仿宋_GB2312" w:hAnsi="Times New Roman"/>
                <w:sz w:val="28"/>
                <w:szCs w:val="28"/>
              </w:rPr>
              <w:fldChar w:fldCharType="begin"/>
            </w:r>
            <w:r w:rsidR="000D34B2">
              <w:rPr>
                <w:rFonts w:ascii="仿宋_GB2312" w:eastAsia="仿宋_GB2312" w:hAnsi="Times New Roman" w:hint="eastAsia"/>
                <w:sz w:val="28"/>
                <w:szCs w:val="28"/>
              </w:rPr>
              <w:instrText>=SUM(ABOVE)</w:instrText>
            </w:r>
            <w:r>
              <w:rPr>
                <w:rFonts w:ascii="仿宋_GB2312" w:eastAsia="仿宋_GB2312" w:hAnsi="Times New Roman"/>
                <w:sz w:val="28"/>
                <w:szCs w:val="28"/>
              </w:rPr>
              <w:fldChar w:fldCharType="separate"/>
            </w:r>
            <w:r w:rsidR="000D34B2">
              <w:rPr>
                <w:rFonts w:ascii="仿宋_GB2312" w:eastAsia="仿宋_GB2312" w:hAnsi="Times New Roman"/>
                <w:sz w:val="28"/>
                <w:szCs w:val="28"/>
              </w:rPr>
              <w:t>181708</w:t>
            </w:r>
            <w:r>
              <w:rPr>
                <w:rFonts w:ascii="仿宋_GB2312" w:eastAsia="仿宋_GB2312" w:hAnsi="Times New Roman"/>
                <w:sz w:val="28"/>
                <w:szCs w:val="28"/>
              </w:rPr>
              <w:fldChar w:fldCharType="end"/>
            </w:r>
          </w:p>
        </w:tc>
        <w:tc>
          <w:tcPr>
            <w:tcW w:w="2009" w:type="dxa"/>
            <w:vAlign w:val="center"/>
          </w:tcPr>
          <w:p w:rsidR="00B23312" w:rsidRDefault="00B23312">
            <w:pPr>
              <w:spacing w:line="320" w:lineRule="exact"/>
              <w:jc w:val="center"/>
              <w:rPr>
                <w:rFonts w:ascii="仿宋_GB2312" w:eastAsia="仿宋_GB2312" w:hAnsi="Times New Roman"/>
                <w:sz w:val="28"/>
                <w:szCs w:val="28"/>
              </w:rPr>
            </w:pPr>
          </w:p>
        </w:tc>
        <w:tc>
          <w:tcPr>
            <w:tcW w:w="1409" w:type="dxa"/>
            <w:vAlign w:val="center"/>
          </w:tcPr>
          <w:p w:rsidR="00B23312" w:rsidRDefault="00B23312">
            <w:pPr>
              <w:spacing w:line="320" w:lineRule="exact"/>
              <w:jc w:val="center"/>
              <w:rPr>
                <w:rFonts w:ascii="仿宋_GB2312" w:eastAsia="仿宋_GB2312" w:hAnsi="Times New Roman"/>
                <w:sz w:val="28"/>
                <w:szCs w:val="28"/>
              </w:rPr>
            </w:pPr>
          </w:p>
        </w:tc>
        <w:tc>
          <w:tcPr>
            <w:tcW w:w="1916" w:type="dxa"/>
            <w:vAlign w:val="center"/>
          </w:tcPr>
          <w:p w:rsidR="00B23312" w:rsidRDefault="00B23312">
            <w:pPr>
              <w:spacing w:line="320" w:lineRule="exact"/>
              <w:jc w:val="center"/>
              <w:rPr>
                <w:rFonts w:ascii="仿宋_GB2312" w:eastAsia="仿宋_GB2312" w:hAnsi="Times New Roman"/>
                <w:sz w:val="28"/>
                <w:szCs w:val="28"/>
              </w:rPr>
            </w:pPr>
          </w:p>
        </w:tc>
        <w:tc>
          <w:tcPr>
            <w:tcW w:w="1917" w:type="dxa"/>
            <w:vAlign w:val="center"/>
          </w:tcPr>
          <w:p w:rsidR="00B23312" w:rsidRDefault="00B23312">
            <w:pPr>
              <w:spacing w:line="320" w:lineRule="exact"/>
              <w:jc w:val="center"/>
              <w:rPr>
                <w:rFonts w:ascii="仿宋_GB2312" w:eastAsia="仿宋_GB2312" w:hAnsi="Times New Roman"/>
                <w:sz w:val="28"/>
                <w:szCs w:val="28"/>
              </w:rPr>
            </w:pPr>
          </w:p>
        </w:tc>
      </w:tr>
    </w:tbl>
    <w:bookmarkEnd w:id="68"/>
    <w:bookmarkEnd w:id="69"/>
    <w:p w:rsidR="00B23312" w:rsidRDefault="000D34B2">
      <w:pPr>
        <w:spacing w:line="320" w:lineRule="exact"/>
        <w:jc w:val="right"/>
        <w:rPr>
          <w:sz w:val="24"/>
        </w:rPr>
        <w:sectPr w:rsidR="00B23312">
          <w:pgSz w:w="16838" w:h="11906" w:orient="landscape"/>
          <w:pgMar w:top="1440" w:right="1800" w:bottom="1440" w:left="1800" w:header="851" w:footer="992" w:gutter="0"/>
          <w:pgNumType w:fmt="numberInDash"/>
          <w:cols w:space="720"/>
          <w:docGrid w:type="lines" w:linePitch="312"/>
        </w:sectPr>
      </w:pPr>
      <w:r>
        <w:rPr>
          <w:rFonts w:hint="eastAsia"/>
          <w:sz w:val="24"/>
        </w:rPr>
        <w:t>单位：平方米</w:t>
      </w:r>
    </w:p>
    <w:p w:rsidR="00B23312" w:rsidRDefault="00B23312">
      <w:pPr>
        <w:widowControl/>
        <w:jc w:val="left"/>
      </w:pPr>
    </w:p>
    <w:p w:rsidR="00B23312" w:rsidRDefault="000D34B2">
      <w:pPr>
        <w:pStyle w:val="2"/>
        <w:spacing w:line="240" w:lineRule="auto"/>
      </w:pPr>
      <w:bookmarkStart w:id="73" w:name="_Toc27406"/>
      <w:r>
        <w:rPr>
          <w:rFonts w:hint="eastAsia"/>
        </w:rPr>
        <w:t>附表</w:t>
      </w:r>
      <w:r>
        <w:t>3</w:t>
      </w:r>
      <w:r>
        <w:rPr>
          <w:rFonts w:hint="eastAsia"/>
        </w:rPr>
        <w:t>：</w:t>
      </w:r>
      <w:bookmarkEnd w:id="73"/>
    </w:p>
    <w:p w:rsidR="00B23312" w:rsidRDefault="000D34B2">
      <w:pPr>
        <w:pStyle w:val="2"/>
        <w:spacing w:line="240" w:lineRule="auto"/>
        <w:rPr>
          <w:b w:val="0"/>
          <w:bCs w:val="0"/>
        </w:rPr>
      </w:pPr>
      <w:bookmarkStart w:id="74" w:name="_Toc1182"/>
      <w:r>
        <w:rPr>
          <w:rFonts w:hint="eastAsia"/>
        </w:rPr>
        <w:t>长汀县</w:t>
      </w:r>
      <w:r>
        <w:rPr>
          <w:rFonts w:hint="eastAsia"/>
        </w:rPr>
        <w:t>202</w:t>
      </w:r>
      <w:r>
        <w:rPr>
          <w:rFonts w:hint="eastAsia"/>
        </w:rPr>
        <w:t>4</w:t>
      </w:r>
      <w:r>
        <w:rPr>
          <w:rFonts w:hint="eastAsia"/>
        </w:rPr>
        <w:t>年度</w:t>
      </w:r>
      <w:r>
        <w:t>其他用地供应计划</w:t>
      </w:r>
      <w:bookmarkEnd w:id="74"/>
    </w:p>
    <w:p w:rsidR="00B23312" w:rsidRDefault="000D34B2">
      <w:pPr>
        <w:jc w:val="right"/>
        <w:rPr>
          <w:sz w:val="24"/>
        </w:rPr>
      </w:pPr>
      <w:r>
        <w:rPr>
          <w:rFonts w:hint="eastAsia"/>
          <w:sz w:val="24"/>
        </w:rPr>
        <w:t>单位：公顷</w:t>
      </w:r>
    </w:p>
    <w:tbl>
      <w:tblPr>
        <w:tblW w:w="13966" w:type="dxa"/>
        <w:tblInd w:w="113" w:type="dxa"/>
        <w:tblLook w:val="04A0"/>
      </w:tblPr>
      <w:tblGrid>
        <w:gridCol w:w="929"/>
        <w:gridCol w:w="3005"/>
        <w:gridCol w:w="2292"/>
        <w:gridCol w:w="1470"/>
        <w:gridCol w:w="3135"/>
        <w:gridCol w:w="3135"/>
      </w:tblGrid>
      <w:tr w:rsidR="00B23312">
        <w:trPr>
          <w:trHeight w:val="688"/>
        </w:trPr>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b/>
                <w:bCs/>
                <w:kern w:val="0"/>
                <w:sz w:val="24"/>
              </w:rPr>
            </w:pPr>
            <w:bookmarkStart w:id="75" w:name="OLE_LINK11"/>
            <w:r>
              <w:rPr>
                <w:rFonts w:ascii="宋体" w:hAnsi="宋体" w:cs="宋体" w:hint="eastAsia"/>
                <w:b/>
                <w:bCs/>
                <w:kern w:val="0"/>
                <w:sz w:val="24"/>
              </w:rPr>
              <w:t>序号</w:t>
            </w:r>
          </w:p>
        </w:tc>
        <w:tc>
          <w:tcPr>
            <w:tcW w:w="3005" w:type="dxa"/>
            <w:tcBorders>
              <w:top w:val="single" w:sz="4" w:space="0" w:color="auto"/>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b/>
                <w:bCs/>
                <w:kern w:val="0"/>
                <w:sz w:val="24"/>
              </w:rPr>
            </w:pPr>
            <w:r>
              <w:rPr>
                <w:rFonts w:ascii="宋体" w:hAnsi="宋体" w:cs="宋体" w:hint="eastAsia"/>
                <w:b/>
                <w:bCs/>
                <w:kern w:val="0"/>
                <w:sz w:val="24"/>
              </w:rPr>
              <w:t>项目名称</w:t>
            </w:r>
          </w:p>
        </w:tc>
        <w:tc>
          <w:tcPr>
            <w:tcW w:w="2292" w:type="dxa"/>
            <w:tcBorders>
              <w:top w:val="single" w:sz="4" w:space="0" w:color="auto"/>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b/>
                <w:bCs/>
                <w:kern w:val="0"/>
                <w:sz w:val="24"/>
              </w:rPr>
            </w:pPr>
            <w:r>
              <w:rPr>
                <w:rFonts w:ascii="宋体" w:hAnsi="宋体" w:cs="宋体" w:hint="eastAsia"/>
                <w:b/>
                <w:bCs/>
                <w:kern w:val="0"/>
                <w:sz w:val="24"/>
              </w:rPr>
              <w:t>地点</w:t>
            </w:r>
          </w:p>
        </w:tc>
        <w:tc>
          <w:tcPr>
            <w:tcW w:w="1470" w:type="dxa"/>
            <w:tcBorders>
              <w:top w:val="single" w:sz="4" w:space="0" w:color="auto"/>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b/>
                <w:bCs/>
                <w:kern w:val="0"/>
                <w:sz w:val="24"/>
              </w:rPr>
            </w:pPr>
            <w:r>
              <w:rPr>
                <w:rFonts w:ascii="宋体" w:hAnsi="宋体" w:cs="宋体" w:hint="eastAsia"/>
                <w:b/>
                <w:bCs/>
                <w:kern w:val="0"/>
                <w:sz w:val="24"/>
              </w:rPr>
              <w:t>面积</w:t>
            </w:r>
          </w:p>
        </w:tc>
        <w:tc>
          <w:tcPr>
            <w:tcW w:w="3135" w:type="dxa"/>
            <w:tcBorders>
              <w:top w:val="single" w:sz="4" w:space="0" w:color="auto"/>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b/>
                <w:bCs/>
                <w:kern w:val="0"/>
                <w:sz w:val="24"/>
              </w:rPr>
            </w:pPr>
            <w:r>
              <w:rPr>
                <w:rFonts w:ascii="宋体" w:hAnsi="宋体" w:cs="宋体" w:hint="eastAsia"/>
                <w:b/>
                <w:bCs/>
                <w:kern w:val="0"/>
                <w:sz w:val="24"/>
              </w:rPr>
              <w:t>用途</w:t>
            </w:r>
          </w:p>
        </w:tc>
        <w:tc>
          <w:tcPr>
            <w:tcW w:w="3135" w:type="dxa"/>
            <w:tcBorders>
              <w:top w:val="single" w:sz="4" w:space="0" w:color="auto"/>
              <w:left w:val="nil"/>
              <w:bottom w:val="single" w:sz="4" w:space="0" w:color="auto"/>
              <w:right w:val="single" w:sz="4" w:space="0" w:color="auto"/>
            </w:tcBorders>
            <w:vAlign w:val="center"/>
          </w:tcPr>
          <w:p w:rsidR="00B23312" w:rsidRDefault="000D34B2">
            <w:pPr>
              <w:widowControl/>
              <w:jc w:val="center"/>
              <w:rPr>
                <w:rFonts w:ascii="宋体" w:hAnsi="宋体" w:cs="宋体"/>
                <w:b/>
                <w:bCs/>
                <w:kern w:val="0"/>
                <w:sz w:val="24"/>
              </w:rPr>
            </w:pPr>
            <w:r>
              <w:rPr>
                <w:rFonts w:ascii="宋体" w:hAnsi="宋体" w:cs="宋体" w:hint="eastAsia"/>
                <w:b/>
                <w:bCs/>
                <w:kern w:val="0"/>
                <w:sz w:val="24"/>
              </w:rPr>
              <w:t>计划供应时间</w:t>
            </w:r>
          </w:p>
        </w:tc>
      </w:tr>
      <w:tr w:rsidR="00B23312">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1</w:t>
            </w:r>
          </w:p>
        </w:tc>
        <w:tc>
          <w:tcPr>
            <w:tcW w:w="3005"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工业投资项目</w:t>
            </w:r>
          </w:p>
        </w:tc>
        <w:tc>
          <w:tcPr>
            <w:tcW w:w="2292"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各园区</w:t>
            </w:r>
          </w:p>
        </w:tc>
        <w:tc>
          <w:tcPr>
            <w:tcW w:w="1470"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40</w:t>
            </w:r>
          </w:p>
        </w:tc>
        <w:tc>
          <w:tcPr>
            <w:tcW w:w="3135"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工业用地</w:t>
            </w:r>
          </w:p>
        </w:tc>
        <w:tc>
          <w:tcPr>
            <w:tcW w:w="3135" w:type="dxa"/>
            <w:tcBorders>
              <w:top w:val="nil"/>
              <w:left w:val="nil"/>
              <w:bottom w:val="single" w:sz="4" w:space="0" w:color="auto"/>
              <w:right w:val="single" w:sz="4" w:space="0" w:color="auto"/>
            </w:tcBorders>
            <w:vAlign w:val="center"/>
          </w:tcPr>
          <w:p w:rsidR="00B23312" w:rsidRDefault="000D34B2">
            <w:pPr>
              <w:widowControl/>
              <w:jc w:val="center"/>
              <w:rPr>
                <w:rFonts w:ascii="宋体" w:hAnsi="宋体" w:cs="宋体"/>
                <w:kern w:val="0"/>
                <w:sz w:val="24"/>
              </w:rPr>
            </w:pPr>
            <w:bookmarkStart w:id="76" w:name="OLE_LINK5"/>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bookmarkEnd w:id="76"/>
          </w:p>
        </w:tc>
      </w:tr>
      <w:tr w:rsidR="00B23312">
        <w:trPr>
          <w:trHeight w:val="812"/>
        </w:trPr>
        <w:tc>
          <w:tcPr>
            <w:tcW w:w="929" w:type="dxa"/>
            <w:tcBorders>
              <w:top w:val="nil"/>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2</w:t>
            </w:r>
          </w:p>
        </w:tc>
        <w:tc>
          <w:tcPr>
            <w:tcW w:w="3005"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商服项目</w:t>
            </w:r>
          </w:p>
        </w:tc>
        <w:tc>
          <w:tcPr>
            <w:tcW w:w="2292"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城市规划区</w:t>
            </w:r>
          </w:p>
        </w:tc>
        <w:tc>
          <w:tcPr>
            <w:tcW w:w="1470"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14.04</w:t>
            </w:r>
          </w:p>
        </w:tc>
        <w:tc>
          <w:tcPr>
            <w:tcW w:w="3135" w:type="dxa"/>
            <w:tcBorders>
              <w:top w:val="nil"/>
              <w:left w:val="nil"/>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商服用地</w:t>
            </w:r>
          </w:p>
        </w:tc>
        <w:tc>
          <w:tcPr>
            <w:tcW w:w="3135" w:type="dxa"/>
            <w:tcBorders>
              <w:top w:val="nil"/>
              <w:left w:val="nil"/>
              <w:bottom w:val="single" w:sz="4" w:space="0" w:color="auto"/>
              <w:right w:val="single" w:sz="4" w:space="0" w:color="auto"/>
            </w:tcBorders>
            <w:vAlign w:val="center"/>
          </w:tcPr>
          <w:p w:rsidR="00B23312" w:rsidRDefault="000D34B2">
            <w:pPr>
              <w:widowControl/>
              <w:jc w:val="center"/>
              <w:rPr>
                <w:rFonts w:ascii="宋体" w:hAnsi="宋体" w:cs="宋体"/>
                <w:kern w:val="0"/>
                <w:sz w:val="24"/>
              </w:rPr>
            </w:pPr>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p>
        </w:tc>
      </w:tr>
      <w:tr w:rsidR="00B23312">
        <w:trPr>
          <w:trHeight w:val="812"/>
        </w:trPr>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3</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公建民生项目</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各乡镇</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120</w:t>
            </w:r>
          </w:p>
        </w:tc>
        <w:tc>
          <w:tcPr>
            <w:tcW w:w="313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公共管理与公共服务用地</w:t>
            </w:r>
          </w:p>
        </w:tc>
        <w:tc>
          <w:tcPr>
            <w:tcW w:w="3135" w:type="dxa"/>
            <w:tcBorders>
              <w:top w:val="single" w:sz="4" w:space="0" w:color="auto"/>
              <w:left w:val="single" w:sz="4" w:space="0" w:color="auto"/>
              <w:bottom w:val="single" w:sz="4" w:space="0" w:color="auto"/>
              <w:right w:val="single" w:sz="4" w:space="0" w:color="auto"/>
            </w:tcBorders>
            <w:vAlign w:val="center"/>
          </w:tcPr>
          <w:p w:rsidR="00B23312" w:rsidRDefault="000D34B2">
            <w:pPr>
              <w:widowControl/>
              <w:jc w:val="center"/>
              <w:rPr>
                <w:rFonts w:ascii="宋体" w:hAnsi="宋体" w:cs="宋体"/>
                <w:kern w:val="0"/>
                <w:sz w:val="24"/>
              </w:rPr>
            </w:pPr>
            <w:r>
              <w:rPr>
                <w:rFonts w:ascii="宋体" w:hAnsi="宋体" w:cs="宋体" w:hint="eastAsia"/>
                <w:kern w:val="0"/>
                <w:sz w:val="24"/>
              </w:rPr>
              <w:t>1</w:t>
            </w:r>
            <w:r>
              <w:rPr>
                <w:rFonts w:ascii="宋体" w:hAnsi="宋体" w:cs="宋体"/>
                <w:kern w:val="0"/>
                <w:sz w:val="24"/>
              </w:rPr>
              <w:t>-4</w:t>
            </w:r>
            <w:r>
              <w:rPr>
                <w:rFonts w:ascii="宋体" w:hAnsi="宋体" w:cs="宋体" w:hint="eastAsia"/>
                <w:kern w:val="0"/>
                <w:sz w:val="24"/>
              </w:rPr>
              <w:t>季度</w:t>
            </w:r>
          </w:p>
        </w:tc>
      </w:tr>
      <w:tr w:rsidR="00B23312">
        <w:trPr>
          <w:trHeight w:val="812"/>
        </w:trPr>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4</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养老服务设施项目</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各乡镇</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2.33</w:t>
            </w:r>
          </w:p>
        </w:tc>
        <w:tc>
          <w:tcPr>
            <w:tcW w:w="313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公共管理与公共服务用地</w:t>
            </w:r>
          </w:p>
        </w:tc>
        <w:tc>
          <w:tcPr>
            <w:tcW w:w="3135" w:type="dxa"/>
            <w:tcBorders>
              <w:top w:val="single" w:sz="4" w:space="0" w:color="auto"/>
              <w:left w:val="single" w:sz="4" w:space="0" w:color="auto"/>
              <w:bottom w:val="single" w:sz="4" w:space="0" w:color="auto"/>
              <w:right w:val="single" w:sz="4" w:space="0" w:color="auto"/>
            </w:tcBorders>
            <w:vAlign w:val="center"/>
          </w:tcPr>
          <w:p w:rsidR="00B23312" w:rsidRDefault="000D34B2">
            <w:pPr>
              <w:widowControl/>
              <w:jc w:val="center"/>
              <w:rPr>
                <w:rFonts w:ascii="宋体" w:hAnsi="宋体" w:cs="宋体"/>
                <w:kern w:val="0"/>
                <w:sz w:val="24"/>
              </w:rPr>
            </w:pPr>
            <w:r>
              <w:rPr>
                <w:rFonts w:ascii="宋体" w:hAnsi="宋体" w:cs="宋体" w:hint="eastAsia"/>
                <w:kern w:val="0"/>
                <w:sz w:val="24"/>
              </w:rPr>
              <w:t>1-4</w:t>
            </w:r>
            <w:r>
              <w:rPr>
                <w:rFonts w:ascii="宋体" w:hAnsi="宋体" w:cs="宋体" w:hint="eastAsia"/>
                <w:kern w:val="0"/>
                <w:sz w:val="24"/>
              </w:rPr>
              <w:t>季度</w:t>
            </w:r>
          </w:p>
        </w:tc>
      </w:tr>
      <w:tr w:rsidR="00B23312">
        <w:trPr>
          <w:trHeight w:val="812"/>
        </w:trPr>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B23312">
            <w:pPr>
              <w:widowControl/>
              <w:jc w:val="center"/>
              <w:rPr>
                <w:rFonts w:ascii="宋体" w:hAnsi="宋体" w:cs="宋体"/>
                <w:kern w:val="0"/>
                <w:sz w:val="24"/>
              </w:rPr>
            </w:pP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合计</w:t>
            </w:r>
          </w:p>
        </w:tc>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B23312">
            <w:pPr>
              <w:widowControl/>
              <w:jc w:val="center"/>
              <w:rPr>
                <w:rFonts w:ascii="宋体" w:hAnsi="宋体" w:cs="宋体"/>
                <w:kern w:val="0"/>
                <w:sz w:val="24"/>
              </w:rPr>
            </w:pP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0D34B2">
            <w:pPr>
              <w:widowControl/>
              <w:jc w:val="center"/>
              <w:rPr>
                <w:rFonts w:ascii="宋体" w:hAnsi="宋体" w:cs="宋体"/>
                <w:kern w:val="0"/>
                <w:sz w:val="24"/>
              </w:rPr>
            </w:pPr>
            <w:r>
              <w:rPr>
                <w:rFonts w:ascii="宋体" w:hAnsi="宋体" w:cs="宋体" w:hint="eastAsia"/>
                <w:kern w:val="0"/>
                <w:sz w:val="24"/>
              </w:rPr>
              <w:t>176.37</w:t>
            </w:r>
          </w:p>
        </w:tc>
        <w:tc>
          <w:tcPr>
            <w:tcW w:w="3135" w:type="dxa"/>
            <w:tcBorders>
              <w:top w:val="single" w:sz="4" w:space="0" w:color="auto"/>
              <w:left w:val="single" w:sz="4" w:space="0" w:color="auto"/>
              <w:bottom w:val="single" w:sz="4" w:space="0" w:color="auto"/>
              <w:right w:val="single" w:sz="4" w:space="0" w:color="auto"/>
            </w:tcBorders>
            <w:shd w:val="clear" w:color="auto" w:fill="auto"/>
            <w:vAlign w:val="center"/>
          </w:tcPr>
          <w:p w:rsidR="00B23312" w:rsidRDefault="00B23312">
            <w:pPr>
              <w:widowControl/>
              <w:jc w:val="center"/>
              <w:rPr>
                <w:rFonts w:ascii="宋体" w:hAnsi="宋体" w:cs="宋体"/>
                <w:kern w:val="0"/>
                <w:sz w:val="24"/>
              </w:rPr>
            </w:pPr>
            <w:bookmarkStart w:id="77" w:name="_GoBack"/>
            <w:bookmarkEnd w:id="77"/>
          </w:p>
        </w:tc>
        <w:tc>
          <w:tcPr>
            <w:tcW w:w="3135" w:type="dxa"/>
            <w:tcBorders>
              <w:top w:val="single" w:sz="4" w:space="0" w:color="auto"/>
              <w:left w:val="single" w:sz="4" w:space="0" w:color="auto"/>
              <w:bottom w:val="single" w:sz="4" w:space="0" w:color="auto"/>
              <w:right w:val="single" w:sz="4" w:space="0" w:color="auto"/>
            </w:tcBorders>
            <w:vAlign w:val="center"/>
          </w:tcPr>
          <w:p w:rsidR="00B23312" w:rsidRDefault="00B23312">
            <w:pPr>
              <w:widowControl/>
              <w:jc w:val="center"/>
              <w:rPr>
                <w:rFonts w:ascii="宋体" w:hAnsi="宋体" w:cs="宋体"/>
                <w:kern w:val="0"/>
                <w:sz w:val="24"/>
              </w:rPr>
            </w:pPr>
          </w:p>
        </w:tc>
      </w:tr>
      <w:bookmarkEnd w:id="0"/>
      <w:bookmarkEnd w:id="4"/>
      <w:bookmarkEnd w:id="75"/>
    </w:tbl>
    <w:p w:rsidR="00B23312" w:rsidRDefault="00B23312">
      <w:pPr>
        <w:ind w:firstLineChars="200" w:firstLine="600"/>
        <w:rPr>
          <w:sz w:val="30"/>
          <w:szCs w:val="30"/>
        </w:rPr>
      </w:pPr>
    </w:p>
    <w:sectPr w:rsidR="00B23312" w:rsidSect="00B23312">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4B2" w:rsidRDefault="000D34B2" w:rsidP="00B23312">
      <w:r>
        <w:separator/>
      </w:r>
    </w:p>
  </w:endnote>
  <w:endnote w:type="continuationSeparator" w:id="1">
    <w:p w:rsidR="000D34B2" w:rsidRDefault="000D34B2" w:rsidP="00B233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embedRegular r:id="rId1" w:subsetted="1" w:fontKey="{6E80DA52-D578-449B-BC55-CED7F73C8E8E}"/>
  </w:font>
  <w:font w:name="Cambria">
    <w:panose1 w:val="02040503050406030204"/>
    <w:charset w:val="00"/>
    <w:family w:val="roman"/>
    <w:pitch w:val="variable"/>
    <w:sig w:usb0="A00002EF" w:usb1="4000004B" w:usb2="00000000" w:usb3="00000000" w:csb0="0000009F" w:csb1="00000000"/>
    <w:embedRegular r:id="rId2" w:subsetted="1" w:fontKey="{8D3F0ECD-8D9D-46E0-A458-2CE0C763B98A}"/>
    <w:embedBold r:id="rId3" w:subsetted="1" w:fontKey="{A04DB369-1428-4A46-9765-E6A4121FF9CB}"/>
  </w:font>
  <w:font w:name="黑体">
    <w:altName w:val="SimHei"/>
    <w:panose1 w:val="02010609060101010101"/>
    <w:charset w:val="86"/>
    <w:family w:val="modern"/>
    <w:pitch w:val="fixed"/>
    <w:sig w:usb0="800002BF" w:usb1="38CF7CFA" w:usb2="00000016" w:usb3="00000000" w:csb0="00040001" w:csb1="00000000"/>
    <w:embedRegular r:id="rId4" w:subsetted="1" w:fontKey="{136AB972-5895-4DD5-9D41-EEB5B6A21ECB}"/>
  </w:font>
  <w:font w:name="仿宋_GB2312">
    <w:charset w:val="86"/>
    <w:family w:val="modern"/>
    <w:pitch w:val="default"/>
    <w:sig w:usb0="00000001" w:usb1="080E0000" w:usb2="00000000" w:usb3="00000000" w:csb0="00040000" w:csb1="00000000"/>
    <w:embedRegular r:id="rId5" w:subsetted="1" w:fontKey="{256618B1-756F-4B04-A80B-6D05BC61C6F7}"/>
    <w:embedBold r:id="rId6" w:subsetted="1" w:fontKey="{D41588D7-8276-43EF-9003-38BCD1DA1C91}"/>
  </w:font>
  <w:font w:name="方正仿宋简体">
    <w:altName w:val="微软雅黑"/>
    <w:charset w:val="86"/>
    <w:family w:val="auto"/>
    <w:pitch w:val="default"/>
    <w:sig w:usb0="00000000" w:usb1="00000000" w:usb2="00000012"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12" w:rsidRDefault="000D34B2">
    <w:pPr>
      <w:pStyle w:val="a4"/>
    </w:pP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12" w:rsidRDefault="00B2331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12" w:rsidRDefault="00B23312">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B23312" w:rsidRDefault="00B23312">
                <w:pPr>
                  <w:pStyle w:val="a4"/>
                  <w:rPr>
                    <w:sz w:val="30"/>
                    <w:szCs w:val="30"/>
                  </w:rPr>
                </w:pPr>
                <w:r>
                  <w:rPr>
                    <w:rFonts w:hint="eastAsia"/>
                    <w:sz w:val="30"/>
                    <w:szCs w:val="30"/>
                  </w:rPr>
                  <w:fldChar w:fldCharType="begin"/>
                </w:r>
                <w:r w:rsidR="000D34B2">
                  <w:rPr>
                    <w:rFonts w:hint="eastAsia"/>
                    <w:sz w:val="30"/>
                    <w:szCs w:val="30"/>
                  </w:rPr>
                  <w:instrText xml:space="preserve"> PAGE  \* MERGEFORMAT </w:instrText>
                </w:r>
                <w:r>
                  <w:rPr>
                    <w:rFonts w:hint="eastAsia"/>
                    <w:sz w:val="30"/>
                    <w:szCs w:val="30"/>
                  </w:rPr>
                  <w:fldChar w:fldCharType="separate"/>
                </w:r>
                <w:r w:rsidR="00F75D28">
                  <w:rPr>
                    <w:noProof/>
                    <w:sz w:val="30"/>
                    <w:szCs w:val="30"/>
                  </w:rPr>
                  <w:t>- 5 -</w:t>
                </w:r>
                <w:r>
                  <w:rPr>
                    <w:rFonts w:hint="eastAsia"/>
                    <w:sz w:val="30"/>
                    <w:szCs w:val="30"/>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4B2" w:rsidRDefault="000D34B2" w:rsidP="00B23312">
      <w:r>
        <w:separator/>
      </w:r>
    </w:p>
  </w:footnote>
  <w:footnote w:type="continuationSeparator" w:id="1">
    <w:p w:rsidR="000D34B2" w:rsidRDefault="000D34B2" w:rsidP="00B233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stylePaneFormatFilter w:val="3F01"/>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commondata" w:val="eyJoZGlkIjoiZjMxZjBjYmE2NTkwMDA3MzBmOTAxOWY1YWM3OWU2ZjMifQ=="/>
  </w:docVars>
  <w:rsids>
    <w:rsidRoot w:val="681A4A72"/>
    <w:rsid w:val="00000E7F"/>
    <w:rsid w:val="000D34B2"/>
    <w:rsid w:val="00125017"/>
    <w:rsid w:val="00133A1B"/>
    <w:rsid w:val="00166FA1"/>
    <w:rsid w:val="00176384"/>
    <w:rsid w:val="001A5F62"/>
    <w:rsid w:val="001D2E88"/>
    <w:rsid w:val="002202EC"/>
    <w:rsid w:val="00224E8A"/>
    <w:rsid w:val="002325DD"/>
    <w:rsid w:val="00241D3F"/>
    <w:rsid w:val="00280861"/>
    <w:rsid w:val="00283815"/>
    <w:rsid w:val="002B7255"/>
    <w:rsid w:val="00302501"/>
    <w:rsid w:val="003243D5"/>
    <w:rsid w:val="00337A3F"/>
    <w:rsid w:val="00352D41"/>
    <w:rsid w:val="00363EF2"/>
    <w:rsid w:val="003A220F"/>
    <w:rsid w:val="003C3656"/>
    <w:rsid w:val="003C4222"/>
    <w:rsid w:val="003E63DA"/>
    <w:rsid w:val="003F7FB4"/>
    <w:rsid w:val="00430ED4"/>
    <w:rsid w:val="00460AFE"/>
    <w:rsid w:val="00472340"/>
    <w:rsid w:val="00473EA0"/>
    <w:rsid w:val="00490B0E"/>
    <w:rsid w:val="004D53EE"/>
    <w:rsid w:val="004E6FDB"/>
    <w:rsid w:val="004F047A"/>
    <w:rsid w:val="0051748C"/>
    <w:rsid w:val="00524A40"/>
    <w:rsid w:val="00530148"/>
    <w:rsid w:val="005B428E"/>
    <w:rsid w:val="005C2275"/>
    <w:rsid w:val="0065293D"/>
    <w:rsid w:val="006A687C"/>
    <w:rsid w:val="0077526E"/>
    <w:rsid w:val="007C6F2D"/>
    <w:rsid w:val="007E17C6"/>
    <w:rsid w:val="00822D3D"/>
    <w:rsid w:val="0083288E"/>
    <w:rsid w:val="00846E2D"/>
    <w:rsid w:val="008953DC"/>
    <w:rsid w:val="00906158"/>
    <w:rsid w:val="00944577"/>
    <w:rsid w:val="009818ED"/>
    <w:rsid w:val="009A1D66"/>
    <w:rsid w:val="009A3CE7"/>
    <w:rsid w:val="009B31CA"/>
    <w:rsid w:val="009D31A4"/>
    <w:rsid w:val="009F2B88"/>
    <w:rsid w:val="00A2171D"/>
    <w:rsid w:val="00A46821"/>
    <w:rsid w:val="00A64792"/>
    <w:rsid w:val="00A72447"/>
    <w:rsid w:val="00A841FF"/>
    <w:rsid w:val="00A85C66"/>
    <w:rsid w:val="00AC29CF"/>
    <w:rsid w:val="00AC4496"/>
    <w:rsid w:val="00AD0A02"/>
    <w:rsid w:val="00AD1636"/>
    <w:rsid w:val="00B05AB4"/>
    <w:rsid w:val="00B1520D"/>
    <w:rsid w:val="00B23312"/>
    <w:rsid w:val="00B56F97"/>
    <w:rsid w:val="00B63900"/>
    <w:rsid w:val="00B84232"/>
    <w:rsid w:val="00BA47D8"/>
    <w:rsid w:val="00C024D2"/>
    <w:rsid w:val="00CA5B6B"/>
    <w:rsid w:val="00CC553D"/>
    <w:rsid w:val="00CC79AB"/>
    <w:rsid w:val="00D21FAE"/>
    <w:rsid w:val="00D24335"/>
    <w:rsid w:val="00D57370"/>
    <w:rsid w:val="00D76FD3"/>
    <w:rsid w:val="00D9052F"/>
    <w:rsid w:val="00DA767C"/>
    <w:rsid w:val="00DB7E7F"/>
    <w:rsid w:val="00DC3863"/>
    <w:rsid w:val="00E3533D"/>
    <w:rsid w:val="00E35516"/>
    <w:rsid w:val="00E576A9"/>
    <w:rsid w:val="00E61B70"/>
    <w:rsid w:val="00E708F0"/>
    <w:rsid w:val="00E73E36"/>
    <w:rsid w:val="00E74A38"/>
    <w:rsid w:val="00ED5C9F"/>
    <w:rsid w:val="00EF0842"/>
    <w:rsid w:val="00F001F0"/>
    <w:rsid w:val="00F24913"/>
    <w:rsid w:val="00F26CB8"/>
    <w:rsid w:val="00F273E2"/>
    <w:rsid w:val="00F37AEC"/>
    <w:rsid w:val="00F649A6"/>
    <w:rsid w:val="00F75D28"/>
    <w:rsid w:val="00F87DD9"/>
    <w:rsid w:val="00FE75C4"/>
    <w:rsid w:val="057D324D"/>
    <w:rsid w:val="05FB1819"/>
    <w:rsid w:val="06C65EB8"/>
    <w:rsid w:val="07EB3251"/>
    <w:rsid w:val="09F763DA"/>
    <w:rsid w:val="0BC3546F"/>
    <w:rsid w:val="0C5C66D0"/>
    <w:rsid w:val="15466B8C"/>
    <w:rsid w:val="1DEF3386"/>
    <w:rsid w:val="1E321314"/>
    <w:rsid w:val="1FBD7E16"/>
    <w:rsid w:val="24D516C8"/>
    <w:rsid w:val="251C645D"/>
    <w:rsid w:val="273D4330"/>
    <w:rsid w:val="2A740C84"/>
    <w:rsid w:val="2ADB54BD"/>
    <w:rsid w:val="32FC7F19"/>
    <w:rsid w:val="331E441E"/>
    <w:rsid w:val="36351749"/>
    <w:rsid w:val="3D197608"/>
    <w:rsid w:val="3FA47EBF"/>
    <w:rsid w:val="4750596E"/>
    <w:rsid w:val="4ACE62D6"/>
    <w:rsid w:val="4AD54AB1"/>
    <w:rsid w:val="4E0D5926"/>
    <w:rsid w:val="4E8C2FA7"/>
    <w:rsid w:val="51E41FDE"/>
    <w:rsid w:val="54351348"/>
    <w:rsid w:val="543D74BF"/>
    <w:rsid w:val="570F1328"/>
    <w:rsid w:val="588A21B8"/>
    <w:rsid w:val="5A467E78"/>
    <w:rsid w:val="5E994242"/>
    <w:rsid w:val="600475AE"/>
    <w:rsid w:val="624B15BE"/>
    <w:rsid w:val="667D6B7E"/>
    <w:rsid w:val="681A4A72"/>
    <w:rsid w:val="68DC1BE4"/>
    <w:rsid w:val="71274ADD"/>
    <w:rsid w:val="74EB5091"/>
    <w:rsid w:val="77291298"/>
    <w:rsid w:val="79DB77BF"/>
    <w:rsid w:val="79FC4D02"/>
    <w:rsid w:val="7E476B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B23312"/>
    <w:pPr>
      <w:widowControl w:val="0"/>
      <w:jc w:val="both"/>
    </w:pPr>
    <w:rPr>
      <w:rFonts w:ascii="Calibri" w:hAnsi="Calibri"/>
      <w:kern w:val="2"/>
      <w:sz w:val="21"/>
      <w:szCs w:val="24"/>
    </w:rPr>
  </w:style>
  <w:style w:type="paragraph" w:styleId="1">
    <w:name w:val="heading 1"/>
    <w:basedOn w:val="a"/>
    <w:next w:val="a"/>
    <w:link w:val="1Char"/>
    <w:qFormat/>
    <w:rsid w:val="00B23312"/>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B2331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rsid w:val="00B23312"/>
    <w:pPr>
      <w:widowControl/>
      <w:spacing w:after="100" w:line="259" w:lineRule="auto"/>
      <w:ind w:left="440"/>
      <w:jc w:val="left"/>
    </w:pPr>
    <w:rPr>
      <w:rFonts w:asciiTheme="minorHAnsi" w:eastAsiaTheme="minorEastAsia" w:hAnsiTheme="minorHAnsi"/>
      <w:kern w:val="0"/>
      <w:sz w:val="22"/>
      <w:szCs w:val="22"/>
    </w:rPr>
  </w:style>
  <w:style w:type="paragraph" w:styleId="a3">
    <w:name w:val="Balloon Text"/>
    <w:basedOn w:val="a"/>
    <w:link w:val="Char"/>
    <w:qFormat/>
    <w:rsid w:val="00B23312"/>
    <w:rPr>
      <w:sz w:val="18"/>
      <w:szCs w:val="18"/>
    </w:rPr>
  </w:style>
  <w:style w:type="paragraph" w:styleId="a4">
    <w:name w:val="footer"/>
    <w:basedOn w:val="a"/>
    <w:qFormat/>
    <w:rsid w:val="00B23312"/>
    <w:pPr>
      <w:tabs>
        <w:tab w:val="center" w:pos="4153"/>
        <w:tab w:val="right" w:pos="8306"/>
      </w:tabs>
      <w:snapToGrid w:val="0"/>
      <w:jc w:val="left"/>
    </w:pPr>
    <w:rPr>
      <w:sz w:val="18"/>
    </w:rPr>
  </w:style>
  <w:style w:type="paragraph" w:styleId="a5">
    <w:name w:val="header"/>
    <w:basedOn w:val="a"/>
    <w:qFormat/>
    <w:rsid w:val="00B2331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rsid w:val="00B23312"/>
    <w:pPr>
      <w:widowControl/>
      <w:spacing w:after="100" w:line="259" w:lineRule="auto"/>
      <w:jc w:val="left"/>
    </w:pPr>
    <w:rPr>
      <w:rFonts w:asciiTheme="minorHAnsi" w:eastAsiaTheme="minorEastAsia" w:hAnsiTheme="minorHAnsi"/>
      <w:kern w:val="0"/>
      <w:sz w:val="22"/>
      <w:szCs w:val="22"/>
    </w:rPr>
  </w:style>
  <w:style w:type="paragraph" w:styleId="20">
    <w:name w:val="toc 2"/>
    <w:basedOn w:val="a"/>
    <w:next w:val="a"/>
    <w:uiPriority w:val="39"/>
    <w:unhideWhenUsed/>
    <w:qFormat/>
    <w:rsid w:val="00B23312"/>
    <w:pPr>
      <w:widowControl/>
      <w:spacing w:after="100" w:line="259" w:lineRule="auto"/>
      <w:ind w:left="220"/>
      <w:jc w:val="left"/>
    </w:pPr>
    <w:rPr>
      <w:rFonts w:asciiTheme="minorHAnsi" w:eastAsiaTheme="minorEastAsia" w:hAnsiTheme="minorHAnsi"/>
      <w:kern w:val="0"/>
      <w:sz w:val="22"/>
      <w:szCs w:val="22"/>
    </w:rPr>
  </w:style>
  <w:style w:type="paragraph" w:styleId="a6">
    <w:name w:val="Normal (Web)"/>
    <w:basedOn w:val="a"/>
    <w:qFormat/>
    <w:rsid w:val="00B23312"/>
    <w:rPr>
      <w:sz w:val="24"/>
    </w:rPr>
  </w:style>
  <w:style w:type="table" w:styleId="a7">
    <w:name w:val="Table Grid"/>
    <w:basedOn w:val="a1"/>
    <w:qFormat/>
    <w:rsid w:val="00B2331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qFormat/>
    <w:rsid w:val="00B23312"/>
    <w:rPr>
      <w:b/>
    </w:rPr>
  </w:style>
  <w:style w:type="character" w:styleId="a9">
    <w:name w:val="FollowedHyperlink"/>
    <w:basedOn w:val="a0"/>
    <w:autoRedefine/>
    <w:qFormat/>
    <w:rsid w:val="00B23312"/>
    <w:rPr>
      <w:color w:val="333333"/>
      <w:u w:val="none"/>
    </w:rPr>
  </w:style>
  <w:style w:type="character" w:styleId="aa">
    <w:name w:val="Hyperlink"/>
    <w:basedOn w:val="a0"/>
    <w:autoRedefine/>
    <w:uiPriority w:val="99"/>
    <w:qFormat/>
    <w:rsid w:val="00B23312"/>
    <w:rPr>
      <w:color w:val="333333"/>
      <w:u w:val="none"/>
    </w:rPr>
  </w:style>
  <w:style w:type="paragraph" w:customStyle="1" w:styleId="WPSOffice1">
    <w:name w:val="WPSOffice手动目录 1"/>
    <w:autoRedefine/>
    <w:qFormat/>
    <w:rsid w:val="00B23312"/>
  </w:style>
  <w:style w:type="paragraph" w:customStyle="1" w:styleId="WPSOffice2">
    <w:name w:val="WPSOffice手动目录 2"/>
    <w:autoRedefine/>
    <w:qFormat/>
    <w:rsid w:val="00B23312"/>
    <w:pPr>
      <w:ind w:leftChars="200" w:left="200"/>
    </w:pPr>
  </w:style>
  <w:style w:type="paragraph" w:customStyle="1" w:styleId="WPSOffice3">
    <w:name w:val="WPSOffice手动目录 3"/>
    <w:autoRedefine/>
    <w:qFormat/>
    <w:rsid w:val="00B23312"/>
    <w:pPr>
      <w:ind w:leftChars="400" w:left="400"/>
    </w:pPr>
  </w:style>
  <w:style w:type="character" w:customStyle="1" w:styleId="Char">
    <w:name w:val="批注框文本 Char"/>
    <w:basedOn w:val="a0"/>
    <w:link w:val="a3"/>
    <w:autoRedefine/>
    <w:qFormat/>
    <w:rsid w:val="00B23312"/>
    <w:rPr>
      <w:rFonts w:ascii="Calibri" w:hAnsi="Calibri"/>
      <w:kern w:val="2"/>
      <w:sz w:val="18"/>
      <w:szCs w:val="18"/>
    </w:rPr>
  </w:style>
  <w:style w:type="character" w:customStyle="1" w:styleId="1Char">
    <w:name w:val="标题 1 Char"/>
    <w:basedOn w:val="a0"/>
    <w:link w:val="1"/>
    <w:autoRedefine/>
    <w:qFormat/>
    <w:rsid w:val="00B23312"/>
    <w:rPr>
      <w:rFonts w:ascii="Calibri" w:hAnsi="Calibri"/>
      <w:b/>
      <w:bCs/>
      <w:kern w:val="44"/>
      <w:sz w:val="44"/>
      <w:szCs w:val="44"/>
    </w:rPr>
  </w:style>
  <w:style w:type="paragraph" w:customStyle="1" w:styleId="TOC1">
    <w:name w:val="TOC 标题1"/>
    <w:basedOn w:val="1"/>
    <w:next w:val="a"/>
    <w:autoRedefine/>
    <w:uiPriority w:val="39"/>
    <w:unhideWhenUsed/>
    <w:qFormat/>
    <w:rsid w:val="00B23312"/>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Char">
    <w:name w:val="标题 2 Char"/>
    <w:basedOn w:val="a0"/>
    <w:link w:val="2"/>
    <w:autoRedefine/>
    <w:semiHidden/>
    <w:qFormat/>
    <w:rsid w:val="00B23312"/>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enwen.soso.com/z/Search.e?sp=S%E7%BB%93%E6%9E%84%E8%B0%83%E6%95%B4&amp;ch=w.search.intlink" TargetMode="Externa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06C0510-41A9-46E3-9AD5-A60ED327FC2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17</Pages>
  <Words>1226</Words>
  <Characters>6991</Characters>
  <Application>Microsoft Office Word</Application>
  <DocSecurity>0</DocSecurity>
  <Lines>58</Lines>
  <Paragraphs>16</Paragraphs>
  <ScaleCrop>false</ScaleCrop>
  <Company>Microsoft</Company>
  <LinksUpToDate>false</LinksUpToDate>
  <CharactersWithSpaces>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chenxf</cp:lastModifiedBy>
  <cp:revision>56</cp:revision>
  <cp:lastPrinted>2024-04-03T03:36:00Z</cp:lastPrinted>
  <dcterms:created xsi:type="dcterms:W3CDTF">2016-11-16T02:05:00Z</dcterms:created>
  <dcterms:modified xsi:type="dcterms:W3CDTF">2025-01-13T01:45:00Z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5A835F5496C74B3081A5A5C207B557BD</vt:lpwstr>
  </property>
</Properties>
</file>