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F1C" w:rsidRDefault="008318CA">
      <w:pPr>
        <w:rPr>
          <w:rFonts w:ascii="黑体" w:eastAsia="黑体" w:hAnsi="黑体" w:cs="黑体"/>
          <w:sz w:val="32"/>
          <w:szCs w:val="32"/>
        </w:rPr>
      </w:pPr>
      <w:bookmarkStart w:id="0" w:name="OLE_LINK3"/>
      <w:r>
        <w:rPr>
          <w:rFonts w:ascii="黑体" w:eastAsia="黑体" w:hAnsi="黑体" w:cs="黑体" w:hint="eastAsia"/>
          <w:sz w:val="32"/>
          <w:szCs w:val="32"/>
        </w:rPr>
        <w:t>附件：</w:t>
      </w:r>
    </w:p>
    <w:p w:rsidR="00CA2F1C" w:rsidRDefault="00CA2F1C">
      <w:pPr>
        <w:ind w:firstLineChars="200" w:firstLine="964"/>
        <w:rPr>
          <w:b/>
          <w:bCs/>
          <w:sz w:val="48"/>
          <w:szCs w:val="48"/>
        </w:rPr>
      </w:pPr>
    </w:p>
    <w:p w:rsidR="00CA2F1C" w:rsidRDefault="00CA2F1C">
      <w:pPr>
        <w:ind w:firstLineChars="200" w:firstLine="964"/>
        <w:rPr>
          <w:b/>
          <w:bCs/>
          <w:sz w:val="48"/>
          <w:szCs w:val="48"/>
        </w:rPr>
      </w:pPr>
    </w:p>
    <w:p w:rsidR="00CA2F1C" w:rsidRDefault="00CA2F1C">
      <w:pPr>
        <w:ind w:firstLineChars="200" w:firstLine="964"/>
        <w:rPr>
          <w:b/>
          <w:bCs/>
          <w:sz w:val="48"/>
          <w:szCs w:val="48"/>
        </w:rPr>
      </w:pPr>
    </w:p>
    <w:p w:rsidR="00CA2F1C" w:rsidRDefault="008318CA">
      <w:pPr>
        <w:jc w:val="center"/>
        <w:rPr>
          <w:b/>
          <w:bCs/>
          <w:sz w:val="72"/>
          <w:szCs w:val="72"/>
        </w:rPr>
      </w:pPr>
      <w:r>
        <w:rPr>
          <w:rFonts w:ascii="黑体" w:eastAsia="黑体" w:hAnsi="黑体" w:cs="黑体" w:hint="eastAsia"/>
          <w:sz w:val="72"/>
          <w:szCs w:val="72"/>
        </w:rPr>
        <w:t>福建省长汀县</w:t>
      </w:r>
    </w:p>
    <w:p w:rsidR="00CA2F1C" w:rsidRDefault="00CA2F1C">
      <w:pPr>
        <w:jc w:val="center"/>
        <w:rPr>
          <w:b/>
          <w:bCs/>
          <w:sz w:val="72"/>
          <w:szCs w:val="72"/>
        </w:rPr>
      </w:pPr>
    </w:p>
    <w:p w:rsidR="00CA2F1C" w:rsidRDefault="008318CA">
      <w:pPr>
        <w:jc w:val="center"/>
        <w:rPr>
          <w:rFonts w:ascii="黑体" w:eastAsia="黑体" w:hAnsi="黑体" w:cs="黑体"/>
          <w:sz w:val="52"/>
          <w:szCs w:val="52"/>
        </w:rPr>
      </w:pPr>
      <w:r>
        <w:rPr>
          <w:rFonts w:ascii="黑体" w:eastAsia="黑体" w:hAnsi="黑体" w:cs="黑体"/>
          <w:sz w:val="52"/>
          <w:szCs w:val="52"/>
        </w:rPr>
        <w:t>202</w:t>
      </w:r>
      <w:r>
        <w:rPr>
          <w:rFonts w:ascii="黑体" w:eastAsia="黑体" w:hAnsi="黑体" w:cs="黑体"/>
          <w:sz w:val="52"/>
          <w:szCs w:val="52"/>
        </w:rPr>
        <w:t>3</w:t>
      </w:r>
      <w:r>
        <w:rPr>
          <w:rFonts w:ascii="黑体" w:eastAsia="黑体" w:hAnsi="黑体" w:cs="黑体" w:hint="eastAsia"/>
          <w:sz w:val="52"/>
          <w:szCs w:val="52"/>
        </w:rPr>
        <w:t>年度国有建设用地</w:t>
      </w:r>
    </w:p>
    <w:p w:rsidR="00CA2F1C" w:rsidRDefault="008318CA">
      <w:pPr>
        <w:jc w:val="center"/>
        <w:rPr>
          <w:rFonts w:ascii="黑体" w:eastAsia="黑体" w:hAnsi="黑体" w:cs="黑体"/>
          <w:sz w:val="72"/>
          <w:szCs w:val="72"/>
        </w:rPr>
      </w:pPr>
      <w:r>
        <w:rPr>
          <w:rFonts w:ascii="黑体" w:eastAsia="黑体" w:hAnsi="黑体" w:cs="黑体" w:hint="eastAsia"/>
          <w:sz w:val="52"/>
          <w:szCs w:val="52"/>
        </w:rPr>
        <w:t>供应计划</w:t>
      </w: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CA2F1C">
      <w:pPr>
        <w:ind w:firstLineChars="200" w:firstLine="723"/>
        <w:rPr>
          <w:b/>
          <w:bCs/>
          <w:sz w:val="36"/>
          <w:szCs w:val="36"/>
        </w:rPr>
      </w:pPr>
    </w:p>
    <w:p w:rsidR="00CA2F1C" w:rsidRDefault="008318CA">
      <w:pPr>
        <w:jc w:val="center"/>
        <w:rPr>
          <w:sz w:val="36"/>
          <w:szCs w:val="36"/>
        </w:rPr>
      </w:pPr>
      <w:r>
        <w:rPr>
          <w:rFonts w:hint="eastAsia"/>
          <w:sz w:val="36"/>
          <w:szCs w:val="36"/>
        </w:rPr>
        <w:t>长汀县自然资源局</w:t>
      </w:r>
    </w:p>
    <w:p w:rsidR="00CA2F1C" w:rsidRDefault="008318CA">
      <w:pPr>
        <w:jc w:val="center"/>
        <w:rPr>
          <w:sz w:val="36"/>
          <w:szCs w:val="36"/>
        </w:rPr>
      </w:pPr>
      <w:r>
        <w:rPr>
          <w:rFonts w:hint="eastAsia"/>
          <w:sz w:val="36"/>
          <w:szCs w:val="36"/>
        </w:rPr>
        <w:t>二○二</w:t>
      </w:r>
      <w:r>
        <w:rPr>
          <w:rFonts w:hint="eastAsia"/>
          <w:sz w:val="36"/>
          <w:szCs w:val="36"/>
        </w:rPr>
        <w:t>三</w:t>
      </w:r>
      <w:r>
        <w:rPr>
          <w:rFonts w:hint="eastAsia"/>
          <w:sz w:val="36"/>
          <w:szCs w:val="36"/>
        </w:rPr>
        <w:t>年</w:t>
      </w:r>
      <w:r>
        <w:rPr>
          <w:rFonts w:hint="eastAsia"/>
          <w:sz w:val="36"/>
          <w:szCs w:val="36"/>
        </w:rPr>
        <w:t>二</w:t>
      </w:r>
      <w:r>
        <w:rPr>
          <w:rFonts w:hint="eastAsia"/>
          <w:sz w:val="36"/>
          <w:szCs w:val="36"/>
        </w:rPr>
        <w:t>月</w:t>
      </w:r>
    </w:p>
    <w:p w:rsidR="00CA2F1C" w:rsidRDefault="00CA2F1C">
      <w:pPr>
        <w:ind w:firstLineChars="200" w:firstLine="723"/>
        <w:rPr>
          <w:b/>
          <w:bCs/>
          <w:sz w:val="36"/>
          <w:szCs w:val="36"/>
        </w:rPr>
      </w:pPr>
    </w:p>
    <w:p w:rsidR="00CA2F1C" w:rsidRDefault="00CA2F1C">
      <w:pPr>
        <w:ind w:firstLineChars="200" w:firstLine="600"/>
        <w:rPr>
          <w:sz w:val="30"/>
          <w:szCs w:val="30"/>
        </w:rPr>
      </w:pPr>
    </w:p>
    <w:p w:rsidR="00CA2F1C" w:rsidRDefault="00CA2F1C">
      <w:pPr>
        <w:ind w:firstLineChars="200" w:firstLine="600"/>
        <w:rPr>
          <w:sz w:val="30"/>
          <w:szCs w:val="30"/>
        </w:rPr>
        <w:sectPr w:rsidR="00CA2F1C">
          <w:footerReference w:type="default" r:id="rId8"/>
          <w:pgSz w:w="11906" w:h="16838"/>
          <w:pgMar w:top="1440" w:right="1800" w:bottom="1440" w:left="1800" w:header="851" w:footer="992" w:gutter="0"/>
          <w:cols w:space="720"/>
          <w:docGrid w:type="lines" w:linePitch="312"/>
        </w:sectPr>
      </w:pPr>
    </w:p>
    <w:sdt>
      <w:sdtPr>
        <w:rPr>
          <w:rFonts w:ascii="Calibri" w:eastAsia="宋体" w:hAnsi="Calibri" w:cs="Times New Roman"/>
          <w:color w:val="auto"/>
          <w:kern w:val="2"/>
          <w:sz w:val="21"/>
          <w:szCs w:val="24"/>
          <w:lang w:val="zh-CN"/>
        </w:rPr>
        <w:id w:val="-1648271953"/>
        <w:docPartObj>
          <w:docPartGallery w:val="Table of Contents"/>
          <w:docPartUnique/>
        </w:docPartObj>
      </w:sdtPr>
      <w:sdtEndPr>
        <w:rPr>
          <w:b/>
          <w:bCs/>
        </w:rPr>
      </w:sdtEndPr>
      <w:sdtContent>
        <w:p w:rsidR="00CA2F1C" w:rsidRDefault="008318CA">
          <w:pPr>
            <w:pStyle w:val="TOC1"/>
            <w:jc w:val="center"/>
            <w:rPr>
              <w:color w:val="auto"/>
              <w:sz w:val="36"/>
              <w:szCs w:val="36"/>
            </w:rPr>
          </w:pPr>
          <w:r>
            <w:rPr>
              <w:color w:val="auto"/>
              <w:sz w:val="36"/>
              <w:szCs w:val="36"/>
              <w:lang w:val="zh-CN"/>
            </w:rPr>
            <w:t>目</w:t>
          </w:r>
          <w:r>
            <w:rPr>
              <w:color w:val="auto"/>
              <w:sz w:val="36"/>
              <w:szCs w:val="36"/>
              <w:lang w:val="zh-CN"/>
            </w:rPr>
            <w:t xml:space="preserve"> </w:t>
          </w:r>
          <w:r>
            <w:rPr>
              <w:color w:val="auto"/>
              <w:sz w:val="36"/>
              <w:szCs w:val="36"/>
              <w:lang w:val="zh-CN"/>
            </w:rPr>
            <w:t>录</w:t>
          </w:r>
        </w:p>
        <w:p w:rsidR="00CA2F1C" w:rsidRDefault="00CA2F1C">
          <w:pPr>
            <w:pStyle w:val="20"/>
            <w:tabs>
              <w:tab w:val="right" w:leader="dot" w:pos="8306"/>
            </w:tabs>
          </w:pPr>
          <w:r w:rsidRPr="00CA2F1C">
            <w:fldChar w:fldCharType="begin"/>
          </w:r>
          <w:r w:rsidR="008318CA">
            <w:instrText xml:space="preserve"> TOC \o "1-3" \h \z \u </w:instrText>
          </w:r>
          <w:r w:rsidRPr="00CA2F1C">
            <w:fldChar w:fldCharType="separate"/>
          </w:r>
          <w:hyperlink w:anchor="_Toc13432" w:history="1">
            <w:r w:rsidR="008318CA">
              <w:rPr>
                <w:rFonts w:ascii="仿宋_GB2312" w:eastAsia="仿宋_GB2312" w:hAnsi="仿宋_GB2312" w:cs="仿宋_GB2312" w:hint="eastAsia"/>
              </w:rPr>
              <w:t>一、计划的目的、意义和编制依据</w:t>
            </w:r>
            <w:r w:rsidR="008318CA">
              <w:tab/>
            </w:r>
            <w:r>
              <w:fldChar w:fldCharType="begin"/>
            </w:r>
            <w:r w:rsidR="008318CA">
              <w:instrText xml:space="preserve"> PAGEREF _Toc13432 \h </w:instrText>
            </w:r>
            <w:r>
              <w:fldChar w:fldCharType="separate"/>
            </w:r>
            <w:r w:rsidR="008318CA">
              <w:t>- 1 -</w:t>
            </w:r>
            <w:r>
              <w:fldChar w:fldCharType="end"/>
            </w:r>
          </w:hyperlink>
        </w:p>
        <w:p w:rsidR="00CA2F1C" w:rsidRDefault="00CA2F1C">
          <w:pPr>
            <w:pStyle w:val="20"/>
            <w:tabs>
              <w:tab w:val="right" w:leader="dot" w:pos="8306"/>
            </w:tabs>
          </w:pPr>
          <w:hyperlink w:anchor="_Toc13297" w:history="1">
            <w:r w:rsidR="008318CA">
              <w:rPr>
                <w:rFonts w:ascii="仿宋_GB2312" w:eastAsia="仿宋_GB2312" w:hAnsi="仿宋_GB2312" w:cs="仿宋_GB2312" w:hint="eastAsia"/>
              </w:rPr>
              <w:t>（一）计划的目的、意义</w:t>
            </w:r>
            <w:r w:rsidR="008318CA">
              <w:tab/>
            </w:r>
            <w:r>
              <w:fldChar w:fldCharType="begin"/>
            </w:r>
            <w:r w:rsidR="008318CA">
              <w:instrText xml:space="preserve"> PAGEREF _Toc13297 \h </w:instrText>
            </w:r>
            <w:r>
              <w:fldChar w:fldCharType="separate"/>
            </w:r>
            <w:r w:rsidR="008318CA">
              <w:t>- 1 -</w:t>
            </w:r>
            <w:r>
              <w:fldChar w:fldCharType="end"/>
            </w:r>
          </w:hyperlink>
        </w:p>
        <w:p w:rsidR="00CA2F1C" w:rsidRDefault="00CA2F1C">
          <w:pPr>
            <w:pStyle w:val="20"/>
            <w:tabs>
              <w:tab w:val="right" w:leader="dot" w:pos="8306"/>
            </w:tabs>
          </w:pPr>
          <w:hyperlink w:anchor="_Toc7629" w:history="1">
            <w:r w:rsidR="008318CA">
              <w:rPr>
                <w:rFonts w:ascii="仿宋_GB2312" w:eastAsia="仿宋_GB2312" w:hAnsi="仿宋_GB2312" w:cs="仿宋_GB2312" w:hint="eastAsia"/>
              </w:rPr>
              <w:t>（二）编制依据</w:t>
            </w:r>
            <w:r w:rsidR="008318CA">
              <w:tab/>
            </w:r>
            <w:r>
              <w:fldChar w:fldCharType="begin"/>
            </w:r>
            <w:r w:rsidR="008318CA">
              <w:instrText xml:space="preserve"> PAGEREF _Toc7629 \h </w:instrText>
            </w:r>
            <w:r>
              <w:fldChar w:fldCharType="separate"/>
            </w:r>
            <w:r w:rsidR="008318CA">
              <w:t>- 2 -</w:t>
            </w:r>
            <w:r>
              <w:fldChar w:fldCharType="end"/>
            </w:r>
          </w:hyperlink>
        </w:p>
        <w:p w:rsidR="00CA2F1C" w:rsidRDefault="00CA2F1C">
          <w:pPr>
            <w:pStyle w:val="20"/>
            <w:tabs>
              <w:tab w:val="right" w:leader="dot" w:pos="8306"/>
            </w:tabs>
          </w:pPr>
          <w:hyperlink w:anchor="_Toc22287" w:history="1">
            <w:r w:rsidR="008318CA">
              <w:rPr>
                <w:rFonts w:ascii="仿宋_GB2312" w:eastAsia="仿宋_GB2312" w:hAnsi="仿宋_GB2312" w:cs="仿宋_GB2312" w:hint="eastAsia"/>
              </w:rPr>
              <w:t>二、指导思想和基本原则</w:t>
            </w:r>
            <w:r w:rsidR="008318CA">
              <w:tab/>
            </w:r>
            <w:r>
              <w:fldChar w:fldCharType="begin"/>
            </w:r>
            <w:r w:rsidR="008318CA">
              <w:instrText xml:space="preserve"> PAGEREF _Toc22287 \h </w:instrText>
            </w:r>
            <w:r>
              <w:fldChar w:fldCharType="separate"/>
            </w:r>
            <w:r w:rsidR="008318CA">
              <w:t>- 4 -</w:t>
            </w:r>
            <w:r>
              <w:fldChar w:fldCharType="end"/>
            </w:r>
          </w:hyperlink>
        </w:p>
        <w:p w:rsidR="00CA2F1C" w:rsidRDefault="00CA2F1C">
          <w:pPr>
            <w:pStyle w:val="20"/>
            <w:tabs>
              <w:tab w:val="right" w:leader="dot" w:pos="8306"/>
            </w:tabs>
          </w:pPr>
          <w:hyperlink w:anchor="_Toc30643" w:history="1">
            <w:r w:rsidR="008318CA">
              <w:rPr>
                <w:rFonts w:ascii="仿宋_GB2312" w:eastAsia="仿宋_GB2312" w:hAnsi="仿宋_GB2312" w:cs="仿宋_GB2312" w:hint="eastAsia"/>
              </w:rPr>
              <w:t>（一）指导思想</w:t>
            </w:r>
            <w:r w:rsidR="008318CA">
              <w:tab/>
            </w:r>
            <w:r>
              <w:fldChar w:fldCharType="begin"/>
            </w:r>
            <w:r w:rsidR="008318CA">
              <w:instrText xml:space="preserve"> PAGEREF _Toc30643 \h </w:instrText>
            </w:r>
            <w:r>
              <w:fldChar w:fldCharType="separate"/>
            </w:r>
            <w:r w:rsidR="008318CA">
              <w:t>- 4 -</w:t>
            </w:r>
            <w:r>
              <w:fldChar w:fldCharType="end"/>
            </w:r>
          </w:hyperlink>
        </w:p>
        <w:p w:rsidR="00CA2F1C" w:rsidRDefault="00CA2F1C">
          <w:pPr>
            <w:pStyle w:val="20"/>
            <w:tabs>
              <w:tab w:val="right" w:leader="dot" w:pos="8306"/>
            </w:tabs>
          </w:pPr>
          <w:hyperlink w:anchor="_Toc23996" w:history="1">
            <w:r w:rsidR="008318CA">
              <w:rPr>
                <w:rFonts w:ascii="仿宋_GB2312" w:eastAsia="仿宋_GB2312" w:hAnsi="仿宋_GB2312" w:cs="仿宋_GB2312" w:hint="eastAsia"/>
              </w:rPr>
              <w:t>（二）基本原则</w:t>
            </w:r>
            <w:r w:rsidR="008318CA">
              <w:tab/>
            </w:r>
            <w:r>
              <w:fldChar w:fldCharType="begin"/>
            </w:r>
            <w:r w:rsidR="008318CA">
              <w:instrText xml:space="preserve"> PAGEREF _Toc23996 \h </w:instrText>
            </w:r>
            <w:r>
              <w:fldChar w:fldCharType="separate"/>
            </w:r>
            <w:r w:rsidR="008318CA">
              <w:t>- 5 -</w:t>
            </w:r>
            <w:r>
              <w:fldChar w:fldCharType="end"/>
            </w:r>
          </w:hyperlink>
        </w:p>
        <w:p w:rsidR="00CA2F1C" w:rsidRDefault="00CA2F1C">
          <w:pPr>
            <w:pStyle w:val="20"/>
            <w:tabs>
              <w:tab w:val="right" w:leader="dot" w:pos="8306"/>
            </w:tabs>
          </w:pPr>
          <w:hyperlink w:anchor="_Toc3126" w:history="1">
            <w:r w:rsidR="008318CA">
              <w:rPr>
                <w:rFonts w:ascii="仿宋_GB2312" w:eastAsia="仿宋_GB2312" w:hAnsi="仿宋_GB2312" w:cs="仿宋_GB2312" w:hint="eastAsia"/>
              </w:rPr>
              <w:t>三、计划指标</w:t>
            </w:r>
            <w:r w:rsidR="008318CA">
              <w:tab/>
            </w:r>
            <w:r>
              <w:fldChar w:fldCharType="begin"/>
            </w:r>
            <w:r w:rsidR="008318CA">
              <w:instrText xml:space="preserve"> PAGEREF _Toc3126 \h </w:instrText>
            </w:r>
            <w:r>
              <w:fldChar w:fldCharType="separate"/>
            </w:r>
            <w:r w:rsidR="008318CA">
              <w:t>- 6 -</w:t>
            </w:r>
            <w:r>
              <w:fldChar w:fldCharType="end"/>
            </w:r>
          </w:hyperlink>
        </w:p>
        <w:p w:rsidR="00CA2F1C" w:rsidRDefault="00CA2F1C">
          <w:pPr>
            <w:pStyle w:val="20"/>
            <w:tabs>
              <w:tab w:val="right" w:leader="dot" w:pos="8306"/>
            </w:tabs>
          </w:pPr>
          <w:hyperlink w:anchor="_Toc30135" w:history="1">
            <w:r w:rsidR="008318CA">
              <w:rPr>
                <w:rFonts w:ascii="仿宋_GB2312" w:eastAsia="仿宋_GB2312" w:hAnsi="仿宋_GB2312" w:cs="仿宋_GB2312" w:hint="eastAsia"/>
              </w:rPr>
              <w:t>（一）国有建设用地供应总量</w:t>
            </w:r>
            <w:r w:rsidR="008318CA">
              <w:tab/>
            </w:r>
            <w:r>
              <w:fldChar w:fldCharType="begin"/>
            </w:r>
            <w:r w:rsidR="008318CA">
              <w:instrText xml:space="preserve"> PAGEREF _Toc30135 \h </w:instrText>
            </w:r>
            <w:r>
              <w:fldChar w:fldCharType="separate"/>
            </w:r>
            <w:r w:rsidR="008318CA">
              <w:t>- 6 -</w:t>
            </w:r>
            <w:r>
              <w:fldChar w:fldCharType="end"/>
            </w:r>
          </w:hyperlink>
        </w:p>
        <w:p w:rsidR="00CA2F1C" w:rsidRDefault="00CA2F1C">
          <w:pPr>
            <w:pStyle w:val="20"/>
            <w:tabs>
              <w:tab w:val="right" w:leader="dot" w:pos="8306"/>
            </w:tabs>
          </w:pPr>
          <w:hyperlink w:anchor="_Toc22104" w:history="1">
            <w:r w:rsidR="008318CA">
              <w:rPr>
                <w:rFonts w:ascii="仿宋_GB2312" w:eastAsia="仿宋_GB2312" w:hAnsi="仿宋_GB2312" w:cs="仿宋_GB2312" w:hint="eastAsia"/>
              </w:rPr>
              <w:t>（二）国有建设用地供应结构</w:t>
            </w:r>
            <w:r w:rsidR="008318CA">
              <w:tab/>
            </w:r>
            <w:r>
              <w:fldChar w:fldCharType="begin"/>
            </w:r>
            <w:r w:rsidR="008318CA">
              <w:instrText xml:space="preserve"> PAGEREF _Toc22104 \h </w:instrText>
            </w:r>
            <w:r>
              <w:fldChar w:fldCharType="separate"/>
            </w:r>
            <w:r w:rsidR="008318CA">
              <w:t>- 6 -</w:t>
            </w:r>
            <w:r>
              <w:fldChar w:fldCharType="end"/>
            </w:r>
          </w:hyperlink>
        </w:p>
        <w:p w:rsidR="00CA2F1C" w:rsidRDefault="00CA2F1C">
          <w:pPr>
            <w:pStyle w:val="20"/>
            <w:tabs>
              <w:tab w:val="right" w:leader="dot" w:pos="8306"/>
            </w:tabs>
          </w:pPr>
          <w:hyperlink w:anchor="_Toc10550" w:history="1">
            <w:r w:rsidR="008318CA">
              <w:rPr>
                <w:rFonts w:ascii="仿宋_GB2312" w:eastAsia="仿宋_GB2312" w:hAnsi="仿宋_GB2312" w:cs="仿宋_GB2312" w:hint="eastAsia"/>
              </w:rPr>
              <w:t>四、政策导向</w:t>
            </w:r>
            <w:r w:rsidR="008318CA">
              <w:tab/>
            </w:r>
            <w:r>
              <w:fldChar w:fldCharType="begin"/>
            </w:r>
            <w:r w:rsidR="008318CA">
              <w:instrText xml:space="preserve"> PAGEREF _Toc10550 \h </w:instrText>
            </w:r>
            <w:r>
              <w:fldChar w:fldCharType="separate"/>
            </w:r>
            <w:r w:rsidR="008318CA">
              <w:t>- 7 -</w:t>
            </w:r>
            <w:r>
              <w:fldChar w:fldCharType="end"/>
            </w:r>
          </w:hyperlink>
        </w:p>
        <w:p w:rsidR="00CA2F1C" w:rsidRDefault="00CA2F1C">
          <w:pPr>
            <w:pStyle w:val="20"/>
            <w:tabs>
              <w:tab w:val="right" w:leader="dot" w:pos="8306"/>
            </w:tabs>
          </w:pPr>
          <w:hyperlink w:anchor="_Toc11723" w:history="1">
            <w:r w:rsidR="008318CA">
              <w:rPr>
                <w:rFonts w:ascii="仿宋_GB2312" w:eastAsia="仿宋_GB2312" w:hAnsi="仿宋_GB2312" w:cs="仿宋_GB2312" w:hint="eastAsia"/>
              </w:rPr>
              <w:t>（一）优化空间布局</w:t>
            </w:r>
            <w:r w:rsidR="008318CA">
              <w:tab/>
            </w:r>
            <w:r>
              <w:fldChar w:fldCharType="begin"/>
            </w:r>
            <w:r w:rsidR="008318CA">
              <w:instrText xml:space="preserve"> PAGEREF _Toc11723 \h </w:instrText>
            </w:r>
            <w:r>
              <w:fldChar w:fldCharType="separate"/>
            </w:r>
            <w:r w:rsidR="008318CA">
              <w:t xml:space="preserve">- </w:t>
            </w:r>
            <w:r w:rsidR="008318CA">
              <w:t>7 -</w:t>
            </w:r>
            <w:r>
              <w:fldChar w:fldCharType="end"/>
            </w:r>
          </w:hyperlink>
        </w:p>
        <w:p w:rsidR="00CA2F1C" w:rsidRDefault="00CA2F1C">
          <w:pPr>
            <w:pStyle w:val="20"/>
            <w:tabs>
              <w:tab w:val="right" w:leader="dot" w:pos="8306"/>
            </w:tabs>
          </w:pPr>
          <w:hyperlink w:anchor="_Toc22062" w:history="1">
            <w:r w:rsidR="008318CA">
              <w:rPr>
                <w:rFonts w:ascii="仿宋_GB2312" w:eastAsia="仿宋_GB2312" w:hAnsi="仿宋_GB2312" w:cs="仿宋_GB2312" w:hint="eastAsia"/>
              </w:rPr>
              <w:t>（二）优化土地供应结构</w:t>
            </w:r>
            <w:r w:rsidR="008318CA">
              <w:tab/>
            </w:r>
            <w:r>
              <w:fldChar w:fldCharType="begin"/>
            </w:r>
            <w:r w:rsidR="008318CA">
              <w:instrText xml:space="preserve"> PAGEREF _Toc22062 \h </w:instrText>
            </w:r>
            <w:r>
              <w:fldChar w:fldCharType="separate"/>
            </w:r>
            <w:r w:rsidR="008318CA">
              <w:t>- 7 -</w:t>
            </w:r>
            <w:r>
              <w:fldChar w:fldCharType="end"/>
            </w:r>
          </w:hyperlink>
        </w:p>
        <w:p w:rsidR="00CA2F1C" w:rsidRDefault="00CA2F1C">
          <w:pPr>
            <w:pStyle w:val="20"/>
            <w:tabs>
              <w:tab w:val="right" w:leader="dot" w:pos="8306"/>
            </w:tabs>
          </w:pPr>
          <w:hyperlink w:anchor="_Toc29074" w:history="1">
            <w:r w:rsidR="008318CA">
              <w:rPr>
                <w:rFonts w:ascii="仿宋_GB2312" w:eastAsia="仿宋_GB2312" w:hAnsi="仿宋_GB2312" w:cs="仿宋_GB2312" w:hint="eastAsia"/>
              </w:rPr>
              <w:t>（三）促进土地集约节约利用</w:t>
            </w:r>
            <w:r w:rsidR="008318CA">
              <w:tab/>
            </w:r>
            <w:r>
              <w:fldChar w:fldCharType="begin"/>
            </w:r>
            <w:r w:rsidR="008318CA">
              <w:instrText xml:space="preserve"> PAGEREF _Toc29074</w:instrText>
            </w:r>
            <w:r w:rsidR="008318CA">
              <w:instrText xml:space="preserve"> \h </w:instrText>
            </w:r>
            <w:r>
              <w:fldChar w:fldCharType="separate"/>
            </w:r>
            <w:r w:rsidR="008318CA">
              <w:t>- 7 -</w:t>
            </w:r>
            <w:r>
              <w:fldChar w:fldCharType="end"/>
            </w:r>
          </w:hyperlink>
        </w:p>
        <w:p w:rsidR="00CA2F1C" w:rsidRDefault="00CA2F1C">
          <w:pPr>
            <w:pStyle w:val="20"/>
            <w:tabs>
              <w:tab w:val="right" w:leader="dot" w:pos="8306"/>
            </w:tabs>
          </w:pPr>
          <w:hyperlink w:anchor="_Toc31981" w:history="1">
            <w:r w:rsidR="008318CA">
              <w:rPr>
                <w:rFonts w:ascii="仿宋_GB2312" w:eastAsia="仿宋_GB2312" w:hAnsi="仿宋_GB2312" w:cs="仿宋_GB2312" w:hint="eastAsia"/>
              </w:rPr>
              <w:t>（四）发挥市场配置资源基础性作用</w:t>
            </w:r>
            <w:r w:rsidR="008318CA">
              <w:tab/>
            </w:r>
            <w:r>
              <w:fldChar w:fldCharType="begin"/>
            </w:r>
            <w:r w:rsidR="008318CA">
              <w:instrText xml:space="preserve"> PAGEREF _Toc31981 \h </w:instrText>
            </w:r>
            <w:r>
              <w:fldChar w:fldCharType="separate"/>
            </w:r>
            <w:r w:rsidR="008318CA">
              <w:t>- 8 -</w:t>
            </w:r>
            <w:r>
              <w:fldChar w:fldCharType="end"/>
            </w:r>
          </w:hyperlink>
        </w:p>
        <w:p w:rsidR="00CA2F1C" w:rsidRDefault="00CA2F1C">
          <w:pPr>
            <w:pStyle w:val="20"/>
            <w:tabs>
              <w:tab w:val="right" w:leader="dot" w:pos="8306"/>
            </w:tabs>
          </w:pPr>
          <w:hyperlink w:anchor="_Toc12466" w:history="1">
            <w:r w:rsidR="008318CA">
              <w:rPr>
                <w:rFonts w:ascii="仿宋_GB2312" w:eastAsia="仿宋_GB2312" w:hAnsi="仿宋_GB2312" w:cs="仿宋_GB2312" w:hint="eastAsia"/>
              </w:rPr>
              <w:t>五、住宅供应计划</w:t>
            </w:r>
            <w:r w:rsidR="008318CA">
              <w:tab/>
            </w:r>
            <w:r>
              <w:fldChar w:fldCharType="begin"/>
            </w:r>
            <w:r w:rsidR="008318CA">
              <w:instrText xml:space="preserve"> PAGEREF _Toc12466 \h </w:instrText>
            </w:r>
            <w:r>
              <w:fldChar w:fldCharType="separate"/>
            </w:r>
            <w:r w:rsidR="008318CA">
              <w:t>- 8 -</w:t>
            </w:r>
            <w:r>
              <w:fldChar w:fldCharType="end"/>
            </w:r>
          </w:hyperlink>
        </w:p>
        <w:p w:rsidR="00CA2F1C" w:rsidRDefault="00CA2F1C">
          <w:pPr>
            <w:pStyle w:val="20"/>
            <w:tabs>
              <w:tab w:val="right" w:leader="dot" w:pos="8306"/>
            </w:tabs>
          </w:pPr>
          <w:hyperlink w:anchor="_Toc2195" w:history="1">
            <w:r w:rsidR="008318CA">
              <w:rPr>
                <w:rFonts w:ascii="仿宋_GB2312" w:eastAsia="仿宋_GB2312" w:hAnsi="仿宋_GB2312" w:cs="仿宋_GB2312" w:hint="eastAsia"/>
              </w:rPr>
              <w:t>（一）住宅用地总量和结构</w:t>
            </w:r>
            <w:r w:rsidR="008318CA">
              <w:tab/>
            </w:r>
            <w:r>
              <w:fldChar w:fldCharType="begin"/>
            </w:r>
            <w:r w:rsidR="008318CA">
              <w:instrText xml:space="preserve"> PAGEREF _Toc2195 \h </w:instrText>
            </w:r>
            <w:r>
              <w:fldChar w:fldCharType="separate"/>
            </w:r>
            <w:r w:rsidR="008318CA">
              <w:t>- 8 -</w:t>
            </w:r>
            <w:r>
              <w:fldChar w:fldCharType="end"/>
            </w:r>
          </w:hyperlink>
        </w:p>
        <w:p w:rsidR="00CA2F1C" w:rsidRDefault="00CA2F1C">
          <w:pPr>
            <w:pStyle w:val="20"/>
            <w:tabs>
              <w:tab w:val="right" w:leader="dot" w:pos="8306"/>
            </w:tabs>
          </w:pPr>
          <w:hyperlink w:anchor="_Toc2387" w:history="1">
            <w:r w:rsidR="008318CA">
              <w:rPr>
                <w:rFonts w:ascii="仿宋_GB2312" w:eastAsia="仿宋_GB2312" w:hAnsi="仿宋_GB2312" w:cs="仿宋_GB2312" w:hint="eastAsia"/>
              </w:rPr>
              <w:t>（二）住宅用地供应布局</w:t>
            </w:r>
            <w:r w:rsidR="008318CA">
              <w:tab/>
            </w:r>
            <w:r>
              <w:fldChar w:fldCharType="begin"/>
            </w:r>
            <w:r w:rsidR="008318CA">
              <w:instrText xml:space="preserve"> PAGEREF _Toc2387 \h </w:instrText>
            </w:r>
            <w:r>
              <w:fldChar w:fldCharType="separate"/>
            </w:r>
            <w:r w:rsidR="008318CA">
              <w:t>- 9 -</w:t>
            </w:r>
            <w:r>
              <w:fldChar w:fldCharType="end"/>
            </w:r>
          </w:hyperlink>
        </w:p>
        <w:p w:rsidR="00CA2F1C" w:rsidRDefault="00CA2F1C">
          <w:pPr>
            <w:pStyle w:val="20"/>
            <w:tabs>
              <w:tab w:val="right" w:leader="dot" w:pos="8306"/>
            </w:tabs>
          </w:pPr>
          <w:hyperlink w:anchor="_Toc2080" w:history="1">
            <w:r w:rsidR="008318CA">
              <w:rPr>
                <w:rFonts w:ascii="仿宋_GB2312" w:eastAsia="仿宋_GB2312" w:hAnsi="仿宋_GB2312" w:cs="仿宋_GB2312" w:hint="eastAsia"/>
              </w:rPr>
              <w:t>（三）住宅用地供应保障措施</w:t>
            </w:r>
            <w:r w:rsidR="008318CA">
              <w:tab/>
            </w:r>
            <w:r>
              <w:fldChar w:fldCharType="begin"/>
            </w:r>
            <w:r w:rsidR="008318CA">
              <w:instrText xml:space="preserve"> PAGEREF _Toc2080 \h </w:instrText>
            </w:r>
            <w:r>
              <w:fldChar w:fldCharType="separate"/>
            </w:r>
            <w:r w:rsidR="008318CA">
              <w:t>- 9 -</w:t>
            </w:r>
            <w:r>
              <w:fldChar w:fldCharType="end"/>
            </w:r>
          </w:hyperlink>
        </w:p>
        <w:p w:rsidR="00CA2F1C" w:rsidRDefault="00CA2F1C">
          <w:pPr>
            <w:pStyle w:val="20"/>
            <w:tabs>
              <w:tab w:val="right" w:leader="dot" w:pos="8306"/>
            </w:tabs>
          </w:pPr>
          <w:hyperlink w:anchor="_Toc31233" w:history="1">
            <w:r w:rsidR="008318CA">
              <w:rPr>
                <w:rFonts w:ascii="仿宋_GB2312" w:eastAsia="仿宋_GB2312" w:hAnsi="仿宋_GB2312" w:cs="仿宋_GB2312" w:hint="eastAsia"/>
              </w:rPr>
              <w:t>六、国有建设用地供应计划实施的保障措施</w:t>
            </w:r>
            <w:r w:rsidR="008318CA">
              <w:tab/>
            </w:r>
            <w:r>
              <w:fldChar w:fldCharType="begin"/>
            </w:r>
            <w:r w:rsidR="008318CA">
              <w:instrText xml:space="preserve"> PAGEREF _Toc31233 \h </w:instrText>
            </w:r>
            <w:r>
              <w:fldChar w:fldCharType="separate"/>
            </w:r>
            <w:r w:rsidR="008318CA">
              <w:t>- 10 -</w:t>
            </w:r>
            <w:r>
              <w:fldChar w:fldCharType="end"/>
            </w:r>
          </w:hyperlink>
        </w:p>
        <w:p w:rsidR="00CA2F1C" w:rsidRDefault="00CA2F1C">
          <w:pPr>
            <w:pStyle w:val="20"/>
            <w:tabs>
              <w:tab w:val="right" w:leader="dot" w:pos="8306"/>
            </w:tabs>
          </w:pPr>
          <w:hyperlink w:anchor="_Toc17720" w:history="1">
            <w:r w:rsidR="008318CA">
              <w:rPr>
                <w:rFonts w:ascii="仿宋_GB2312" w:eastAsia="仿宋_GB2312" w:hAnsi="仿宋_GB2312" w:cs="仿宋_GB2312" w:hint="eastAsia"/>
              </w:rPr>
              <w:t>（一）舆论宣传</w:t>
            </w:r>
            <w:r w:rsidR="008318CA">
              <w:tab/>
            </w:r>
            <w:r>
              <w:fldChar w:fldCharType="begin"/>
            </w:r>
            <w:r w:rsidR="008318CA">
              <w:instrText xml:space="preserve"> PAGEREF _Toc17720</w:instrText>
            </w:r>
            <w:r w:rsidR="008318CA">
              <w:instrText xml:space="preserve"> \h </w:instrText>
            </w:r>
            <w:r>
              <w:fldChar w:fldCharType="separate"/>
            </w:r>
            <w:r w:rsidR="008318CA">
              <w:t>- 10 -</w:t>
            </w:r>
            <w:r>
              <w:fldChar w:fldCharType="end"/>
            </w:r>
          </w:hyperlink>
        </w:p>
        <w:p w:rsidR="00CA2F1C" w:rsidRDefault="00CA2F1C">
          <w:pPr>
            <w:pStyle w:val="20"/>
            <w:tabs>
              <w:tab w:val="right" w:leader="dot" w:pos="8306"/>
            </w:tabs>
          </w:pPr>
          <w:hyperlink w:anchor="_Toc32243" w:history="1">
            <w:r w:rsidR="008318CA">
              <w:rPr>
                <w:rFonts w:ascii="仿宋_GB2312" w:eastAsia="仿宋_GB2312" w:hAnsi="仿宋_GB2312" w:cs="仿宋_GB2312" w:hint="eastAsia"/>
              </w:rPr>
              <w:t>（二）部门配合</w:t>
            </w:r>
            <w:r w:rsidR="008318CA">
              <w:tab/>
            </w:r>
            <w:r>
              <w:fldChar w:fldCharType="begin"/>
            </w:r>
            <w:r w:rsidR="008318CA">
              <w:instrText xml:space="preserve"> PAGEREF _Toc32243 \h </w:instrText>
            </w:r>
            <w:r>
              <w:fldChar w:fldCharType="separate"/>
            </w:r>
            <w:r w:rsidR="008318CA">
              <w:t>- 10 -</w:t>
            </w:r>
            <w:r>
              <w:fldChar w:fldCharType="end"/>
            </w:r>
          </w:hyperlink>
        </w:p>
        <w:p w:rsidR="00CA2F1C" w:rsidRDefault="00CA2F1C">
          <w:pPr>
            <w:pStyle w:val="20"/>
            <w:tabs>
              <w:tab w:val="right" w:leader="dot" w:pos="8306"/>
            </w:tabs>
          </w:pPr>
          <w:hyperlink w:anchor="_Toc19920" w:history="1">
            <w:r w:rsidR="008318CA">
              <w:rPr>
                <w:rFonts w:ascii="仿宋_GB2312" w:eastAsia="仿宋_GB2312" w:hAnsi="仿宋_GB2312" w:cs="仿宋_GB2312" w:hint="eastAsia"/>
              </w:rPr>
              <w:t>（三）相关激励</w:t>
            </w:r>
            <w:r w:rsidR="008318CA">
              <w:tab/>
            </w:r>
            <w:r>
              <w:fldChar w:fldCharType="begin"/>
            </w:r>
            <w:r w:rsidR="008318CA">
              <w:instrText xml:space="preserve"> PAGEREF _Toc19920 \h </w:instrText>
            </w:r>
            <w:r>
              <w:fldChar w:fldCharType="separate"/>
            </w:r>
            <w:r w:rsidR="008318CA">
              <w:t>- 11 -</w:t>
            </w:r>
            <w:r>
              <w:fldChar w:fldCharType="end"/>
            </w:r>
          </w:hyperlink>
        </w:p>
        <w:p w:rsidR="00CA2F1C" w:rsidRDefault="00CA2F1C">
          <w:pPr>
            <w:pStyle w:val="20"/>
            <w:tabs>
              <w:tab w:val="right" w:leader="dot" w:pos="8306"/>
            </w:tabs>
          </w:pPr>
          <w:hyperlink w:anchor="_Toc21630" w:history="1">
            <w:r w:rsidR="008318CA">
              <w:rPr>
                <w:rFonts w:ascii="仿宋_GB2312" w:eastAsia="仿宋_GB2312" w:hAnsi="仿宋_GB2312" w:cs="仿宋_GB2312" w:hint="eastAsia"/>
              </w:rPr>
              <w:t>（四）制度保障</w:t>
            </w:r>
            <w:r w:rsidR="008318CA">
              <w:tab/>
            </w:r>
            <w:r>
              <w:fldChar w:fldCharType="begin"/>
            </w:r>
            <w:r w:rsidR="008318CA">
              <w:instrText xml:space="preserve"> PAGEREF _Toc21630 \h </w:instrText>
            </w:r>
            <w:r>
              <w:fldChar w:fldCharType="separate"/>
            </w:r>
            <w:r w:rsidR="008318CA">
              <w:t>- 11 -</w:t>
            </w:r>
            <w:r>
              <w:fldChar w:fldCharType="end"/>
            </w:r>
          </w:hyperlink>
        </w:p>
        <w:p w:rsidR="00CA2F1C" w:rsidRDefault="00CA2F1C">
          <w:pPr>
            <w:pStyle w:val="20"/>
            <w:tabs>
              <w:tab w:val="right" w:leader="dot" w:pos="8306"/>
            </w:tabs>
          </w:pPr>
          <w:hyperlink w:anchor="_Toc28758" w:history="1">
            <w:r w:rsidR="008318CA">
              <w:t>附表</w:t>
            </w:r>
            <w:r w:rsidR="008318CA">
              <w:rPr>
                <w:rFonts w:hint="eastAsia"/>
              </w:rPr>
              <w:t>1</w:t>
            </w:r>
            <w:r w:rsidR="008318CA">
              <w:rPr>
                <w:rFonts w:hint="eastAsia"/>
              </w:rPr>
              <w:t>：</w:t>
            </w:r>
            <w:r w:rsidR="008318CA">
              <w:tab/>
            </w:r>
            <w:r>
              <w:fldChar w:fldCharType="begin"/>
            </w:r>
            <w:r w:rsidR="008318CA">
              <w:instrText xml:space="preserve"> PA</w:instrText>
            </w:r>
            <w:r w:rsidR="008318CA">
              <w:instrText xml:space="preserve">GEREF _Toc28758 \h </w:instrText>
            </w:r>
            <w:r>
              <w:fldChar w:fldCharType="separate"/>
            </w:r>
            <w:r w:rsidR="008318CA">
              <w:t>- 13 -</w:t>
            </w:r>
            <w:r>
              <w:fldChar w:fldCharType="end"/>
            </w:r>
          </w:hyperlink>
        </w:p>
        <w:p w:rsidR="00CA2F1C" w:rsidRDefault="00CA2F1C">
          <w:pPr>
            <w:pStyle w:val="20"/>
            <w:tabs>
              <w:tab w:val="right" w:leader="dot" w:pos="8306"/>
            </w:tabs>
          </w:pPr>
          <w:hyperlink w:anchor="_Toc5402" w:history="1">
            <w:r w:rsidR="008318CA">
              <w:rPr>
                <w:rFonts w:hint="eastAsia"/>
              </w:rPr>
              <w:t>长汀县</w:t>
            </w:r>
            <w:r w:rsidR="008318CA">
              <w:rPr>
                <w:rFonts w:hint="eastAsia"/>
              </w:rPr>
              <w:t>2</w:t>
            </w:r>
            <w:r w:rsidR="008318CA">
              <w:t>02</w:t>
            </w:r>
            <w:r w:rsidR="008318CA">
              <w:t>3</w:t>
            </w:r>
            <w:r w:rsidR="008318CA">
              <w:rPr>
                <w:rFonts w:hint="eastAsia"/>
              </w:rPr>
              <w:t>年度住宅用地供应计划表</w:t>
            </w:r>
            <w:r w:rsidR="008318CA">
              <w:tab/>
            </w:r>
            <w:r>
              <w:fldChar w:fldCharType="begin"/>
            </w:r>
            <w:r w:rsidR="008318CA">
              <w:instrText xml:space="preserve"> PAGEREF _Toc5402 \h </w:instrText>
            </w:r>
            <w:r>
              <w:fldChar w:fldCharType="separate"/>
            </w:r>
            <w:r w:rsidR="008318CA">
              <w:t>- 13 -</w:t>
            </w:r>
            <w:r>
              <w:fldChar w:fldCharType="end"/>
            </w:r>
          </w:hyperlink>
        </w:p>
        <w:p w:rsidR="00CA2F1C" w:rsidRDefault="00CA2F1C">
          <w:pPr>
            <w:pStyle w:val="20"/>
            <w:tabs>
              <w:tab w:val="right" w:leader="dot" w:pos="8306"/>
            </w:tabs>
          </w:pPr>
          <w:hyperlink w:anchor="_Toc26137" w:history="1">
            <w:r w:rsidR="008318CA">
              <w:rPr>
                <w:rFonts w:hint="eastAsia"/>
              </w:rPr>
              <w:t>附表</w:t>
            </w:r>
            <w:r w:rsidR="008318CA">
              <w:rPr>
                <w:rFonts w:hint="eastAsia"/>
              </w:rPr>
              <w:t>2</w:t>
            </w:r>
            <w:r w:rsidR="008318CA">
              <w:rPr>
                <w:rFonts w:hint="eastAsia"/>
              </w:rPr>
              <w:t>：</w:t>
            </w:r>
            <w:r w:rsidR="008318CA">
              <w:tab/>
            </w:r>
            <w:r>
              <w:fldChar w:fldCharType="begin"/>
            </w:r>
            <w:r w:rsidR="008318CA">
              <w:instrText xml:space="preserve"> PAGEREF _Toc26137 \h </w:instrText>
            </w:r>
            <w:r>
              <w:fldChar w:fldCharType="separate"/>
            </w:r>
            <w:r w:rsidR="008318CA">
              <w:t>- 14 -</w:t>
            </w:r>
            <w:r>
              <w:fldChar w:fldCharType="end"/>
            </w:r>
          </w:hyperlink>
        </w:p>
        <w:p w:rsidR="00CA2F1C" w:rsidRDefault="00CA2F1C">
          <w:pPr>
            <w:pStyle w:val="20"/>
            <w:tabs>
              <w:tab w:val="right" w:leader="dot" w:pos="8306"/>
            </w:tabs>
          </w:pPr>
          <w:hyperlink w:anchor="_Toc31913" w:history="1">
            <w:r w:rsidR="008318CA">
              <w:rPr>
                <w:rFonts w:hint="eastAsia"/>
              </w:rPr>
              <w:t>长汀县</w:t>
            </w:r>
            <w:r w:rsidR="008318CA">
              <w:rPr>
                <w:rFonts w:hint="eastAsia"/>
              </w:rPr>
              <w:t>2</w:t>
            </w:r>
            <w:r w:rsidR="008318CA">
              <w:t>02</w:t>
            </w:r>
            <w:r w:rsidR="008318CA">
              <w:t>3</w:t>
            </w:r>
            <w:r w:rsidR="008318CA">
              <w:rPr>
                <w:rFonts w:hint="eastAsia"/>
              </w:rPr>
              <w:t>年度住宅用地供应计划宗地表</w:t>
            </w:r>
            <w:r w:rsidR="008318CA">
              <w:tab/>
            </w:r>
            <w:r>
              <w:fldChar w:fldCharType="begin"/>
            </w:r>
            <w:r w:rsidR="008318CA">
              <w:instrText xml:space="preserve"> PAGEREF _Toc31913 \h </w:instrText>
            </w:r>
            <w:r>
              <w:fldChar w:fldCharType="separate"/>
            </w:r>
            <w:r w:rsidR="008318CA">
              <w:t>- 14 -</w:t>
            </w:r>
            <w:r>
              <w:fldChar w:fldCharType="end"/>
            </w:r>
          </w:hyperlink>
        </w:p>
        <w:p w:rsidR="00CA2F1C" w:rsidRDefault="00CA2F1C">
          <w:pPr>
            <w:pStyle w:val="20"/>
            <w:tabs>
              <w:tab w:val="right" w:leader="dot" w:pos="8306"/>
            </w:tabs>
          </w:pPr>
          <w:hyperlink w:anchor="_Toc1535" w:history="1">
            <w:r w:rsidR="008318CA">
              <w:rPr>
                <w:rFonts w:hint="eastAsia"/>
              </w:rPr>
              <w:t>附表</w:t>
            </w:r>
            <w:r w:rsidR="008318CA">
              <w:t>3</w:t>
            </w:r>
            <w:r w:rsidR="008318CA">
              <w:rPr>
                <w:rFonts w:hint="eastAsia"/>
              </w:rPr>
              <w:t>：</w:t>
            </w:r>
            <w:r w:rsidR="008318CA">
              <w:tab/>
            </w:r>
            <w:r>
              <w:fldChar w:fldCharType="begin"/>
            </w:r>
            <w:r w:rsidR="008318CA">
              <w:instrText xml:space="preserve"> PAGEREF _Toc1535 \h </w:instrText>
            </w:r>
            <w:r>
              <w:fldChar w:fldCharType="separate"/>
            </w:r>
            <w:r w:rsidR="008318CA">
              <w:t>- 15 -</w:t>
            </w:r>
            <w:r>
              <w:fldChar w:fldCharType="end"/>
            </w:r>
          </w:hyperlink>
        </w:p>
        <w:p w:rsidR="00CA2F1C" w:rsidRDefault="00CA2F1C">
          <w:pPr>
            <w:pStyle w:val="20"/>
            <w:tabs>
              <w:tab w:val="right" w:leader="dot" w:pos="8306"/>
            </w:tabs>
          </w:pPr>
          <w:hyperlink w:anchor="_Toc1503" w:history="1">
            <w:r w:rsidR="008318CA">
              <w:rPr>
                <w:rFonts w:hint="eastAsia"/>
              </w:rPr>
              <w:t>长汀县</w:t>
            </w:r>
            <w:r w:rsidR="008318CA">
              <w:rPr>
                <w:rFonts w:hint="eastAsia"/>
              </w:rPr>
              <w:t>202</w:t>
            </w:r>
            <w:r w:rsidR="008318CA">
              <w:t>3</w:t>
            </w:r>
            <w:r w:rsidR="008318CA">
              <w:rPr>
                <w:rFonts w:hint="eastAsia"/>
              </w:rPr>
              <w:t>年度</w:t>
            </w:r>
            <w:r w:rsidR="008318CA">
              <w:t>其他用地供应计划</w:t>
            </w:r>
            <w:r w:rsidR="008318CA">
              <w:tab/>
            </w:r>
            <w:r>
              <w:fldChar w:fldCharType="begin"/>
            </w:r>
            <w:r w:rsidR="008318CA">
              <w:instrText xml:space="preserve"> PAGEREF _Toc1503 \h </w:instrText>
            </w:r>
            <w:r>
              <w:fldChar w:fldCharType="separate"/>
            </w:r>
            <w:r w:rsidR="008318CA">
              <w:t>- 15 -</w:t>
            </w:r>
            <w:r>
              <w:fldChar w:fldCharType="end"/>
            </w:r>
          </w:hyperlink>
        </w:p>
        <w:p w:rsidR="00CA2F1C" w:rsidRDefault="00CA2F1C">
          <w:r>
            <w:rPr>
              <w:bCs/>
              <w:lang w:val="zh-CN"/>
            </w:rPr>
            <w:fldChar w:fldCharType="end"/>
          </w:r>
        </w:p>
      </w:sdtContent>
    </w:sdt>
    <w:p w:rsidR="00CA2F1C" w:rsidRDefault="00CA2F1C">
      <w:pPr>
        <w:rPr>
          <w:rFonts w:ascii="仿宋_GB2312" w:eastAsia="仿宋_GB2312" w:hAnsi="仿宋_GB2312" w:cs="仿宋_GB2312"/>
          <w:b/>
          <w:bCs/>
          <w:sz w:val="24"/>
        </w:rPr>
        <w:sectPr w:rsidR="00CA2F1C">
          <w:footerReference w:type="default" r:id="rId9"/>
          <w:pgSz w:w="11906" w:h="16838"/>
          <w:pgMar w:top="1440" w:right="1800" w:bottom="1440" w:left="1800" w:header="851" w:footer="992" w:gutter="0"/>
          <w:pgNumType w:start="1"/>
          <w:cols w:space="720"/>
          <w:docGrid w:type="lines" w:linePitch="312"/>
        </w:sectPr>
      </w:pPr>
    </w:p>
    <w:p w:rsidR="00CA2F1C" w:rsidRDefault="008318CA">
      <w:pPr>
        <w:jc w:val="center"/>
        <w:rPr>
          <w:rFonts w:ascii="黑体" w:eastAsia="黑体" w:hAnsi="黑体" w:cs="方正仿宋简体"/>
          <w:sz w:val="44"/>
          <w:szCs w:val="44"/>
        </w:rPr>
      </w:pPr>
      <w:bookmarkStart w:id="1" w:name="_Toc28239_WPSOffice_Level1"/>
      <w:bookmarkStart w:id="2" w:name="_Toc32613_WPSOffice_Level1"/>
      <w:bookmarkStart w:id="3" w:name="_Toc20433_WPSOffice_Level1"/>
      <w:r>
        <w:rPr>
          <w:rFonts w:ascii="黑体" w:eastAsia="黑体" w:hAnsi="黑体" w:cs="方正仿宋简体" w:hint="eastAsia"/>
          <w:sz w:val="44"/>
          <w:szCs w:val="44"/>
        </w:rPr>
        <w:lastRenderedPageBreak/>
        <w:t>长汀县</w:t>
      </w:r>
      <w:r>
        <w:rPr>
          <w:rFonts w:ascii="黑体" w:eastAsia="黑体" w:hAnsi="黑体" w:cs="方正仿宋简体"/>
          <w:sz w:val="44"/>
          <w:szCs w:val="44"/>
        </w:rPr>
        <w:t>202</w:t>
      </w:r>
      <w:r>
        <w:rPr>
          <w:rFonts w:ascii="黑体" w:eastAsia="黑体" w:hAnsi="黑体" w:cs="方正仿宋简体"/>
          <w:sz w:val="44"/>
          <w:szCs w:val="44"/>
        </w:rPr>
        <w:t>3</w:t>
      </w:r>
      <w:r>
        <w:rPr>
          <w:rFonts w:ascii="黑体" w:eastAsia="黑体" w:hAnsi="黑体" w:cs="方正仿宋简体" w:hint="eastAsia"/>
          <w:sz w:val="44"/>
          <w:szCs w:val="44"/>
        </w:rPr>
        <w:t>年度国有建设用地供应计划</w:t>
      </w:r>
      <w:bookmarkEnd w:id="1"/>
      <w:bookmarkEnd w:id="2"/>
      <w:bookmarkEnd w:id="3"/>
    </w:p>
    <w:p w:rsidR="00CA2F1C" w:rsidRDefault="00CA2F1C">
      <w:pPr>
        <w:ind w:firstLineChars="200" w:firstLine="640"/>
        <w:rPr>
          <w:sz w:val="32"/>
          <w:szCs w:val="32"/>
        </w:rPr>
      </w:pPr>
      <w:bookmarkStart w:id="4" w:name="_Toc287858610"/>
    </w:p>
    <w:p w:rsidR="00CA2F1C" w:rsidRDefault="008318CA">
      <w:pPr>
        <w:pStyle w:val="2"/>
        <w:spacing w:line="240" w:lineRule="auto"/>
        <w:rPr>
          <w:rFonts w:ascii="仿宋_GB2312" w:eastAsia="仿宋_GB2312" w:hAnsi="仿宋_GB2312" w:cs="仿宋_GB2312"/>
          <w:b w:val="0"/>
          <w:bCs w:val="0"/>
        </w:rPr>
      </w:pPr>
      <w:bookmarkStart w:id="5" w:name="_Toc13432"/>
      <w:r>
        <w:rPr>
          <w:rFonts w:ascii="仿宋_GB2312" w:eastAsia="仿宋_GB2312" w:hAnsi="仿宋_GB2312" w:cs="仿宋_GB2312" w:hint="eastAsia"/>
        </w:rPr>
        <w:t>一、计划的目的、意义和编制依据</w:t>
      </w:r>
      <w:bookmarkEnd w:id="4"/>
      <w:bookmarkEnd w:id="5"/>
    </w:p>
    <w:p w:rsidR="00CA2F1C" w:rsidRDefault="008318CA">
      <w:pPr>
        <w:pStyle w:val="2"/>
        <w:spacing w:line="240" w:lineRule="auto"/>
        <w:rPr>
          <w:rFonts w:ascii="仿宋_GB2312" w:eastAsia="仿宋_GB2312" w:hAnsi="仿宋_GB2312" w:cs="仿宋_GB2312"/>
          <w:b w:val="0"/>
          <w:bCs w:val="0"/>
        </w:rPr>
      </w:pPr>
      <w:bookmarkStart w:id="6" w:name="_Toc13297"/>
      <w:bookmarkStart w:id="7" w:name="_Toc287858611"/>
      <w:r>
        <w:rPr>
          <w:rFonts w:ascii="仿宋_GB2312" w:eastAsia="仿宋_GB2312" w:hAnsi="仿宋_GB2312" w:cs="仿宋_GB2312" w:hint="eastAsia"/>
        </w:rPr>
        <w:t>（一）计划的目的、意义</w:t>
      </w:r>
      <w:bookmarkEnd w:id="6"/>
      <w:bookmarkEnd w:id="7"/>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是年度经济计划的重要组成部分。规范管理国有建设用地是做好自然资源管理工作的重要措施。供地计划是否合理，对落实一个地区的国民经济和社会发展规划、土地利用年度计划以及城市的功能分区与布局有直接影响，也会影响到国家土地管理法规政策的落实和土地参与宏观调控的效果。规范编制国有建设用地供应计划工作，有利于更客观、更准确地了解实际用地需求，提高供地的科学性、针对性和合理性，科学安排国有建设用地供应，保证土地利用总体规划和年度计划的有效实施，促进土地供应的规范化、制度化、科学化，提高土地参与国家宏观调</w:t>
      </w:r>
      <w:r>
        <w:rPr>
          <w:rFonts w:ascii="仿宋_GB2312" w:eastAsia="仿宋_GB2312" w:hAnsi="仿宋_GB2312" w:cs="仿宋_GB2312" w:hint="eastAsia"/>
          <w:sz w:val="32"/>
          <w:szCs w:val="32"/>
        </w:rPr>
        <w:t>控的作用。</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原国土资源部（现自然资源部）于</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日下发了《国有建设用地供应计划编制规范</w:t>
      </w:r>
      <w:r w:rsidR="00172C7E" w:rsidRPr="00172C7E">
        <w:rPr>
          <w:rFonts w:ascii="仿宋_GB2312" w:eastAsia="仿宋_GB2312" w:hAnsi="仿宋_GB2312" w:cs="仿宋_GB2312" w:hint="eastAsia"/>
          <w:sz w:val="32"/>
          <w:szCs w:val="32"/>
        </w:rPr>
        <w:t>（试行）》</w:t>
      </w:r>
      <w:r>
        <w:rPr>
          <w:rFonts w:ascii="仿宋_GB2312" w:eastAsia="仿宋_GB2312" w:hAnsi="仿宋_GB2312" w:cs="仿宋_GB2312" w:hint="eastAsia"/>
          <w:sz w:val="32"/>
          <w:szCs w:val="32"/>
        </w:rPr>
        <w:t>，《规范》指出，国有建设用地供应计划是指市、县人民政府在计划期内对国有建设用地供应的总量、结构、布局、时序和方式做出的科学安排。市、县行政辖区内计划期供应的全部国有建设用地纳入供应计划。省政府、市政府分别召</w:t>
      </w:r>
      <w:r>
        <w:rPr>
          <w:rFonts w:ascii="仿宋_GB2312" w:eastAsia="仿宋_GB2312" w:hAnsi="仿宋_GB2312" w:cs="仿宋_GB2312" w:hint="eastAsia"/>
          <w:sz w:val="32"/>
          <w:szCs w:val="32"/>
        </w:rPr>
        <w:lastRenderedPageBreak/>
        <w:t>开了会议，下发了文件，明确提出，国土资源（现自然资源）主管部门应依据批准的国有建设用地供应计划，编制国有建设用地供应方案，实施国有建设用地供应。</w:t>
      </w:r>
      <w:r>
        <w:rPr>
          <w:rFonts w:ascii="仿宋_GB2312" w:eastAsia="仿宋_GB2312" w:hAnsi="仿宋_GB2312" w:cs="仿宋_GB2312" w:hint="eastAsia"/>
          <w:sz w:val="32"/>
          <w:szCs w:val="32"/>
        </w:rPr>
        <w:t xml:space="preserve"> </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由此可见，编制好国有建设用地供应计划对长汀县</w:t>
      </w:r>
      <w:r>
        <w:rPr>
          <w:rFonts w:ascii="仿宋_GB2312" w:eastAsia="仿宋_GB2312" w:hAnsi="仿宋_GB2312" w:cs="仿宋_GB2312"/>
          <w:sz w:val="32"/>
          <w:szCs w:val="32"/>
        </w:rPr>
        <w:t>202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年乃至以后几年各类建设项目及时落位具有十分重要的意义。</w:t>
      </w:r>
    </w:p>
    <w:p w:rsidR="00CA2F1C" w:rsidRDefault="008318CA">
      <w:pPr>
        <w:pStyle w:val="2"/>
        <w:spacing w:line="240" w:lineRule="auto"/>
        <w:rPr>
          <w:rFonts w:ascii="仿宋_GB2312" w:eastAsia="仿宋_GB2312" w:hAnsi="仿宋_GB2312" w:cs="仿宋_GB2312"/>
          <w:b w:val="0"/>
          <w:bCs w:val="0"/>
        </w:rPr>
      </w:pPr>
      <w:bookmarkStart w:id="8" w:name="_Toc287858612"/>
      <w:bookmarkStart w:id="9" w:name="_Toc7629"/>
      <w:r>
        <w:rPr>
          <w:rFonts w:ascii="仿宋_GB2312" w:eastAsia="仿宋_GB2312" w:hAnsi="仿宋_GB2312" w:cs="仿宋_GB2312" w:hint="eastAsia"/>
        </w:rPr>
        <w:t>（二）编制依据</w:t>
      </w:r>
      <w:bookmarkEnd w:id="8"/>
      <w:bookmarkEnd w:id="9"/>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长汀县国有建设用地供应计划的编制依据主要有：</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）《中华人民共和国土地管理法》</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）《中华人民共和国城市房地产管理法》</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）《中华人民共和国城乡规划法》</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）《国务院关于深化改革严格土地管理的决定》（国发〔</w:t>
      </w:r>
      <w:r>
        <w:rPr>
          <w:rFonts w:ascii="仿宋_GB2312" w:eastAsia="仿宋_GB2312" w:hAnsi="仿宋_GB2312" w:cs="仿宋_GB2312" w:hint="eastAsia"/>
          <w:sz w:val="32"/>
          <w:szCs w:val="32"/>
        </w:rPr>
        <w:t>2004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）《国务院关于加强土地调控有关问题的通知》（国发〔</w:t>
      </w:r>
      <w:r>
        <w:rPr>
          <w:rFonts w:ascii="仿宋_GB2312" w:eastAsia="仿宋_GB2312" w:hAnsi="仿宋_GB2312" w:cs="仿宋_GB2312" w:hint="eastAsia"/>
          <w:sz w:val="32"/>
          <w:szCs w:val="32"/>
        </w:rPr>
        <w:t>2006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）《国务院关于促进节约集约用地的通知》（国发〔</w:t>
      </w:r>
      <w:r>
        <w:rPr>
          <w:rFonts w:ascii="仿宋_GB2312" w:eastAsia="仿宋_GB2312" w:hAnsi="仿宋_GB2312" w:cs="仿宋_GB2312" w:hint="eastAsia"/>
          <w:sz w:val="32"/>
          <w:szCs w:val="32"/>
        </w:rPr>
        <w:t>2008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）《国务院批转发展改革委等部门关于抑制部分行业产能过剩和重复</w:t>
      </w:r>
      <w:r>
        <w:rPr>
          <w:rFonts w:ascii="仿宋_GB2312" w:eastAsia="仿宋_GB2312" w:hAnsi="仿宋_GB2312" w:cs="仿宋_GB2312" w:hint="eastAsia"/>
          <w:sz w:val="32"/>
          <w:szCs w:val="32"/>
        </w:rPr>
        <w:t>建设引导产业健康发展若干意见的通知》（国发〔</w:t>
      </w:r>
      <w:r>
        <w:rPr>
          <w:rFonts w:ascii="仿宋_GB2312" w:eastAsia="仿宋_GB2312" w:hAnsi="仿宋_GB2312" w:cs="仿宋_GB2312" w:hint="eastAsia"/>
          <w:sz w:val="32"/>
          <w:szCs w:val="32"/>
        </w:rPr>
        <w:t>2009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）《国务院办公厅关于促进房地产市场平稳健康发</w:t>
      </w:r>
      <w:r>
        <w:rPr>
          <w:rFonts w:ascii="仿宋_GB2312" w:eastAsia="仿宋_GB2312" w:hAnsi="仿宋_GB2312" w:cs="仿宋_GB2312" w:hint="eastAsia"/>
          <w:sz w:val="32"/>
          <w:szCs w:val="32"/>
        </w:rPr>
        <w:lastRenderedPageBreak/>
        <w:t>展的通知》（国办发〔</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）《国务院关于全民所有自然资源资产有偿使用制度改革的指导意见》（国发〔</w:t>
      </w:r>
      <w:r>
        <w:rPr>
          <w:rFonts w:ascii="仿宋_GB2312" w:eastAsia="仿宋_GB2312" w:hAnsi="仿宋_GB2312" w:cs="仿宋_GB2312" w:hint="eastAsia"/>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82</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）《招标拍卖挂牌出让国有建设用地使用权规定》（国土资源部令第</w:t>
      </w:r>
      <w:r>
        <w:rPr>
          <w:rFonts w:ascii="仿宋_GB2312" w:eastAsia="仿宋_GB2312" w:hAnsi="仿宋_GB2312" w:cs="仿宋_GB2312" w:hint="eastAsia"/>
          <w:sz w:val="32"/>
          <w:szCs w:val="32"/>
        </w:rPr>
        <w:t>39</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）《协议出让国有土地使用权规定》（国土资源部令第</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）《划拨用地目录》（国土资源部令第</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）《限制用地项目目录（</w:t>
      </w:r>
      <w:r>
        <w:rPr>
          <w:rFonts w:ascii="仿宋_GB2312" w:eastAsia="仿宋_GB2312" w:hAnsi="仿宋_GB2312" w:cs="仿宋_GB2312"/>
          <w:sz w:val="32"/>
          <w:szCs w:val="32"/>
        </w:rPr>
        <w:t>2012</w:t>
      </w:r>
      <w:r>
        <w:rPr>
          <w:rFonts w:ascii="仿宋_GB2312" w:eastAsia="仿宋_GB2312" w:hAnsi="仿宋_GB2312" w:cs="仿宋_GB2312" w:hint="eastAsia"/>
          <w:sz w:val="32"/>
          <w:szCs w:val="32"/>
        </w:rPr>
        <w:t>年本）》和《禁止用地项目目录（</w:t>
      </w:r>
      <w:r>
        <w:rPr>
          <w:rFonts w:ascii="仿宋_GB2312" w:eastAsia="仿宋_GB2312" w:hAnsi="仿宋_GB2312" w:cs="仿宋_GB2312"/>
          <w:sz w:val="32"/>
          <w:szCs w:val="32"/>
        </w:rPr>
        <w:t>2012</w:t>
      </w:r>
      <w:r>
        <w:rPr>
          <w:rFonts w:ascii="仿宋_GB2312" w:eastAsia="仿宋_GB2312" w:hAnsi="仿宋_GB2312" w:cs="仿宋_GB2312" w:hint="eastAsia"/>
          <w:sz w:val="32"/>
          <w:szCs w:val="32"/>
        </w:rPr>
        <w:t>年本）》（国土资发〔</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98</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）《土地储备管理办法》（国土资发〔</w:t>
      </w:r>
      <w:r>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277</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）《国土资源部关于认真贯彻〈国务院关于解决城市低收入家庭住房困难的若干意见〉进一步加强土地供应调控的通知》（国土资发〔</w:t>
      </w:r>
      <w:r>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236</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）《国土资源部监察部关于进一步落实工业用地出让制度的通知》（国土资发〔</w:t>
      </w:r>
      <w:r>
        <w:rPr>
          <w:rFonts w:ascii="仿宋_GB2312" w:eastAsia="仿宋_GB2312" w:hAnsi="仿宋_GB2312" w:cs="仿宋_GB2312" w:hint="eastAsia"/>
          <w:sz w:val="32"/>
          <w:szCs w:val="32"/>
        </w:rPr>
        <w:t>2009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101</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）《国土资源部关于加强房地产用地供应和监管有关问题的通知》（国土资发〔</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）《国土资源部办公厅关于印发</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产业用地政策实施工作指引（</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年版）</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的通知》（自然资办发〔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）《土地利用年度计划管理办法》（国土资源部令第</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）《福建省人民政府关于印发福建省全民所有自然资源资产有偿使用制度改革实施方案的通知》（闽政〔</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）《福建省人民政府办公厅关于印发〈福建省工业用地招标拍卖挂牌出让实施办法》的通知〉（闽政办〔</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bookmarkStart w:id="10" w:name="OLE_LINK10"/>
      <w:r>
        <w:rPr>
          <w:rFonts w:ascii="仿宋_GB2312" w:eastAsia="仿宋_GB2312" w:hAnsi="仿宋_GB2312" w:cs="仿宋_GB2312" w:hint="eastAsia"/>
          <w:sz w:val="32"/>
          <w:szCs w:val="32"/>
        </w:rPr>
        <w:t>长汀县国民经济与社会发展第十四个五年规划和二〇三五年远景目标纲要</w:t>
      </w:r>
      <w:bookmarkEnd w:id="10"/>
      <w:r>
        <w:rPr>
          <w:rFonts w:ascii="仿宋_GB2312" w:eastAsia="仿宋_GB2312" w:hAnsi="仿宋_GB2312" w:cs="仿宋_GB2312" w:hint="eastAsia"/>
          <w:sz w:val="32"/>
          <w:szCs w:val="32"/>
        </w:rPr>
        <w:t>；</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）长汀县土地利用总体规划；</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）长汀县</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年度土地储备计划；</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）《国</w:t>
      </w:r>
      <w:r>
        <w:rPr>
          <w:rFonts w:ascii="仿宋_GB2312" w:eastAsia="仿宋_GB2312" w:hAnsi="仿宋_GB2312" w:cs="仿宋_GB2312" w:hint="eastAsia"/>
          <w:sz w:val="32"/>
          <w:szCs w:val="32"/>
        </w:rPr>
        <w:t>有建设用地供应计划编制规范</w:t>
      </w:r>
      <w:r w:rsidR="00172C7E" w:rsidRPr="00172C7E">
        <w:rPr>
          <w:rFonts w:ascii="仿宋_GB2312" w:eastAsia="仿宋_GB2312" w:hAnsi="仿宋_GB2312" w:cs="仿宋_GB2312" w:hint="eastAsia"/>
          <w:sz w:val="32"/>
          <w:szCs w:val="32"/>
        </w:rPr>
        <w:t>（试行）》</w:t>
      </w:r>
      <w:r>
        <w:rPr>
          <w:rFonts w:ascii="仿宋_GB2312" w:eastAsia="仿宋_GB2312" w:hAnsi="仿宋_GB2312" w:cs="仿宋_GB2312" w:hint="eastAsia"/>
          <w:sz w:val="32"/>
          <w:szCs w:val="32"/>
        </w:rPr>
        <w:t>（国土资发</w:t>
      </w:r>
      <w:bookmarkStart w:id="11" w:name="OLE_LINK4"/>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bookmarkEnd w:id="11"/>
      <w:r>
        <w:rPr>
          <w:rFonts w:ascii="仿宋_GB2312" w:eastAsia="仿宋_GB2312" w:hAnsi="仿宋_GB2312" w:cs="仿宋_GB2312" w:hint="eastAsia"/>
          <w:sz w:val="32"/>
          <w:szCs w:val="32"/>
        </w:rPr>
        <w:t>117</w:t>
      </w:r>
      <w:r>
        <w:rPr>
          <w:rFonts w:ascii="仿宋_GB2312" w:eastAsia="仿宋_GB2312" w:hAnsi="仿宋_GB2312" w:cs="仿宋_GB2312" w:hint="eastAsia"/>
          <w:sz w:val="32"/>
          <w:szCs w:val="32"/>
        </w:rPr>
        <w:t>号）。</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w:t>
      </w:r>
      <w:bookmarkStart w:id="12" w:name="OLE_LINK7"/>
      <w:r>
        <w:rPr>
          <w:rFonts w:ascii="仿宋_GB2312" w:eastAsia="仿宋_GB2312" w:hAnsi="仿宋_GB2312" w:cs="仿宋_GB2312" w:hint="eastAsia"/>
          <w:sz w:val="32"/>
          <w:szCs w:val="32"/>
        </w:rPr>
        <w:t>《自然资源部办公厅关于进一步规范住宅用地供应信息公开工作的通知》（自然资办函〔</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2728</w:t>
      </w:r>
      <w:r>
        <w:rPr>
          <w:rFonts w:ascii="仿宋_GB2312" w:eastAsia="仿宋_GB2312" w:hAnsi="仿宋_GB2312" w:cs="仿宋_GB2312" w:hint="eastAsia"/>
          <w:sz w:val="32"/>
          <w:szCs w:val="32"/>
        </w:rPr>
        <w:t>号）</w:t>
      </w:r>
      <w:bookmarkEnd w:id="12"/>
    </w:p>
    <w:p w:rsidR="00CA2F1C" w:rsidRDefault="008318CA">
      <w:pPr>
        <w:pStyle w:val="2"/>
        <w:spacing w:line="240" w:lineRule="auto"/>
        <w:rPr>
          <w:rFonts w:ascii="仿宋_GB2312" w:eastAsia="仿宋_GB2312" w:hAnsi="仿宋_GB2312" w:cs="仿宋_GB2312"/>
          <w:b w:val="0"/>
          <w:bCs w:val="0"/>
        </w:rPr>
      </w:pPr>
      <w:bookmarkStart w:id="13" w:name="_Toc287858613"/>
      <w:bookmarkStart w:id="14" w:name="_Toc22287"/>
      <w:r>
        <w:rPr>
          <w:rFonts w:ascii="仿宋_GB2312" w:eastAsia="仿宋_GB2312" w:hAnsi="仿宋_GB2312" w:cs="仿宋_GB2312" w:hint="eastAsia"/>
        </w:rPr>
        <w:t>二、指导思想和基本原则</w:t>
      </w:r>
      <w:bookmarkEnd w:id="13"/>
      <w:bookmarkEnd w:id="14"/>
    </w:p>
    <w:p w:rsidR="00CA2F1C" w:rsidRDefault="008318CA">
      <w:pPr>
        <w:pStyle w:val="2"/>
        <w:spacing w:line="240" w:lineRule="auto"/>
        <w:rPr>
          <w:rFonts w:ascii="仿宋_GB2312" w:eastAsia="仿宋_GB2312" w:hAnsi="仿宋_GB2312" w:cs="仿宋_GB2312"/>
          <w:b w:val="0"/>
          <w:bCs w:val="0"/>
        </w:rPr>
      </w:pPr>
      <w:bookmarkStart w:id="15" w:name="_Toc30643"/>
      <w:bookmarkStart w:id="16" w:name="_Toc287858614"/>
      <w:r>
        <w:rPr>
          <w:rFonts w:ascii="仿宋_GB2312" w:eastAsia="仿宋_GB2312" w:hAnsi="仿宋_GB2312" w:cs="仿宋_GB2312" w:hint="eastAsia"/>
        </w:rPr>
        <w:t>（一）指导思想</w:t>
      </w:r>
      <w:bookmarkEnd w:id="15"/>
      <w:bookmarkEnd w:id="16"/>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以长汀县国民经济与社会发展第十四个五年规划、长汀县土地利用总体规划、长汀县年度土地储备计划为依据，</w:t>
      </w:r>
      <w:r>
        <w:rPr>
          <w:rFonts w:ascii="仿宋_GB2312" w:eastAsia="仿宋_GB2312" w:hAnsi="仿宋_GB2312" w:cs="仿宋_GB2312" w:hint="eastAsia"/>
          <w:sz w:val="32"/>
          <w:szCs w:val="32"/>
        </w:rPr>
        <w:lastRenderedPageBreak/>
        <w:t>坚持城乡统筹、节约集约用地、供需平衡和有保有压原则，坚持高质量发展落实赶超，主动融入粤港澳大湾区、闽西南协同发展区和山区绿色发展带建设，建设“机制活、产业优、百姓富、生态美”新长汀建设。进一步改造老城区，产业园区优化配置，全力推进生态城市建设。进一步加强普通商品房建设，提高人民群众居住水平。加快产业园区建设，以良好的硬件环境承接优质工业项目进园落户。</w:t>
      </w:r>
    </w:p>
    <w:p w:rsidR="00CA2F1C" w:rsidRDefault="008318CA">
      <w:pPr>
        <w:pStyle w:val="2"/>
        <w:spacing w:line="240" w:lineRule="auto"/>
        <w:rPr>
          <w:rFonts w:ascii="仿宋_GB2312" w:eastAsia="仿宋_GB2312" w:hAnsi="仿宋_GB2312" w:cs="仿宋_GB2312"/>
          <w:b w:val="0"/>
          <w:bCs w:val="0"/>
        </w:rPr>
      </w:pPr>
      <w:bookmarkStart w:id="17" w:name="_Toc23996"/>
      <w:bookmarkStart w:id="18" w:name="_Toc287858615"/>
      <w:r>
        <w:rPr>
          <w:rFonts w:ascii="仿宋_GB2312" w:eastAsia="仿宋_GB2312" w:hAnsi="仿宋_GB2312" w:cs="仿宋_GB2312" w:hint="eastAsia"/>
        </w:rPr>
        <w:t>（二）基本原则</w:t>
      </w:r>
      <w:bookmarkEnd w:id="17"/>
      <w:bookmarkEnd w:id="18"/>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、城乡统筹原则</w:t>
      </w:r>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国有建设用地供应计划编制的</w:t>
      </w:r>
      <w:r>
        <w:rPr>
          <w:rFonts w:ascii="仿宋_GB2312" w:eastAsia="仿宋_GB2312" w:hAnsi="仿宋_GB2312" w:cs="仿宋_GB2312" w:hint="eastAsia"/>
          <w:sz w:val="32"/>
          <w:szCs w:val="32"/>
        </w:rPr>
        <w:t>城乡统筹原则就是通过建设用地的供应计划，建立合理的城镇体系结构，改变分散状态，促进人口和经济向中心城区、中心镇、中心村集中；逐步改变城乡“二元”经济体制，促进城乡一体化的同步发展。</w:t>
      </w:r>
    </w:p>
    <w:p w:rsidR="00CA2F1C" w:rsidRDefault="008318CA">
      <w:pPr>
        <w:ind w:firstLineChars="200" w:firstLine="640"/>
        <w:rPr>
          <w:rFonts w:ascii="仿宋_GB2312" w:eastAsia="仿宋_GB2312" w:hAnsi="仿宋_GB2312" w:cs="仿宋_GB2312"/>
          <w:sz w:val="32"/>
          <w:szCs w:val="32"/>
        </w:rPr>
      </w:pPr>
      <w:bookmarkStart w:id="19" w:name="_Toc287858616"/>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、节约集约用地原则</w:t>
      </w:r>
      <w:bookmarkEnd w:id="19"/>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节约利用主要是从保护土地资源的角度通过一系列的政策、措施或技术手段，减少社会经济发展对土地造成不可逆转的消耗；而集约利用是指在一定面积的土地上，集中地投入较多的生产资料和劳动，使用先进的技术和管理方法，以求在较小面积的土地上获得高额产值和收入的一种经营方式。国有建设用地供应计划编制的节约与集约用</w:t>
      </w:r>
      <w:r>
        <w:rPr>
          <w:rFonts w:ascii="仿宋_GB2312" w:eastAsia="仿宋_GB2312" w:hAnsi="仿宋_GB2312" w:cs="仿宋_GB2312" w:hint="eastAsia"/>
          <w:sz w:val="32"/>
          <w:szCs w:val="32"/>
        </w:rPr>
        <w:lastRenderedPageBreak/>
        <w:t>地原则，总的</w:t>
      </w:r>
      <w:r>
        <w:rPr>
          <w:rFonts w:ascii="仿宋_GB2312" w:eastAsia="仿宋_GB2312" w:hAnsi="仿宋_GB2312" w:cs="仿宋_GB2312" w:hint="eastAsia"/>
          <w:sz w:val="32"/>
          <w:szCs w:val="32"/>
        </w:rPr>
        <w:t>来说就是如何更有效地利用建设用地，以最小的土地成本来满足社会经济发展与环境建设的需要。</w:t>
      </w:r>
    </w:p>
    <w:p w:rsidR="00CA2F1C" w:rsidRDefault="008318CA">
      <w:pPr>
        <w:ind w:firstLineChars="200" w:firstLine="640"/>
        <w:rPr>
          <w:rFonts w:ascii="仿宋_GB2312" w:eastAsia="仿宋_GB2312" w:hAnsi="仿宋_GB2312" w:cs="仿宋_GB2312"/>
          <w:sz w:val="32"/>
          <w:szCs w:val="32"/>
        </w:rPr>
      </w:pPr>
      <w:bookmarkStart w:id="20" w:name="_Toc287858617"/>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、供需平衡原则</w:t>
      </w:r>
      <w:bookmarkEnd w:id="20"/>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用地必须在建设用地供需预测的基础上，进行土地供需平衡分析，分析土地供给和需求的矛盾，提出相应的供地方式。使得建设用地的利用方式不是某一部门的、某一产业的、某一时期的、某一种回报的最优，而是整体的最优（经济、社会和生态）和跨时期的最优。</w:t>
      </w:r>
    </w:p>
    <w:p w:rsidR="00CA2F1C" w:rsidRDefault="008318CA">
      <w:pPr>
        <w:ind w:firstLineChars="200" w:firstLine="640"/>
        <w:rPr>
          <w:rFonts w:ascii="仿宋_GB2312" w:eastAsia="仿宋_GB2312" w:hAnsi="仿宋_GB2312" w:cs="仿宋_GB2312"/>
          <w:sz w:val="32"/>
          <w:szCs w:val="32"/>
        </w:rPr>
      </w:pPr>
      <w:bookmarkStart w:id="21" w:name="_Toc287858618"/>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、有保有压原则</w:t>
      </w:r>
      <w:bookmarkEnd w:id="21"/>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“有保有压”，就是从全局出发，支持经济社会发展中国家重点项目、基础行业、高新技术产业、重点能源项目建设，坚决控制投机性需求膨胀，把技术含量低，不符合</w:t>
      </w:r>
      <w:hyperlink r:id="rId10" w:tgtFrame="http://www.mlr.gov.cn/tdsc/gdjh/201503/_blank" w:history="1">
        <w:r>
          <w:rPr>
            <w:rFonts w:ascii="仿宋_GB2312" w:eastAsia="仿宋_GB2312" w:hAnsi="仿宋_GB2312" w:cs="仿宋_GB2312" w:hint="eastAsia"/>
            <w:sz w:val="32"/>
            <w:szCs w:val="32"/>
          </w:rPr>
          <w:t>结构调整</w:t>
        </w:r>
      </w:hyperlink>
      <w:r>
        <w:rPr>
          <w:rFonts w:ascii="仿宋_GB2312" w:eastAsia="仿宋_GB2312" w:hAnsi="仿宋_GB2312" w:cs="仿宋_GB2312" w:hint="eastAsia"/>
          <w:sz w:val="32"/>
          <w:szCs w:val="32"/>
        </w:rPr>
        <w:t>要求的项目，特别是资源消耗高，污染重的项目坚决控制下来，做到统筹兼顾是当前经济发展的国策，国有建设用地供应计划必须符合这一基本原则。</w:t>
      </w:r>
    </w:p>
    <w:p w:rsidR="00CA2F1C" w:rsidRDefault="008318CA">
      <w:pPr>
        <w:pStyle w:val="2"/>
        <w:spacing w:line="240" w:lineRule="auto"/>
        <w:rPr>
          <w:rFonts w:ascii="仿宋_GB2312" w:eastAsia="仿宋_GB2312" w:hAnsi="仿宋_GB2312" w:cs="仿宋_GB2312"/>
          <w:b w:val="0"/>
          <w:bCs w:val="0"/>
        </w:rPr>
      </w:pPr>
      <w:bookmarkStart w:id="22" w:name="_Toc3126"/>
      <w:bookmarkStart w:id="23" w:name="_Toc287858619"/>
      <w:r>
        <w:rPr>
          <w:rFonts w:ascii="仿宋_GB2312" w:eastAsia="仿宋_GB2312" w:hAnsi="仿宋_GB2312" w:cs="仿宋_GB2312" w:hint="eastAsia"/>
        </w:rPr>
        <w:t>三、计划指标</w:t>
      </w:r>
      <w:bookmarkEnd w:id="22"/>
      <w:bookmarkEnd w:id="23"/>
    </w:p>
    <w:p w:rsidR="00CA2F1C" w:rsidRDefault="008318CA">
      <w:pPr>
        <w:pStyle w:val="2"/>
        <w:spacing w:line="240" w:lineRule="auto"/>
        <w:rPr>
          <w:rFonts w:ascii="仿宋_GB2312" w:eastAsia="仿宋_GB2312" w:hAnsi="仿宋_GB2312" w:cs="仿宋_GB2312"/>
          <w:b w:val="0"/>
          <w:bCs w:val="0"/>
        </w:rPr>
      </w:pPr>
      <w:bookmarkStart w:id="24" w:name="_Toc30135"/>
      <w:bookmarkStart w:id="25" w:name="_Toc287858620"/>
      <w:r>
        <w:rPr>
          <w:rFonts w:ascii="仿宋_GB2312" w:eastAsia="仿宋_GB2312" w:hAnsi="仿宋_GB2312" w:cs="仿宋_GB2312" w:hint="eastAsia"/>
        </w:rPr>
        <w:t>（一）国有建设用地供应总量</w:t>
      </w:r>
      <w:bookmarkEnd w:id="24"/>
      <w:bookmarkEnd w:id="25"/>
    </w:p>
    <w:p w:rsidR="00CA2F1C" w:rsidRDefault="008318CA">
      <w:pPr>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FF0000"/>
          <w:sz w:val="32"/>
          <w:szCs w:val="32"/>
        </w:rPr>
        <w:t>20</w:t>
      </w:r>
      <w:r>
        <w:rPr>
          <w:rFonts w:ascii="仿宋_GB2312" w:eastAsia="仿宋_GB2312" w:hAnsi="仿宋_GB2312" w:cs="仿宋_GB2312"/>
          <w:color w:val="FF0000"/>
          <w:sz w:val="32"/>
          <w:szCs w:val="32"/>
        </w:rPr>
        <w:t>2</w:t>
      </w:r>
      <w:r>
        <w:rPr>
          <w:rFonts w:ascii="仿宋_GB2312" w:eastAsia="仿宋_GB2312" w:hAnsi="仿宋_GB2312" w:cs="仿宋_GB2312"/>
          <w:color w:val="FF0000"/>
          <w:sz w:val="32"/>
          <w:szCs w:val="32"/>
        </w:rPr>
        <w:t>3</w:t>
      </w:r>
      <w:r>
        <w:rPr>
          <w:rFonts w:ascii="仿宋_GB2312" w:eastAsia="仿宋_GB2312" w:hAnsi="仿宋_GB2312" w:cs="仿宋_GB2312" w:hint="eastAsia"/>
          <w:color w:val="FF0000"/>
          <w:sz w:val="32"/>
          <w:szCs w:val="32"/>
        </w:rPr>
        <w:t>年度长汀县国有建设用地供应总量控制在</w:t>
      </w:r>
      <w:r>
        <w:rPr>
          <w:rFonts w:ascii="仿宋_GB2312" w:eastAsia="仿宋_GB2312" w:hAnsi="仿宋_GB2312" w:cs="仿宋_GB2312"/>
          <w:color w:val="FF0000"/>
          <w:sz w:val="32"/>
          <w:szCs w:val="32"/>
        </w:rPr>
        <w:t>135.667</w:t>
      </w:r>
      <w:r>
        <w:rPr>
          <w:rFonts w:ascii="仿宋_GB2312" w:eastAsia="仿宋_GB2312" w:hAnsi="仿宋_GB2312" w:cs="仿宋_GB2312" w:hint="eastAsia"/>
          <w:color w:val="FF0000"/>
          <w:sz w:val="32"/>
          <w:szCs w:val="32"/>
        </w:rPr>
        <w:t>公顷。</w:t>
      </w:r>
    </w:p>
    <w:p w:rsidR="00CA2F1C" w:rsidRDefault="008318CA">
      <w:pPr>
        <w:pStyle w:val="2"/>
        <w:spacing w:line="240" w:lineRule="auto"/>
        <w:rPr>
          <w:rFonts w:ascii="仿宋_GB2312" w:eastAsia="仿宋_GB2312" w:hAnsi="仿宋_GB2312" w:cs="仿宋_GB2312"/>
          <w:b w:val="0"/>
          <w:bCs w:val="0"/>
        </w:rPr>
      </w:pPr>
      <w:bookmarkStart w:id="26" w:name="_Toc287858621"/>
      <w:bookmarkStart w:id="27" w:name="_Toc22104"/>
      <w:r>
        <w:rPr>
          <w:rFonts w:ascii="仿宋_GB2312" w:eastAsia="仿宋_GB2312" w:hAnsi="仿宋_GB2312" w:cs="仿宋_GB2312" w:hint="eastAsia"/>
        </w:rPr>
        <w:lastRenderedPageBreak/>
        <w:t>（二）国有建设用地供应结构</w:t>
      </w:r>
      <w:bookmarkEnd w:id="26"/>
      <w:bookmarkEnd w:id="27"/>
    </w:p>
    <w:p w:rsidR="00CA2F1C" w:rsidRDefault="008318CA">
      <w:pPr>
        <w:ind w:firstLineChars="200" w:firstLine="640"/>
        <w:rPr>
          <w:rFonts w:ascii="仿宋_GB2312" w:eastAsia="仿宋_GB2312" w:hAnsi="仿宋_GB2312" w:cs="仿宋_GB2312"/>
          <w:color w:val="FF0000"/>
          <w:sz w:val="32"/>
          <w:szCs w:val="32"/>
        </w:rPr>
      </w:pPr>
      <w:bookmarkStart w:id="28" w:name="_Hlk69467043"/>
      <w:bookmarkStart w:id="29" w:name="_Toc287858623"/>
      <w:r>
        <w:rPr>
          <w:rFonts w:ascii="仿宋_GB2312" w:eastAsia="仿宋_GB2312" w:hAnsi="仿宋_GB2312" w:cs="仿宋_GB2312" w:hint="eastAsia"/>
          <w:color w:val="FF0000"/>
          <w:sz w:val="32"/>
          <w:szCs w:val="32"/>
        </w:rPr>
        <w:t>20</w:t>
      </w:r>
      <w:r>
        <w:rPr>
          <w:rFonts w:ascii="仿宋_GB2312" w:eastAsia="仿宋_GB2312" w:hAnsi="仿宋_GB2312" w:cs="仿宋_GB2312"/>
          <w:color w:val="FF0000"/>
          <w:sz w:val="32"/>
          <w:szCs w:val="32"/>
        </w:rPr>
        <w:t>2</w:t>
      </w:r>
      <w:r>
        <w:rPr>
          <w:rFonts w:ascii="仿宋_GB2312" w:eastAsia="仿宋_GB2312" w:hAnsi="仿宋_GB2312" w:cs="仿宋_GB2312"/>
          <w:color w:val="FF0000"/>
          <w:sz w:val="32"/>
          <w:szCs w:val="32"/>
        </w:rPr>
        <w:t>3</w:t>
      </w:r>
      <w:r>
        <w:rPr>
          <w:rFonts w:ascii="仿宋_GB2312" w:eastAsia="仿宋_GB2312" w:hAnsi="仿宋_GB2312" w:cs="仿宋_GB2312" w:hint="eastAsia"/>
          <w:color w:val="FF0000"/>
          <w:sz w:val="32"/>
          <w:szCs w:val="32"/>
        </w:rPr>
        <w:t>年度长汀县国有建设用地供应总量控制在</w:t>
      </w:r>
      <w:r>
        <w:rPr>
          <w:rFonts w:ascii="仿宋_GB2312" w:eastAsia="仿宋_GB2312" w:hAnsi="仿宋_GB2312" w:cs="仿宋_GB2312"/>
          <w:color w:val="FF0000"/>
          <w:sz w:val="32"/>
          <w:szCs w:val="32"/>
        </w:rPr>
        <w:t>135.67</w:t>
      </w:r>
      <w:r>
        <w:rPr>
          <w:rFonts w:ascii="仿宋_GB2312" w:eastAsia="仿宋_GB2312" w:hAnsi="仿宋_GB2312" w:cs="仿宋_GB2312" w:hint="eastAsia"/>
          <w:color w:val="FF0000"/>
          <w:sz w:val="32"/>
          <w:szCs w:val="32"/>
        </w:rPr>
        <w:t>公顷，</w:t>
      </w:r>
      <w:bookmarkStart w:id="30" w:name="OLE_LINK44"/>
      <w:bookmarkStart w:id="31" w:name="OLE_LINK47"/>
      <w:bookmarkStart w:id="32" w:name="OLE_LINK45"/>
      <w:bookmarkStart w:id="33" w:name="OLE_LINK46"/>
      <w:r>
        <w:rPr>
          <w:rFonts w:ascii="仿宋_GB2312" w:eastAsia="仿宋_GB2312" w:hAnsi="仿宋_GB2312" w:cs="仿宋_GB2312" w:hint="eastAsia"/>
          <w:color w:val="FF0000"/>
          <w:sz w:val="32"/>
          <w:szCs w:val="32"/>
        </w:rPr>
        <w:t>其中工矿仓储用地</w:t>
      </w:r>
      <w:r>
        <w:rPr>
          <w:rFonts w:ascii="仿宋_GB2312" w:eastAsia="仿宋_GB2312" w:hAnsi="仿宋_GB2312" w:cs="仿宋_GB2312"/>
          <w:color w:val="FF0000"/>
          <w:sz w:val="32"/>
          <w:szCs w:val="32"/>
        </w:rPr>
        <w:t>53.33</w:t>
      </w:r>
      <w:r>
        <w:rPr>
          <w:rFonts w:ascii="仿宋_GB2312" w:eastAsia="仿宋_GB2312" w:hAnsi="仿宋_GB2312" w:cs="仿宋_GB2312" w:hint="eastAsia"/>
          <w:color w:val="FF0000"/>
          <w:sz w:val="32"/>
          <w:szCs w:val="32"/>
        </w:rPr>
        <w:t>公顷，住宅用地为</w:t>
      </w:r>
      <w:r>
        <w:rPr>
          <w:rFonts w:ascii="仿宋_GB2312" w:eastAsia="仿宋_GB2312" w:hAnsi="仿宋_GB2312" w:cs="仿宋_GB2312"/>
          <w:color w:val="FF0000"/>
          <w:sz w:val="32"/>
          <w:szCs w:val="32"/>
        </w:rPr>
        <w:t>25.67</w:t>
      </w:r>
      <w:r>
        <w:rPr>
          <w:rFonts w:ascii="仿宋_GB2312" w:eastAsia="仿宋_GB2312" w:hAnsi="仿宋_GB2312" w:cs="仿宋_GB2312" w:hint="eastAsia"/>
          <w:color w:val="FF0000"/>
          <w:sz w:val="32"/>
          <w:szCs w:val="32"/>
        </w:rPr>
        <w:t>公顷，公共管理和公共服务用地</w:t>
      </w:r>
      <w:r>
        <w:rPr>
          <w:rFonts w:ascii="仿宋_GB2312" w:eastAsia="仿宋_GB2312" w:hAnsi="仿宋_GB2312" w:cs="仿宋_GB2312"/>
          <w:color w:val="FF0000"/>
          <w:sz w:val="32"/>
          <w:szCs w:val="32"/>
        </w:rPr>
        <w:t>53.33</w:t>
      </w:r>
      <w:r>
        <w:rPr>
          <w:rFonts w:ascii="仿宋_GB2312" w:eastAsia="仿宋_GB2312" w:hAnsi="仿宋_GB2312" w:cs="仿宋_GB2312" w:hint="eastAsia"/>
          <w:color w:val="FF0000"/>
          <w:sz w:val="32"/>
          <w:szCs w:val="32"/>
        </w:rPr>
        <w:t>公顷。</w:t>
      </w:r>
      <w:bookmarkEnd w:id="30"/>
      <w:bookmarkEnd w:id="31"/>
      <w:bookmarkEnd w:id="32"/>
      <w:bookmarkEnd w:id="33"/>
    </w:p>
    <w:p w:rsidR="00CA2F1C" w:rsidRDefault="008318CA">
      <w:pPr>
        <w:pStyle w:val="2"/>
        <w:spacing w:line="240" w:lineRule="auto"/>
        <w:rPr>
          <w:rFonts w:ascii="仿宋_GB2312" w:eastAsia="仿宋_GB2312" w:hAnsi="仿宋_GB2312" w:cs="仿宋_GB2312"/>
          <w:b w:val="0"/>
          <w:bCs w:val="0"/>
        </w:rPr>
      </w:pPr>
      <w:bookmarkStart w:id="34" w:name="_Toc10550"/>
      <w:bookmarkEnd w:id="28"/>
      <w:r>
        <w:rPr>
          <w:rFonts w:ascii="仿宋_GB2312" w:eastAsia="仿宋_GB2312" w:hAnsi="仿宋_GB2312" w:cs="仿宋_GB2312" w:hint="eastAsia"/>
        </w:rPr>
        <w:t>四、政策导向</w:t>
      </w:r>
      <w:bookmarkEnd w:id="29"/>
      <w:bookmarkEnd w:id="34"/>
    </w:p>
    <w:p w:rsidR="00CA2F1C" w:rsidRDefault="008318CA">
      <w:pPr>
        <w:pStyle w:val="2"/>
        <w:spacing w:line="240" w:lineRule="auto"/>
        <w:rPr>
          <w:rFonts w:ascii="仿宋_GB2312" w:eastAsia="仿宋_GB2312" w:hAnsi="仿宋_GB2312" w:cs="仿宋_GB2312"/>
          <w:b w:val="0"/>
          <w:bCs w:val="0"/>
        </w:rPr>
      </w:pPr>
      <w:bookmarkStart w:id="35" w:name="_Toc287858624"/>
      <w:bookmarkStart w:id="36" w:name="_Toc11723"/>
      <w:r>
        <w:rPr>
          <w:rFonts w:ascii="仿宋_GB2312" w:eastAsia="仿宋_GB2312" w:hAnsi="仿宋_GB2312" w:cs="仿宋_GB2312" w:hint="eastAsia"/>
        </w:rPr>
        <w:t>（一）优化空间布局</w:t>
      </w:r>
      <w:bookmarkEnd w:id="35"/>
      <w:bookmarkEnd w:id="36"/>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年长汀县国有建设用地供应立足于《长汀县土地利用总体规划》、《长汀县城市规划》，</w:t>
      </w:r>
      <w:bookmarkStart w:id="37" w:name="_Toc287858625"/>
      <w:r>
        <w:rPr>
          <w:rFonts w:ascii="仿宋_GB2312" w:eastAsia="仿宋_GB2312" w:hAnsi="仿宋_GB2312" w:cs="仿宋_GB2312" w:hint="eastAsia"/>
          <w:sz w:val="32"/>
          <w:szCs w:val="32"/>
        </w:rPr>
        <w:t>实施主城区“南拓北扩”发展战略，加快县域产城融合发展，大力发展县域经济，加快南拓连接火车南站、稀土工业园区、晋江（长汀）工业园、河田镇小城镇建设，进一步拉开城市框架，扩大城市容量，促进城市空间布局结构优化。</w:t>
      </w:r>
    </w:p>
    <w:p w:rsidR="00CA2F1C" w:rsidRDefault="008318CA">
      <w:pPr>
        <w:pStyle w:val="2"/>
        <w:spacing w:line="240" w:lineRule="auto"/>
        <w:rPr>
          <w:rFonts w:ascii="仿宋_GB2312" w:eastAsia="仿宋_GB2312" w:hAnsi="仿宋_GB2312" w:cs="仿宋_GB2312"/>
          <w:b w:val="0"/>
          <w:bCs w:val="0"/>
        </w:rPr>
      </w:pPr>
      <w:bookmarkStart w:id="38" w:name="_Toc22062"/>
      <w:r>
        <w:rPr>
          <w:rFonts w:ascii="仿宋_GB2312" w:eastAsia="仿宋_GB2312" w:hAnsi="仿宋_GB2312" w:cs="仿宋_GB2312" w:hint="eastAsia"/>
        </w:rPr>
        <w:t>（二）优化土地供应结构</w:t>
      </w:r>
      <w:bookmarkEnd w:id="37"/>
      <w:bookmarkEnd w:id="38"/>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长汀县国有建设用地供应按照《长汀县土地利用总体规划》的要求优化土地供应结构，着重于省重点建设项目用地、工业用地、基础设施和基础产业的用地安排，以实现和谐社会以及节约型社会为根本目标，建立多层次、多渠道的住房供应体系，均衡房源供应，满足不同收入层次居民住房的需求，实现中小</w:t>
      </w:r>
      <w:r>
        <w:rPr>
          <w:rFonts w:ascii="仿宋_GB2312" w:eastAsia="仿宋_GB2312" w:hAnsi="仿宋_GB2312" w:cs="仿宋_GB2312" w:hint="eastAsia"/>
          <w:sz w:val="32"/>
          <w:szCs w:val="32"/>
        </w:rPr>
        <w:t>套型商品房用地不低于住房建设用地供应总量的</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w:t>
      </w:r>
    </w:p>
    <w:p w:rsidR="00CA2F1C" w:rsidRDefault="008318CA">
      <w:pPr>
        <w:pStyle w:val="2"/>
        <w:spacing w:line="240" w:lineRule="auto"/>
        <w:rPr>
          <w:rFonts w:ascii="仿宋_GB2312" w:eastAsia="仿宋_GB2312" w:hAnsi="仿宋_GB2312" w:cs="仿宋_GB2312"/>
          <w:b w:val="0"/>
          <w:bCs w:val="0"/>
        </w:rPr>
      </w:pPr>
      <w:bookmarkStart w:id="39" w:name="_Toc287858626"/>
      <w:bookmarkStart w:id="40" w:name="_Toc29074"/>
      <w:r>
        <w:rPr>
          <w:rFonts w:ascii="仿宋_GB2312" w:eastAsia="仿宋_GB2312" w:hAnsi="仿宋_GB2312" w:cs="仿宋_GB2312" w:hint="eastAsia"/>
        </w:rPr>
        <w:lastRenderedPageBreak/>
        <w:t>（三）促进土地集约节约利用</w:t>
      </w:r>
      <w:bookmarkEnd w:id="39"/>
      <w:bookmarkEnd w:id="40"/>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长汀县国有建设用地供应立足于土地集约节约利用的需求，按照以供给引导和制约需求的原则来编制，严格控制土地供应总量，严格按照各类建设项目用地定额标准和投资强度来计算建设用地的需求，防止浪费土地；充分挖掘农用地转用潜力、农村城乡增减挂钩潜力、政府收购储备潜力，最大限度利用原有建设用地，尽量少占耕地，做到建设用地集约节约利用。</w:t>
      </w:r>
    </w:p>
    <w:p w:rsidR="00CA2F1C" w:rsidRDefault="008318CA">
      <w:pPr>
        <w:pStyle w:val="2"/>
        <w:spacing w:line="240" w:lineRule="auto"/>
        <w:rPr>
          <w:rFonts w:ascii="仿宋_GB2312" w:eastAsia="仿宋_GB2312" w:hAnsi="仿宋_GB2312" w:cs="仿宋_GB2312"/>
          <w:b w:val="0"/>
          <w:bCs w:val="0"/>
        </w:rPr>
      </w:pPr>
      <w:bookmarkStart w:id="41" w:name="_Toc287858627"/>
      <w:bookmarkStart w:id="42" w:name="_Toc31981"/>
      <w:r>
        <w:rPr>
          <w:rFonts w:ascii="仿宋_GB2312" w:eastAsia="仿宋_GB2312" w:hAnsi="仿宋_GB2312" w:cs="仿宋_GB2312" w:hint="eastAsia"/>
        </w:rPr>
        <w:t>（四）发挥市场配置资源基础性作用</w:t>
      </w:r>
      <w:bookmarkEnd w:id="41"/>
      <w:bookmarkEnd w:id="42"/>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长汀县国有建设用地供应本着尊重市场在资源配置中的基础性作用的原则，推进土地市场建设，对经营性用地和工业用地一律实施“招、拍、挂”制度，逐步减少划拨土地的供应数量，划拨用地仅限于教育用地、为民办实事项目，以及省重点建设基础设施用地。同时，转变政府职能，从宏观上控制建设用地的流向，规范管理土地市场供应，以市场主导资源配置，减少损害群众利益的行为发生，减少社会矛盾，促进社会和谐。</w:t>
      </w:r>
    </w:p>
    <w:p w:rsidR="00CA2F1C" w:rsidRDefault="008318CA">
      <w:pPr>
        <w:pStyle w:val="2"/>
        <w:spacing w:line="240" w:lineRule="auto"/>
        <w:rPr>
          <w:rFonts w:ascii="仿宋_GB2312" w:eastAsia="仿宋_GB2312" w:hAnsi="仿宋_GB2312" w:cs="仿宋_GB2312"/>
          <w:b w:val="0"/>
          <w:bCs w:val="0"/>
        </w:rPr>
      </w:pPr>
      <w:bookmarkStart w:id="43" w:name="_Toc12466"/>
      <w:r>
        <w:rPr>
          <w:rFonts w:ascii="仿宋_GB2312" w:eastAsia="仿宋_GB2312" w:hAnsi="仿宋_GB2312" w:cs="仿宋_GB2312" w:hint="eastAsia"/>
        </w:rPr>
        <w:t>五、住宅供应计划</w:t>
      </w:r>
      <w:bookmarkEnd w:id="43"/>
    </w:p>
    <w:p w:rsidR="00CA2F1C" w:rsidRDefault="008318CA">
      <w:pPr>
        <w:pStyle w:val="2"/>
        <w:spacing w:line="240" w:lineRule="auto"/>
        <w:rPr>
          <w:rFonts w:ascii="仿宋_GB2312" w:eastAsia="仿宋_GB2312" w:hAnsi="仿宋_GB2312" w:cs="仿宋_GB2312"/>
          <w:b w:val="0"/>
          <w:bCs w:val="0"/>
        </w:rPr>
      </w:pPr>
      <w:bookmarkStart w:id="44" w:name="_Toc2195"/>
      <w:r>
        <w:rPr>
          <w:rFonts w:ascii="仿宋_GB2312" w:eastAsia="仿宋_GB2312" w:hAnsi="仿宋_GB2312" w:cs="仿宋_GB2312" w:hint="eastAsia"/>
        </w:rPr>
        <w:t>（一）住宅用地总量和结构</w:t>
      </w:r>
      <w:bookmarkEnd w:id="44"/>
    </w:p>
    <w:p w:rsidR="00CA2F1C" w:rsidRDefault="008318CA">
      <w:pPr>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依据《自然资源部办公厅关于进一步规范住宅用地供</w:t>
      </w:r>
      <w:r>
        <w:rPr>
          <w:rFonts w:ascii="仿宋_GB2312" w:eastAsia="仿宋_GB2312" w:hAnsi="仿宋_GB2312" w:cs="仿宋_GB2312" w:hint="eastAsia"/>
          <w:sz w:val="32"/>
          <w:szCs w:val="32"/>
        </w:rPr>
        <w:lastRenderedPageBreak/>
        <w:t>应信息公开工作的通知》（自然资办函〔</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2728</w:t>
      </w:r>
      <w:r>
        <w:rPr>
          <w:rFonts w:ascii="仿宋_GB2312" w:eastAsia="仿宋_GB2312" w:hAnsi="仿宋_GB2312" w:cs="仿宋_GB2312" w:hint="eastAsia"/>
          <w:sz w:val="32"/>
          <w:szCs w:val="32"/>
        </w:rPr>
        <w:t>号）精神，长汀县</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至</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年前三年供应经营性房地产住宅用地</w:t>
      </w:r>
      <w:r>
        <w:rPr>
          <w:rFonts w:ascii="仿宋_GB2312" w:eastAsia="仿宋_GB2312" w:hAnsi="仿宋_GB2312" w:cs="仿宋_GB2312"/>
          <w:sz w:val="32"/>
          <w:szCs w:val="32"/>
        </w:rPr>
        <w:t>538.98</w:t>
      </w:r>
      <w:r>
        <w:rPr>
          <w:rFonts w:ascii="仿宋_GB2312" w:eastAsia="仿宋_GB2312" w:hAnsi="仿宋_GB2312" w:cs="仿宋_GB2312" w:hint="eastAsia"/>
          <w:sz w:val="32"/>
          <w:szCs w:val="32"/>
        </w:rPr>
        <w:t>亩，平均年供应量</w:t>
      </w:r>
      <w:r>
        <w:rPr>
          <w:rFonts w:ascii="仿宋_GB2312" w:eastAsia="仿宋_GB2312" w:hAnsi="仿宋_GB2312" w:cs="仿宋_GB2312"/>
          <w:sz w:val="32"/>
          <w:szCs w:val="32"/>
        </w:rPr>
        <w:t>179.66</w:t>
      </w:r>
      <w:r>
        <w:rPr>
          <w:rFonts w:ascii="仿宋_GB2312" w:eastAsia="仿宋_GB2312" w:hAnsi="仿宋_GB2312" w:cs="仿宋_GB2312" w:hint="eastAsia"/>
          <w:sz w:val="32"/>
          <w:szCs w:val="32"/>
        </w:rPr>
        <w:t>亩。按照目前国家对房地产市场调控“房子是用来住的，不是用来炒的定位”，稳定市场预期、维护市场公平，促进房地产市场平稳健康发展的要求。</w:t>
      </w:r>
      <w:r>
        <w:rPr>
          <w:rFonts w:ascii="仿宋_GB2312" w:eastAsia="仿宋_GB2312" w:hAnsi="仿宋_GB2312" w:cs="仿宋_GB2312"/>
          <w:color w:val="FF0000"/>
          <w:sz w:val="32"/>
          <w:szCs w:val="32"/>
        </w:rPr>
        <w:t>202</w:t>
      </w:r>
      <w:r>
        <w:rPr>
          <w:rFonts w:ascii="仿宋_GB2312" w:eastAsia="仿宋_GB2312" w:hAnsi="仿宋_GB2312" w:cs="仿宋_GB2312"/>
          <w:color w:val="FF0000"/>
          <w:sz w:val="32"/>
          <w:szCs w:val="32"/>
        </w:rPr>
        <w:t>3</w:t>
      </w:r>
      <w:r>
        <w:rPr>
          <w:rFonts w:ascii="仿宋_GB2312" w:eastAsia="仿宋_GB2312" w:hAnsi="仿宋_GB2312" w:cs="仿宋_GB2312" w:hint="eastAsia"/>
          <w:color w:val="FF0000"/>
          <w:sz w:val="32"/>
          <w:szCs w:val="32"/>
        </w:rPr>
        <w:t>年度本县住宅用地计划供应</w:t>
      </w:r>
      <w:bookmarkStart w:id="45" w:name="_Hlk101194910"/>
      <w:r>
        <w:rPr>
          <w:rFonts w:ascii="仿宋_GB2312" w:eastAsia="仿宋_GB2312" w:hAnsi="仿宋_GB2312" w:cs="仿宋_GB2312"/>
          <w:color w:val="FF0000"/>
          <w:sz w:val="32"/>
          <w:szCs w:val="32"/>
        </w:rPr>
        <w:t>18.1708</w:t>
      </w:r>
      <w:bookmarkEnd w:id="45"/>
      <w:r>
        <w:rPr>
          <w:rFonts w:ascii="仿宋_GB2312" w:eastAsia="仿宋_GB2312" w:hAnsi="仿宋_GB2312" w:cs="仿宋_GB2312" w:hint="eastAsia"/>
          <w:color w:val="FF0000"/>
          <w:sz w:val="32"/>
          <w:szCs w:val="32"/>
        </w:rPr>
        <w:t>公顷，其中产权住宅用地</w:t>
      </w:r>
      <w:r>
        <w:rPr>
          <w:rFonts w:ascii="仿宋_GB2312" w:eastAsia="仿宋_GB2312" w:hAnsi="仿宋_GB2312" w:cs="仿宋_GB2312"/>
          <w:color w:val="FF0000"/>
          <w:sz w:val="32"/>
          <w:szCs w:val="32"/>
        </w:rPr>
        <w:t>18.1708</w:t>
      </w:r>
      <w:r>
        <w:rPr>
          <w:rFonts w:ascii="仿宋_GB2312" w:eastAsia="仿宋_GB2312" w:hAnsi="仿宋_GB2312" w:cs="仿宋_GB2312" w:hint="eastAsia"/>
          <w:color w:val="FF0000"/>
          <w:sz w:val="32"/>
          <w:szCs w:val="32"/>
        </w:rPr>
        <w:t>公顷（商品住宅用地</w:t>
      </w:r>
      <w:r>
        <w:rPr>
          <w:rFonts w:ascii="仿宋_GB2312" w:eastAsia="仿宋_GB2312" w:hAnsi="仿宋_GB2312" w:cs="仿宋_GB2312"/>
          <w:color w:val="FF0000"/>
          <w:sz w:val="32"/>
          <w:szCs w:val="32"/>
        </w:rPr>
        <w:t>18.1708</w:t>
      </w:r>
      <w:r>
        <w:rPr>
          <w:rFonts w:ascii="仿宋_GB2312" w:eastAsia="仿宋_GB2312" w:hAnsi="仿宋_GB2312" w:cs="仿宋_GB2312" w:hint="eastAsia"/>
          <w:color w:val="FF0000"/>
          <w:sz w:val="32"/>
          <w:szCs w:val="32"/>
        </w:rPr>
        <w:t>公顷）详见附表</w:t>
      </w:r>
      <w:r>
        <w:rPr>
          <w:rFonts w:ascii="仿宋_GB2312" w:eastAsia="仿宋_GB2312" w:hAnsi="仿宋_GB2312" w:cs="仿宋_GB2312" w:hint="eastAsia"/>
          <w:color w:val="FF0000"/>
          <w:sz w:val="32"/>
          <w:szCs w:val="32"/>
        </w:rPr>
        <w:t>1</w:t>
      </w:r>
      <w:r>
        <w:rPr>
          <w:rFonts w:ascii="仿宋_GB2312" w:eastAsia="仿宋_GB2312" w:hAnsi="仿宋_GB2312" w:cs="仿宋_GB2312" w:hint="eastAsia"/>
          <w:color w:val="FF0000"/>
          <w:sz w:val="32"/>
          <w:szCs w:val="32"/>
        </w:rPr>
        <w:t>。</w:t>
      </w:r>
    </w:p>
    <w:p w:rsidR="00CA2F1C" w:rsidRDefault="008318CA">
      <w:pPr>
        <w:pStyle w:val="2"/>
        <w:spacing w:line="240" w:lineRule="auto"/>
        <w:rPr>
          <w:rFonts w:ascii="仿宋_GB2312" w:eastAsia="仿宋_GB2312" w:hAnsi="仿宋_GB2312" w:cs="仿宋_GB2312"/>
          <w:b w:val="0"/>
          <w:bCs w:val="0"/>
        </w:rPr>
      </w:pPr>
      <w:bookmarkStart w:id="46" w:name="_Toc2387"/>
      <w:r>
        <w:rPr>
          <w:rFonts w:ascii="仿宋_GB2312" w:eastAsia="仿宋_GB2312" w:hAnsi="仿宋_GB2312" w:cs="仿宋_GB2312" w:hint="eastAsia"/>
        </w:rPr>
        <w:t>（二）住宅用地供应布局</w:t>
      </w:r>
      <w:bookmarkEnd w:id="46"/>
    </w:p>
    <w:p w:rsidR="00CA2F1C" w:rsidRDefault="008318CA">
      <w:pPr>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FF0000"/>
          <w:sz w:val="32"/>
          <w:szCs w:val="32"/>
        </w:rPr>
        <w:t>根据人口结构情况、居民住宅需求、房地产市场走势，合理确定计划供应的住宅用地规模。在区域分布上，城市周边计划供应</w:t>
      </w:r>
      <w:r>
        <w:rPr>
          <w:rFonts w:ascii="仿宋_GB2312" w:eastAsia="仿宋_GB2312" w:hAnsi="仿宋_GB2312" w:cs="仿宋_GB2312"/>
          <w:color w:val="FF0000"/>
          <w:sz w:val="32"/>
          <w:szCs w:val="32"/>
        </w:rPr>
        <w:t>18.1708</w:t>
      </w:r>
      <w:r>
        <w:rPr>
          <w:rFonts w:ascii="仿宋_GB2312" w:eastAsia="仿宋_GB2312" w:hAnsi="仿宋_GB2312" w:cs="仿宋_GB2312" w:hint="eastAsia"/>
          <w:color w:val="FF0000"/>
          <w:sz w:val="32"/>
          <w:szCs w:val="32"/>
        </w:rPr>
        <w:t>公顷，达到均衡合理布局，有利于促进住宅平衡。</w:t>
      </w:r>
    </w:p>
    <w:p w:rsidR="00CA2F1C" w:rsidRDefault="008318CA">
      <w:pPr>
        <w:pStyle w:val="2"/>
        <w:spacing w:line="240" w:lineRule="auto"/>
        <w:rPr>
          <w:rFonts w:ascii="仿宋_GB2312" w:eastAsia="仿宋_GB2312" w:hAnsi="仿宋_GB2312" w:cs="仿宋_GB2312"/>
          <w:b w:val="0"/>
          <w:bCs w:val="0"/>
        </w:rPr>
      </w:pPr>
      <w:bookmarkStart w:id="47" w:name="_Toc2080"/>
      <w:r>
        <w:rPr>
          <w:rFonts w:ascii="仿宋_GB2312" w:eastAsia="仿宋_GB2312" w:hAnsi="仿宋_GB2312" w:cs="仿宋_GB2312" w:hint="eastAsia"/>
        </w:rPr>
        <w:t>（三）住宅用地供应保障措施</w:t>
      </w:r>
      <w:bookmarkEnd w:id="47"/>
    </w:p>
    <w:p w:rsidR="00CA2F1C" w:rsidRDefault="008318CA" w:rsidP="00172C7E">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组织领导方面。</w:t>
      </w:r>
      <w:r>
        <w:rPr>
          <w:rFonts w:ascii="仿宋_GB2312" w:eastAsia="仿宋_GB2312" w:hAnsi="仿宋_GB2312" w:cs="仿宋_GB2312" w:hint="eastAsia"/>
          <w:sz w:val="32"/>
          <w:szCs w:val="32"/>
        </w:rPr>
        <w:t>各部门在供应计划推进中遇到困难问题，及时进行沟通协调，定期向县土管委、县招拍挂领导小组汇报，进行统一协调，确保计划项目的实施。</w:t>
      </w:r>
    </w:p>
    <w:p w:rsidR="00CA2F1C" w:rsidRDefault="008318CA" w:rsidP="00172C7E">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规划编制方面。</w:t>
      </w:r>
      <w:r>
        <w:rPr>
          <w:rFonts w:ascii="仿宋_GB2312" w:eastAsia="仿宋_GB2312" w:hAnsi="仿宋_GB2312" w:cs="仿宋_GB2312" w:hint="eastAsia"/>
          <w:sz w:val="32"/>
          <w:szCs w:val="32"/>
        </w:rPr>
        <w:t>在年度计划执行过程中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加强自然资源和规划、发改、住建、气象部门间的沟通合作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探索建立关联数据共享机制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及时协调解决计划实施过程中的问题加</w:t>
      </w:r>
      <w:r>
        <w:rPr>
          <w:rFonts w:ascii="仿宋_GB2312" w:eastAsia="仿宋_GB2312" w:hAnsi="仿宋_GB2312" w:cs="仿宋_GB2312" w:hint="eastAsia"/>
          <w:sz w:val="32"/>
          <w:szCs w:val="32"/>
        </w:rPr>
        <w:lastRenderedPageBreak/>
        <w:t>快审批列入计划</w:t>
      </w:r>
      <w:r>
        <w:rPr>
          <w:rFonts w:ascii="仿宋_GB2312" w:eastAsia="仿宋_GB2312" w:hAnsi="仿宋_GB2312" w:cs="仿宋_GB2312" w:hint="eastAsia"/>
          <w:sz w:val="32"/>
          <w:szCs w:val="32"/>
        </w:rPr>
        <w:t>内项目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支持乡镇政府推进计划实施。各乡镇政府应加强规划设计征地拆迁、房屋征收等前期工作协调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及时主动与相关部门沟通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确保计划实施。</w:t>
      </w:r>
    </w:p>
    <w:p w:rsidR="00CA2F1C" w:rsidRDefault="008318CA" w:rsidP="00172C7E">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财政保障方面。</w:t>
      </w:r>
      <w:r>
        <w:rPr>
          <w:rFonts w:ascii="仿宋_GB2312" w:eastAsia="仿宋_GB2312" w:hAnsi="仿宋_GB2312" w:cs="仿宋_GB2312" w:hint="eastAsia"/>
          <w:sz w:val="32"/>
          <w:szCs w:val="32"/>
        </w:rPr>
        <w:t>县财政局按照计划安排，提前谋划安排各项下拨资金费用，将涉及项目的资金列入支出计划，确保所需资金费用足额下拨各相关部门、乡镇。</w:t>
      </w:r>
    </w:p>
    <w:p w:rsidR="00CA2F1C" w:rsidRDefault="008318CA" w:rsidP="00172C7E">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监督管理方面。</w:t>
      </w:r>
      <w:r>
        <w:rPr>
          <w:rFonts w:ascii="仿宋_GB2312" w:eastAsia="仿宋_GB2312" w:hAnsi="仿宋_GB2312" w:cs="仿宋_GB2312" w:hint="eastAsia"/>
          <w:sz w:val="32"/>
          <w:szCs w:val="32"/>
        </w:rPr>
        <w:t>严格落实建设用地全程管理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及时发现计划执行进程中存在的问题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定期向社会通报计划执行情况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对因特殊原因影响供应计划安排的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应及时会同相关部门做好计划调整工作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促进地块按期开发建设。加大置土地处置力度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加强土地市场动态监测</w:t>
      </w:r>
      <w:r>
        <w:rPr>
          <w:rFonts w:ascii="仿宋_GB2312" w:eastAsia="仿宋_GB2312" w:hAnsi="仿宋_GB2312" w:cs="仿宋_GB2312" w:hint="eastAsia"/>
          <w:sz w:val="32"/>
          <w:szCs w:val="32"/>
        </w:rPr>
        <w:t>监管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加快推进诚信体系建设构建节约用地长效制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完善工业项目考核验收机制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建立节地综合考评制度。</w:t>
      </w:r>
    </w:p>
    <w:p w:rsidR="00CA2F1C" w:rsidRDefault="008318CA" w:rsidP="00172C7E">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信息披露方面。</w:t>
      </w:r>
      <w:r>
        <w:rPr>
          <w:rFonts w:ascii="仿宋_GB2312" w:eastAsia="仿宋_GB2312" w:hAnsi="仿宋_GB2312" w:cs="仿宋_GB2312" w:hint="eastAsia"/>
          <w:sz w:val="32"/>
          <w:szCs w:val="32"/>
        </w:rPr>
        <w:t>对于拟供地块要加大供地信息披露力度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严格按照相关程和规范做好供地手续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切实做到公开、公平、公正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维护土地市。</w:t>
      </w:r>
    </w:p>
    <w:p w:rsidR="00CA2F1C" w:rsidRDefault="008318CA">
      <w:pPr>
        <w:pStyle w:val="2"/>
        <w:spacing w:line="240" w:lineRule="auto"/>
        <w:rPr>
          <w:rFonts w:ascii="仿宋_GB2312" w:eastAsia="仿宋_GB2312" w:hAnsi="仿宋_GB2312" w:cs="仿宋_GB2312"/>
          <w:b w:val="0"/>
          <w:bCs w:val="0"/>
        </w:rPr>
      </w:pPr>
      <w:bookmarkStart w:id="48" w:name="_Toc287858628"/>
      <w:bookmarkStart w:id="49" w:name="_Toc31233"/>
      <w:r>
        <w:rPr>
          <w:rFonts w:ascii="仿宋_GB2312" w:eastAsia="仿宋_GB2312" w:hAnsi="仿宋_GB2312" w:cs="仿宋_GB2312" w:hint="eastAsia"/>
        </w:rPr>
        <w:t>六、国有建设用地供应计划实施的保障措施</w:t>
      </w:r>
      <w:bookmarkEnd w:id="48"/>
      <w:bookmarkEnd w:id="49"/>
    </w:p>
    <w:p w:rsidR="00CA2F1C" w:rsidRDefault="008318CA">
      <w:pPr>
        <w:pStyle w:val="2"/>
        <w:spacing w:line="240" w:lineRule="auto"/>
        <w:rPr>
          <w:rFonts w:ascii="仿宋_GB2312" w:eastAsia="仿宋_GB2312" w:hAnsi="仿宋_GB2312" w:cs="仿宋_GB2312"/>
          <w:b w:val="0"/>
          <w:bCs w:val="0"/>
        </w:rPr>
      </w:pPr>
      <w:bookmarkStart w:id="50" w:name="_Toc287858629"/>
      <w:bookmarkStart w:id="51" w:name="_Toc17720"/>
      <w:r>
        <w:rPr>
          <w:rFonts w:ascii="仿宋_GB2312" w:eastAsia="仿宋_GB2312" w:hAnsi="仿宋_GB2312" w:cs="仿宋_GB2312" w:hint="eastAsia"/>
        </w:rPr>
        <w:t>（一）舆论宣传</w:t>
      </w:r>
      <w:bookmarkEnd w:id="50"/>
      <w:bookmarkEnd w:id="51"/>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社会舆论反映人心的向背，影响着人们的行动和局势的发展，在造成或转移社会风气方面具有不可估量的影响。国有建设用地计划的编制，是国家加强土地宏观管理的一</w:t>
      </w:r>
      <w:r>
        <w:rPr>
          <w:rFonts w:ascii="仿宋_GB2312" w:eastAsia="仿宋_GB2312" w:hAnsi="仿宋_GB2312" w:cs="仿宋_GB2312" w:hint="eastAsia"/>
          <w:sz w:val="32"/>
          <w:szCs w:val="32"/>
        </w:rPr>
        <w:lastRenderedPageBreak/>
        <w:t>项战略措施，直接影响到国家土地管理法规政策的落实和土地宏观调控的效果。因此，要加强公众和利益部门的舆论引导，坚持以供给来制约和引导需求的土地利用原则，把建设用地的集约节约利用上升为全民的主流意识，为社会主义土地公有制服务，为社会主义经济建设服务，促进人地的和谐发展、促进土地资源的可持续利用。</w:t>
      </w:r>
    </w:p>
    <w:p w:rsidR="00CA2F1C" w:rsidRDefault="008318CA">
      <w:pPr>
        <w:pStyle w:val="2"/>
        <w:spacing w:line="240" w:lineRule="auto"/>
        <w:rPr>
          <w:rFonts w:ascii="仿宋_GB2312" w:eastAsia="仿宋_GB2312" w:hAnsi="仿宋_GB2312" w:cs="仿宋_GB2312"/>
          <w:b w:val="0"/>
          <w:bCs w:val="0"/>
        </w:rPr>
      </w:pPr>
      <w:bookmarkStart w:id="52" w:name="_Toc287858630"/>
      <w:bookmarkStart w:id="53" w:name="_Toc32243"/>
      <w:r>
        <w:rPr>
          <w:rFonts w:ascii="仿宋_GB2312" w:eastAsia="仿宋_GB2312" w:hAnsi="仿宋_GB2312" w:cs="仿宋_GB2312" w:hint="eastAsia"/>
        </w:rPr>
        <w:t>（二）部门配合</w:t>
      </w:r>
      <w:bookmarkEnd w:id="52"/>
      <w:bookmarkEnd w:id="53"/>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国有建设用地供应计划的编制，是一个综合平衡过程，牵涉到</w:t>
      </w:r>
      <w:r>
        <w:rPr>
          <w:rFonts w:ascii="仿宋_GB2312" w:eastAsia="仿宋_GB2312" w:hAnsi="仿宋_GB2312" w:cs="仿宋_GB2312" w:hint="eastAsia"/>
          <w:sz w:val="32"/>
          <w:szCs w:val="32"/>
        </w:rPr>
        <w:t>自然资源、建设、发改、经贸、财政等各个单位。</w:t>
      </w:r>
      <w:r>
        <w:rPr>
          <w:rFonts w:ascii="仿宋_GB2312" w:eastAsia="仿宋_GB2312" w:hAnsi="仿宋_GB2312" w:cs="仿宋_GB2312"/>
          <w:sz w:val="32"/>
          <w:szCs w:val="32"/>
        </w:rPr>
        <w:t>202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年的用地计划能够落实，关键在于各部门是否执行到位，因此要强化配合，形成合力，做好建设用地的管理工作。</w:t>
      </w:r>
    </w:p>
    <w:p w:rsidR="00CA2F1C" w:rsidRDefault="008318CA">
      <w:pPr>
        <w:pStyle w:val="2"/>
        <w:spacing w:line="240" w:lineRule="auto"/>
        <w:rPr>
          <w:rFonts w:ascii="仿宋_GB2312" w:eastAsia="仿宋_GB2312" w:hAnsi="仿宋_GB2312" w:cs="仿宋_GB2312"/>
          <w:b w:val="0"/>
        </w:rPr>
      </w:pPr>
      <w:bookmarkStart w:id="54" w:name="_Toc287858631"/>
      <w:bookmarkStart w:id="55" w:name="_Toc19920"/>
      <w:r>
        <w:rPr>
          <w:rFonts w:ascii="仿宋_GB2312" w:eastAsia="仿宋_GB2312" w:hAnsi="仿宋_GB2312" w:cs="仿宋_GB2312" w:hint="eastAsia"/>
        </w:rPr>
        <w:t>（三）相关激励</w:t>
      </w:r>
      <w:bookmarkEnd w:id="54"/>
      <w:bookmarkEnd w:id="55"/>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激励政策，就是要经济活动的当事人达到一种状态，在这种状态下，它具有从事某种经济活动的内在推动力。必须建立起相关激励机制，运用行政的、经济的、技术的、法律的激励机制，建立起城市土地的集约、节约利用激励机制、农用地保护的激励机制、农用地向建设用地最优转化激励机制等相关内容，确保</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年国有建设用地供应计划能够落到实处。</w:t>
      </w:r>
    </w:p>
    <w:p w:rsidR="00CA2F1C" w:rsidRDefault="008318CA">
      <w:pPr>
        <w:pStyle w:val="2"/>
        <w:spacing w:line="240" w:lineRule="auto"/>
        <w:rPr>
          <w:rFonts w:ascii="仿宋_GB2312" w:eastAsia="仿宋_GB2312" w:hAnsi="仿宋_GB2312" w:cs="仿宋_GB2312"/>
          <w:b w:val="0"/>
        </w:rPr>
      </w:pPr>
      <w:bookmarkStart w:id="56" w:name="_Toc287858632"/>
      <w:bookmarkStart w:id="57" w:name="_Toc21630"/>
      <w:r>
        <w:rPr>
          <w:rFonts w:ascii="仿宋_GB2312" w:eastAsia="仿宋_GB2312" w:hAnsi="仿宋_GB2312" w:cs="仿宋_GB2312" w:hint="eastAsia"/>
        </w:rPr>
        <w:lastRenderedPageBreak/>
        <w:t>（四）制度保障</w:t>
      </w:r>
      <w:bookmarkEnd w:id="56"/>
      <w:bookmarkEnd w:id="57"/>
    </w:p>
    <w:p w:rsidR="00CA2F1C" w:rsidRDefault="008318C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制度表</w:t>
      </w:r>
      <w:r>
        <w:rPr>
          <w:rFonts w:ascii="仿宋_GB2312" w:eastAsia="仿宋_GB2312" w:hAnsi="仿宋_GB2312" w:cs="仿宋_GB2312" w:hint="eastAsia"/>
          <w:sz w:val="32"/>
          <w:szCs w:val="32"/>
        </w:rPr>
        <w:t>现为管束人们行为的一系列规则。正式的制度是指人们有意识的创造一系列政策法规以及由这一系列规则构成的等级结构。制度具有降低交易成本，为经济提供服务，为合作创造条件，提供激励机制等功能为土地资源的持续利用作贡献。建设用地的供给计划本身就是一项建设用地管理的制度安排，关系到各部门各行业的切身利益，在其执行过程中，极易产生不确定性，因此，要建立和完善国有建设用地供应计划的执行、监督、考评、监测体系，做到权力与权威、谋断与决断的统一，确保</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年国有建设用地供应计划能够贯彻执行。</w:t>
      </w:r>
    </w:p>
    <w:p w:rsidR="00CA2F1C" w:rsidRDefault="008318CA">
      <w:pPr>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FF0000"/>
          <w:sz w:val="32"/>
          <w:szCs w:val="32"/>
        </w:rPr>
        <w:t>本计划向社会公开，网址为长汀县政府</w:t>
      </w:r>
      <w:r>
        <w:rPr>
          <w:rFonts w:ascii="仿宋_GB2312" w:eastAsia="仿宋_GB2312" w:hAnsi="仿宋_GB2312" w:cs="仿宋_GB2312" w:hint="eastAsia"/>
          <w:color w:val="FF0000"/>
          <w:sz w:val="32"/>
          <w:szCs w:val="32"/>
        </w:rPr>
        <w:t>网（网址：</w:t>
      </w:r>
      <w:r>
        <w:rPr>
          <w:rFonts w:ascii="仿宋_GB2312" w:eastAsia="仿宋_GB2312" w:hAnsi="仿宋_GB2312" w:cs="仿宋_GB2312"/>
          <w:color w:val="FF0000"/>
          <w:sz w:val="32"/>
          <w:szCs w:val="32"/>
        </w:rPr>
        <w:t>http://www.changting.gov.cn/</w:t>
      </w:r>
      <w:r>
        <w:rPr>
          <w:rFonts w:ascii="仿宋_GB2312" w:eastAsia="仿宋_GB2312" w:hAnsi="仿宋_GB2312" w:cs="仿宋_GB2312" w:hint="eastAsia"/>
          <w:color w:val="FF0000"/>
          <w:sz w:val="32"/>
          <w:szCs w:val="32"/>
        </w:rPr>
        <w:t>），中国土地市场网（网址：</w:t>
      </w:r>
      <w:r>
        <w:rPr>
          <w:rFonts w:ascii="仿宋_GB2312" w:eastAsia="仿宋_GB2312" w:hAnsi="仿宋_GB2312" w:cs="仿宋_GB2312"/>
          <w:color w:val="FF0000"/>
          <w:sz w:val="32"/>
          <w:szCs w:val="32"/>
        </w:rPr>
        <w:t>https://www.landchina.com/</w:t>
      </w:r>
      <w:r>
        <w:rPr>
          <w:rFonts w:ascii="仿宋_GB2312" w:eastAsia="仿宋_GB2312" w:hAnsi="仿宋_GB2312" w:cs="仿宋_GB2312" w:hint="eastAsia"/>
          <w:color w:val="FF0000"/>
          <w:sz w:val="32"/>
          <w:szCs w:val="32"/>
        </w:rPr>
        <w:t>）。</w:t>
      </w:r>
    </w:p>
    <w:p w:rsidR="00CA2F1C" w:rsidRDefault="00CA2F1C">
      <w:pPr>
        <w:ind w:firstLineChars="200" w:firstLine="420"/>
      </w:pPr>
    </w:p>
    <w:p w:rsidR="00CA2F1C" w:rsidRDefault="00CA2F1C">
      <w:pPr>
        <w:ind w:firstLineChars="200" w:firstLine="420"/>
        <w:sectPr w:rsidR="00CA2F1C">
          <w:footerReference w:type="default" r:id="rId11"/>
          <w:pgSz w:w="11906" w:h="16838"/>
          <w:pgMar w:top="1440" w:right="1800" w:bottom="1440" w:left="1800" w:header="851" w:footer="992" w:gutter="0"/>
          <w:pgNumType w:fmt="numberInDash" w:start="1"/>
          <w:cols w:space="720"/>
          <w:docGrid w:type="lines" w:linePitch="312"/>
        </w:sectPr>
      </w:pPr>
    </w:p>
    <w:p w:rsidR="00CA2F1C" w:rsidRDefault="008318CA">
      <w:pPr>
        <w:pStyle w:val="2"/>
        <w:spacing w:line="240" w:lineRule="auto"/>
      </w:pPr>
      <w:bookmarkStart w:id="58" w:name="_Toc22288_WPSOffice_Level1"/>
      <w:bookmarkStart w:id="59" w:name="_Toc28758"/>
      <w:bookmarkStart w:id="60" w:name="_Toc9841_WPSOffice_Level1"/>
      <w:r>
        <w:lastRenderedPageBreak/>
        <w:t>附</w:t>
      </w:r>
      <w:bookmarkStart w:id="61" w:name="_Toc17532_WPSOffice_Level1"/>
      <w:bookmarkEnd w:id="58"/>
      <w:r>
        <w:t>表</w:t>
      </w:r>
      <w:r>
        <w:rPr>
          <w:rFonts w:hint="eastAsia"/>
        </w:rPr>
        <w:t>1</w:t>
      </w:r>
      <w:r>
        <w:rPr>
          <w:rFonts w:hint="eastAsia"/>
        </w:rPr>
        <w:t>：</w:t>
      </w:r>
      <w:bookmarkEnd w:id="59"/>
      <w:bookmarkEnd w:id="60"/>
      <w:bookmarkEnd w:id="61"/>
    </w:p>
    <w:p w:rsidR="00CA2F1C" w:rsidRDefault="008318CA">
      <w:pPr>
        <w:pStyle w:val="2"/>
        <w:spacing w:line="240" w:lineRule="auto"/>
        <w:rPr>
          <w:b w:val="0"/>
          <w:bCs w:val="0"/>
        </w:rPr>
      </w:pPr>
      <w:bookmarkStart w:id="62" w:name="_Toc5402"/>
      <w:r>
        <w:rPr>
          <w:rFonts w:hint="eastAsia"/>
        </w:rPr>
        <w:t>长汀县</w:t>
      </w:r>
      <w:r>
        <w:rPr>
          <w:rFonts w:hint="eastAsia"/>
        </w:rPr>
        <w:t>2</w:t>
      </w:r>
      <w:r>
        <w:t>02</w:t>
      </w:r>
      <w:r>
        <w:t>3</w:t>
      </w:r>
      <w:r>
        <w:rPr>
          <w:rFonts w:hint="eastAsia"/>
        </w:rPr>
        <w:t>年度住宅用地供应计划表</w:t>
      </w:r>
      <w:bookmarkEnd w:id="62"/>
    </w:p>
    <w:p w:rsidR="00CA2F1C" w:rsidRDefault="008318CA">
      <w:pPr>
        <w:ind w:firstLineChars="200" w:firstLine="420"/>
        <w:jc w:val="right"/>
      </w:pPr>
      <w:r>
        <w:rPr>
          <w:rFonts w:hint="eastAsia"/>
        </w:rPr>
        <w:t>单位：公顷</w:t>
      </w:r>
    </w:p>
    <w:tbl>
      <w:tblPr>
        <w:tblpPr w:leftFromText="180" w:rightFromText="180" w:vertAnchor="text" w:horzAnchor="margin" w:tblpY="32"/>
        <w:tblW w:w="13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1014"/>
        <w:gridCol w:w="1400"/>
        <w:gridCol w:w="1400"/>
        <w:gridCol w:w="1403"/>
        <w:gridCol w:w="1498"/>
        <w:gridCol w:w="1385"/>
        <w:gridCol w:w="1320"/>
        <w:gridCol w:w="2165"/>
      </w:tblGrid>
      <w:tr w:rsidR="00CA2F1C">
        <w:trPr>
          <w:trHeight w:val="1047"/>
        </w:trPr>
        <w:tc>
          <w:tcPr>
            <w:tcW w:w="1786"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片区</w:t>
            </w:r>
          </w:p>
        </w:tc>
        <w:tc>
          <w:tcPr>
            <w:tcW w:w="1014"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总量</w:t>
            </w:r>
          </w:p>
        </w:tc>
        <w:tc>
          <w:tcPr>
            <w:tcW w:w="4203" w:type="dxa"/>
            <w:gridSpan w:val="3"/>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产权住宅用地</w:t>
            </w:r>
          </w:p>
        </w:tc>
        <w:tc>
          <w:tcPr>
            <w:tcW w:w="4203" w:type="dxa"/>
            <w:gridSpan w:val="3"/>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租赁住宅用地</w:t>
            </w:r>
          </w:p>
        </w:tc>
        <w:tc>
          <w:tcPr>
            <w:tcW w:w="2165"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其他住宅用地</w:t>
            </w:r>
          </w:p>
        </w:tc>
      </w:tr>
      <w:tr w:rsidR="00CA2F1C">
        <w:trPr>
          <w:trHeight w:val="1007"/>
        </w:trPr>
        <w:tc>
          <w:tcPr>
            <w:tcW w:w="1786" w:type="dxa"/>
            <w:vMerge/>
            <w:vAlign w:val="center"/>
          </w:tcPr>
          <w:p w:rsidR="00CA2F1C" w:rsidRDefault="00CA2F1C">
            <w:pPr>
              <w:widowControl/>
              <w:jc w:val="center"/>
              <w:rPr>
                <w:rFonts w:ascii="仿宋_GB2312" w:eastAsia="仿宋_GB2312" w:hAnsi="宋体" w:cs="宋体"/>
                <w:b/>
                <w:bCs/>
                <w:kern w:val="0"/>
                <w:sz w:val="24"/>
              </w:rPr>
            </w:pPr>
          </w:p>
        </w:tc>
        <w:tc>
          <w:tcPr>
            <w:tcW w:w="1014" w:type="dxa"/>
            <w:vMerge/>
            <w:vAlign w:val="center"/>
          </w:tcPr>
          <w:p w:rsidR="00CA2F1C" w:rsidRDefault="00CA2F1C">
            <w:pPr>
              <w:widowControl/>
              <w:jc w:val="center"/>
              <w:rPr>
                <w:rFonts w:ascii="仿宋_GB2312" w:eastAsia="仿宋_GB2312" w:hAnsi="宋体" w:cs="宋体"/>
                <w:b/>
                <w:bCs/>
                <w:kern w:val="0"/>
                <w:sz w:val="24"/>
              </w:rPr>
            </w:pPr>
          </w:p>
        </w:tc>
        <w:tc>
          <w:tcPr>
            <w:tcW w:w="1400"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商品</w:t>
            </w:r>
          </w:p>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住宅用地</w:t>
            </w:r>
          </w:p>
        </w:tc>
        <w:tc>
          <w:tcPr>
            <w:tcW w:w="1400"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共有产权</w:t>
            </w:r>
          </w:p>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住宅用地</w:t>
            </w:r>
          </w:p>
        </w:tc>
        <w:tc>
          <w:tcPr>
            <w:tcW w:w="1401"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小计</w:t>
            </w:r>
          </w:p>
        </w:tc>
        <w:tc>
          <w:tcPr>
            <w:tcW w:w="1498"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保障性租赁住宅用地</w:t>
            </w:r>
          </w:p>
        </w:tc>
        <w:tc>
          <w:tcPr>
            <w:tcW w:w="1385"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市场化租赁住宅用地</w:t>
            </w:r>
          </w:p>
        </w:tc>
        <w:tc>
          <w:tcPr>
            <w:tcW w:w="1319" w:type="dxa"/>
            <w:vMerge w:val="restart"/>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小计</w:t>
            </w:r>
          </w:p>
        </w:tc>
        <w:tc>
          <w:tcPr>
            <w:tcW w:w="2165" w:type="dxa"/>
            <w:vMerge/>
            <w:vAlign w:val="center"/>
          </w:tcPr>
          <w:p w:rsidR="00CA2F1C" w:rsidRDefault="00CA2F1C">
            <w:pPr>
              <w:widowControl/>
              <w:jc w:val="center"/>
              <w:rPr>
                <w:rFonts w:ascii="仿宋_GB2312" w:eastAsia="仿宋_GB2312" w:hAnsi="宋体" w:cs="宋体"/>
                <w:b/>
                <w:bCs/>
                <w:kern w:val="0"/>
                <w:sz w:val="24"/>
              </w:rPr>
            </w:pPr>
          </w:p>
        </w:tc>
      </w:tr>
      <w:tr w:rsidR="00CA2F1C">
        <w:trPr>
          <w:trHeight w:val="1007"/>
        </w:trPr>
        <w:tc>
          <w:tcPr>
            <w:tcW w:w="1786" w:type="dxa"/>
            <w:vMerge/>
            <w:vAlign w:val="center"/>
          </w:tcPr>
          <w:p w:rsidR="00CA2F1C" w:rsidRDefault="00CA2F1C">
            <w:pPr>
              <w:widowControl/>
              <w:jc w:val="center"/>
              <w:rPr>
                <w:rFonts w:ascii="仿宋_GB2312" w:eastAsia="仿宋_GB2312" w:hAnsi="宋体" w:cs="宋体"/>
                <w:b/>
                <w:bCs/>
                <w:kern w:val="0"/>
                <w:sz w:val="24"/>
              </w:rPr>
            </w:pPr>
          </w:p>
        </w:tc>
        <w:tc>
          <w:tcPr>
            <w:tcW w:w="1014" w:type="dxa"/>
            <w:vMerge/>
            <w:vAlign w:val="center"/>
          </w:tcPr>
          <w:p w:rsidR="00CA2F1C" w:rsidRDefault="00CA2F1C">
            <w:pPr>
              <w:widowControl/>
              <w:jc w:val="center"/>
              <w:rPr>
                <w:rFonts w:ascii="仿宋_GB2312" w:eastAsia="仿宋_GB2312" w:hAnsi="宋体" w:cs="宋体"/>
                <w:b/>
                <w:bCs/>
                <w:kern w:val="0"/>
                <w:sz w:val="24"/>
              </w:rPr>
            </w:pPr>
          </w:p>
        </w:tc>
        <w:tc>
          <w:tcPr>
            <w:tcW w:w="1400" w:type="dxa"/>
            <w:vMerge/>
            <w:vAlign w:val="center"/>
          </w:tcPr>
          <w:p w:rsidR="00CA2F1C" w:rsidRDefault="00CA2F1C">
            <w:pPr>
              <w:widowControl/>
              <w:jc w:val="center"/>
              <w:rPr>
                <w:rFonts w:ascii="仿宋_GB2312" w:eastAsia="仿宋_GB2312" w:hAnsi="宋体" w:cs="宋体"/>
                <w:b/>
                <w:bCs/>
                <w:kern w:val="0"/>
                <w:sz w:val="24"/>
              </w:rPr>
            </w:pPr>
          </w:p>
        </w:tc>
        <w:tc>
          <w:tcPr>
            <w:tcW w:w="1400" w:type="dxa"/>
            <w:vMerge/>
            <w:vAlign w:val="center"/>
          </w:tcPr>
          <w:p w:rsidR="00CA2F1C" w:rsidRDefault="00CA2F1C">
            <w:pPr>
              <w:widowControl/>
              <w:jc w:val="center"/>
              <w:rPr>
                <w:rFonts w:ascii="仿宋_GB2312" w:eastAsia="仿宋_GB2312" w:hAnsi="宋体" w:cs="宋体"/>
                <w:b/>
                <w:bCs/>
                <w:kern w:val="0"/>
                <w:sz w:val="24"/>
              </w:rPr>
            </w:pPr>
          </w:p>
        </w:tc>
        <w:tc>
          <w:tcPr>
            <w:tcW w:w="1401" w:type="dxa"/>
            <w:vMerge/>
            <w:vAlign w:val="center"/>
          </w:tcPr>
          <w:p w:rsidR="00CA2F1C" w:rsidRDefault="00CA2F1C">
            <w:pPr>
              <w:widowControl/>
              <w:jc w:val="center"/>
              <w:rPr>
                <w:rFonts w:ascii="仿宋_GB2312" w:eastAsia="仿宋_GB2312" w:hAnsi="宋体" w:cs="宋体"/>
                <w:b/>
                <w:bCs/>
                <w:kern w:val="0"/>
                <w:sz w:val="24"/>
              </w:rPr>
            </w:pPr>
          </w:p>
        </w:tc>
        <w:tc>
          <w:tcPr>
            <w:tcW w:w="1498" w:type="dxa"/>
            <w:vMerge/>
            <w:vAlign w:val="center"/>
          </w:tcPr>
          <w:p w:rsidR="00CA2F1C" w:rsidRDefault="00CA2F1C">
            <w:pPr>
              <w:widowControl/>
              <w:jc w:val="center"/>
              <w:rPr>
                <w:rFonts w:ascii="仿宋_GB2312" w:eastAsia="仿宋_GB2312" w:hAnsi="宋体" w:cs="宋体"/>
                <w:b/>
                <w:bCs/>
                <w:kern w:val="0"/>
                <w:sz w:val="24"/>
              </w:rPr>
            </w:pPr>
          </w:p>
        </w:tc>
        <w:tc>
          <w:tcPr>
            <w:tcW w:w="1385" w:type="dxa"/>
            <w:vMerge/>
            <w:vAlign w:val="center"/>
          </w:tcPr>
          <w:p w:rsidR="00CA2F1C" w:rsidRDefault="00CA2F1C">
            <w:pPr>
              <w:widowControl/>
              <w:jc w:val="center"/>
              <w:rPr>
                <w:rFonts w:ascii="仿宋_GB2312" w:eastAsia="仿宋_GB2312" w:hAnsi="宋体" w:cs="宋体"/>
                <w:b/>
                <w:bCs/>
                <w:kern w:val="0"/>
                <w:sz w:val="24"/>
              </w:rPr>
            </w:pPr>
          </w:p>
        </w:tc>
        <w:tc>
          <w:tcPr>
            <w:tcW w:w="1319" w:type="dxa"/>
            <w:vMerge/>
            <w:vAlign w:val="center"/>
          </w:tcPr>
          <w:p w:rsidR="00CA2F1C" w:rsidRDefault="00CA2F1C">
            <w:pPr>
              <w:widowControl/>
              <w:jc w:val="center"/>
              <w:rPr>
                <w:rFonts w:ascii="仿宋_GB2312" w:eastAsia="仿宋_GB2312" w:hAnsi="宋体" w:cs="宋体"/>
                <w:b/>
                <w:bCs/>
                <w:kern w:val="0"/>
                <w:sz w:val="24"/>
              </w:rPr>
            </w:pPr>
          </w:p>
        </w:tc>
        <w:tc>
          <w:tcPr>
            <w:tcW w:w="2165" w:type="dxa"/>
            <w:vMerge/>
            <w:vAlign w:val="center"/>
          </w:tcPr>
          <w:p w:rsidR="00CA2F1C" w:rsidRDefault="00CA2F1C">
            <w:pPr>
              <w:widowControl/>
              <w:jc w:val="center"/>
              <w:rPr>
                <w:rFonts w:ascii="仿宋_GB2312" w:eastAsia="仿宋_GB2312" w:hAnsi="宋体" w:cs="宋体"/>
                <w:b/>
                <w:bCs/>
                <w:kern w:val="0"/>
                <w:sz w:val="24"/>
              </w:rPr>
            </w:pPr>
          </w:p>
        </w:tc>
      </w:tr>
      <w:tr w:rsidR="00CA2F1C">
        <w:trPr>
          <w:trHeight w:val="1007"/>
        </w:trPr>
        <w:tc>
          <w:tcPr>
            <w:tcW w:w="1786" w:type="dxa"/>
            <w:vAlign w:val="center"/>
          </w:tcPr>
          <w:p w:rsidR="00CA2F1C" w:rsidRDefault="00CA2F1C">
            <w:pPr>
              <w:widowControl/>
              <w:jc w:val="center"/>
              <w:rPr>
                <w:rFonts w:ascii="仿宋_GB2312" w:eastAsia="仿宋_GB2312" w:hAnsi="宋体" w:cs="宋体"/>
                <w:kern w:val="0"/>
                <w:sz w:val="24"/>
              </w:rPr>
            </w:pPr>
          </w:p>
        </w:tc>
        <w:tc>
          <w:tcPr>
            <w:tcW w:w="1014"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①</w:t>
            </w:r>
          </w:p>
        </w:tc>
        <w:tc>
          <w:tcPr>
            <w:tcW w:w="1400"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②</w:t>
            </w:r>
          </w:p>
        </w:tc>
        <w:tc>
          <w:tcPr>
            <w:tcW w:w="1400"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③</w:t>
            </w:r>
          </w:p>
        </w:tc>
        <w:tc>
          <w:tcPr>
            <w:tcW w:w="1401"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④</w:t>
            </w:r>
          </w:p>
        </w:tc>
        <w:tc>
          <w:tcPr>
            <w:tcW w:w="1498"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⑤</w:t>
            </w:r>
          </w:p>
        </w:tc>
        <w:tc>
          <w:tcPr>
            <w:tcW w:w="1385"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⑥</w:t>
            </w:r>
          </w:p>
        </w:tc>
        <w:tc>
          <w:tcPr>
            <w:tcW w:w="1319"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⑦</w:t>
            </w:r>
          </w:p>
        </w:tc>
        <w:tc>
          <w:tcPr>
            <w:tcW w:w="2165"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⑧</w:t>
            </w:r>
          </w:p>
        </w:tc>
      </w:tr>
      <w:tr w:rsidR="00CA2F1C">
        <w:trPr>
          <w:trHeight w:val="1007"/>
        </w:trPr>
        <w:tc>
          <w:tcPr>
            <w:tcW w:w="1786"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合计</w:t>
            </w:r>
          </w:p>
        </w:tc>
        <w:tc>
          <w:tcPr>
            <w:tcW w:w="1014" w:type="dxa"/>
            <w:vAlign w:val="center"/>
          </w:tcPr>
          <w:p w:rsidR="00CA2F1C" w:rsidRDefault="00CA2F1C">
            <w:pPr>
              <w:widowControl/>
              <w:jc w:val="center"/>
              <w:rPr>
                <w:rFonts w:ascii="仿宋_GB2312" w:eastAsia="仿宋_GB2312" w:hAnsi="宋体" w:cs="宋体"/>
                <w:b/>
                <w:bCs/>
                <w:kern w:val="0"/>
                <w:sz w:val="24"/>
              </w:rPr>
            </w:pPr>
          </w:p>
        </w:tc>
        <w:tc>
          <w:tcPr>
            <w:tcW w:w="1400" w:type="dxa"/>
            <w:vAlign w:val="center"/>
          </w:tcPr>
          <w:p w:rsidR="00CA2F1C" w:rsidRDefault="00CA2F1C">
            <w:pPr>
              <w:widowControl/>
              <w:jc w:val="center"/>
              <w:rPr>
                <w:rFonts w:ascii="仿宋_GB2312" w:eastAsia="仿宋_GB2312" w:hAnsi="宋体" w:cs="宋体"/>
                <w:b/>
                <w:bCs/>
                <w:kern w:val="0"/>
                <w:sz w:val="24"/>
              </w:rPr>
            </w:pPr>
          </w:p>
        </w:tc>
        <w:tc>
          <w:tcPr>
            <w:tcW w:w="1400"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401"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498"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385"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319"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2165" w:type="dxa"/>
            <w:vAlign w:val="center"/>
          </w:tcPr>
          <w:p w:rsidR="00CA2F1C" w:rsidRDefault="008318C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r>
      <w:tr w:rsidR="00CA2F1C">
        <w:trPr>
          <w:trHeight w:val="1007"/>
        </w:trPr>
        <w:tc>
          <w:tcPr>
            <w:tcW w:w="1786"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城市周边</w:t>
            </w:r>
          </w:p>
        </w:tc>
        <w:tc>
          <w:tcPr>
            <w:tcW w:w="1014" w:type="dxa"/>
            <w:vAlign w:val="center"/>
          </w:tcPr>
          <w:p w:rsidR="00CA2F1C" w:rsidRDefault="00CA2F1C">
            <w:pPr>
              <w:widowControl/>
              <w:jc w:val="center"/>
              <w:rPr>
                <w:rFonts w:ascii="仿宋_GB2312" w:eastAsia="仿宋_GB2312" w:hAnsi="宋体" w:cs="宋体"/>
                <w:kern w:val="0"/>
                <w:sz w:val="24"/>
              </w:rPr>
            </w:pPr>
          </w:p>
        </w:tc>
        <w:tc>
          <w:tcPr>
            <w:tcW w:w="1400" w:type="dxa"/>
            <w:vAlign w:val="center"/>
          </w:tcPr>
          <w:p w:rsidR="00CA2F1C" w:rsidRDefault="00CA2F1C">
            <w:pPr>
              <w:widowControl/>
              <w:jc w:val="center"/>
              <w:rPr>
                <w:rFonts w:ascii="仿宋_GB2312" w:eastAsia="仿宋_GB2312" w:hAnsi="宋体" w:cs="宋体"/>
                <w:kern w:val="0"/>
                <w:sz w:val="24"/>
              </w:rPr>
            </w:pPr>
          </w:p>
        </w:tc>
        <w:tc>
          <w:tcPr>
            <w:tcW w:w="1400"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401"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498"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385"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319" w:type="dxa"/>
            <w:vAlign w:val="center"/>
          </w:tcPr>
          <w:p w:rsidR="00CA2F1C" w:rsidRDefault="008318CA">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165" w:type="dxa"/>
            <w:vAlign w:val="center"/>
          </w:tcPr>
          <w:p w:rsidR="00CA2F1C" w:rsidRDefault="00CA2F1C">
            <w:pPr>
              <w:widowControl/>
              <w:jc w:val="center"/>
              <w:rPr>
                <w:rFonts w:ascii="仿宋_GB2312" w:eastAsia="仿宋_GB2312" w:hAnsi="宋体" w:cs="宋体"/>
                <w:kern w:val="0"/>
                <w:sz w:val="24"/>
              </w:rPr>
            </w:pPr>
          </w:p>
        </w:tc>
      </w:tr>
    </w:tbl>
    <w:p w:rsidR="00CA2F1C" w:rsidRDefault="008318CA">
      <w:pPr>
        <w:pStyle w:val="2"/>
        <w:spacing w:line="240" w:lineRule="auto"/>
      </w:pPr>
      <w:bookmarkStart w:id="63" w:name="_Toc26137"/>
      <w:bookmarkStart w:id="64" w:name="_Hlk67924025"/>
      <w:r>
        <w:rPr>
          <w:rFonts w:hint="eastAsia"/>
        </w:rPr>
        <w:lastRenderedPageBreak/>
        <w:t>附表</w:t>
      </w:r>
      <w:r>
        <w:rPr>
          <w:rFonts w:hint="eastAsia"/>
        </w:rPr>
        <w:t>2</w:t>
      </w:r>
      <w:r>
        <w:rPr>
          <w:rFonts w:hint="eastAsia"/>
        </w:rPr>
        <w:t>：</w:t>
      </w:r>
      <w:bookmarkEnd w:id="63"/>
    </w:p>
    <w:p w:rsidR="00CA2F1C" w:rsidRDefault="008318CA">
      <w:pPr>
        <w:pStyle w:val="2"/>
        <w:spacing w:line="240" w:lineRule="auto"/>
        <w:rPr>
          <w:b w:val="0"/>
          <w:bCs w:val="0"/>
        </w:rPr>
      </w:pPr>
      <w:bookmarkStart w:id="65" w:name="_Toc31913"/>
      <w:bookmarkStart w:id="66" w:name="OLE_LINK6"/>
      <w:bookmarkEnd w:id="64"/>
      <w:r>
        <w:rPr>
          <w:rFonts w:hint="eastAsia"/>
        </w:rPr>
        <w:t>长汀县</w:t>
      </w:r>
      <w:r>
        <w:rPr>
          <w:rFonts w:hint="eastAsia"/>
        </w:rPr>
        <w:t>2</w:t>
      </w:r>
      <w:r>
        <w:t>02</w:t>
      </w:r>
      <w:r>
        <w:t>3</w:t>
      </w:r>
      <w:r>
        <w:rPr>
          <w:rFonts w:hint="eastAsia"/>
        </w:rPr>
        <w:t>年度住宅用地供应计划宗地表</w:t>
      </w:r>
      <w:bookmarkEnd w:id="65"/>
    </w:p>
    <w:tbl>
      <w:tblPr>
        <w:tblStyle w:val="a7"/>
        <w:tblpPr w:leftFromText="180" w:rightFromText="180" w:vertAnchor="text" w:horzAnchor="margin" w:tblpY="408"/>
        <w:tblW w:w="13518" w:type="dxa"/>
        <w:tblLayout w:type="fixed"/>
        <w:tblLook w:val="04A0"/>
      </w:tblPr>
      <w:tblGrid>
        <w:gridCol w:w="788"/>
        <w:gridCol w:w="1504"/>
        <w:gridCol w:w="2602"/>
        <w:gridCol w:w="1373"/>
        <w:gridCol w:w="2009"/>
        <w:gridCol w:w="1409"/>
        <w:gridCol w:w="1916"/>
        <w:gridCol w:w="1917"/>
      </w:tblGrid>
      <w:tr w:rsidR="00CA2F1C">
        <w:trPr>
          <w:trHeight w:val="881"/>
        </w:trPr>
        <w:tc>
          <w:tcPr>
            <w:tcW w:w="788" w:type="dxa"/>
            <w:vAlign w:val="center"/>
          </w:tcPr>
          <w:p w:rsidR="00CA2F1C" w:rsidRDefault="008318CA">
            <w:pPr>
              <w:jc w:val="center"/>
              <w:rPr>
                <w:rFonts w:ascii="仿宋_GB2312" w:eastAsia="仿宋_GB2312" w:hAnsi="Times New Roman"/>
                <w:sz w:val="28"/>
                <w:szCs w:val="28"/>
              </w:rPr>
            </w:pPr>
            <w:bookmarkStart w:id="67" w:name="_Hlk67924172"/>
            <w:bookmarkStart w:id="68" w:name="OLE_LINK9"/>
            <w:bookmarkEnd w:id="66"/>
            <w:r>
              <w:rPr>
                <w:rFonts w:ascii="仿宋_GB2312" w:eastAsia="仿宋_GB2312" w:hAnsi="Times New Roman" w:hint="eastAsia"/>
                <w:sz w:val="28"/>
                <w:szCs w:val="28"/>
              </w:rPr>
              <w:t>序号</w:t>
            </w:r>
          </w:p>
        </w:tc>
        <w:tc>
          <w:tcPr>
            <w:tcW w:w="1504"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宗地编号</w:t>
            </w:r>
          </w:p>
        </w:tc>
        <w:tc>
          <w:tcPr>
            <w:tcW w:w="2602"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宗地坐落</w:t>
            </w:r>
          </w:p>
        </w:tc>
        <w:tc>
          <w:tcPr>
            <w:tcW w:w="1373"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宗地面积</w:t>
            </w:r>
          </w:p>
        </w:tc>
        <w:tc>
          <w:tcPr>
            <w:tcW w:w="2009"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住宅用地类型</w:t>
            </w:r>
          </w:p>
        </w:tc>
        <w:tc>
          <w:tcPr>
            <w:tcW w:w="1409"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供应方式</w:t>
            </w:r>
          </w:p>
        </w:tc>
        <w:tc>
          <w:tcPr>
            <w:tcW w:w="1916" w:type="dxa"/>
            <w:vAlign w:val="center"/>
          </w:tcPr>
          <w:p w:rsidR="00CA2F1C" w:rsidRDefault="008318CA">
            <w:pPr>
              <w:jc w:val="center"/>
              <w:rPr>
                <w:rFonts w:ascii="仿宋_GB2312" w:eastAsia="仿宋_GB2312" w:hAnsi="Times New Roman"/>
                <w:sz w:val="28"/>
                <w:szCs w:val="28"/>
              </w:rPr>
            </w:pPr>
            <w:bookmarkStart w:id="69" w:name="OLE_LINK1"/>
            <w:bookmarkStart w:id="70" w:name="OLE_LINK2"/>
            <w:r>
              <w:rPr>
                <w:rFonts w:ascii="仿宋_GB2312" w:eastAsia="仿宋_GB2312" w:hAnsi="Times New Roman" w:hint="eastAsia"/>
                <w:sz w:val="28"/>
                <w:szCs w:val="28"/>
              </w:rPr>
              <w:t>计划供应时间</w:t>
            </w:r>
            <w:bookmarkEnd w:id="69"/>
            <w:bookmarkEnd w:id="70"/>
          </w:p>
        </w:tc>
        <w:tc>
          <w:tcPr>
            <w:tcW w:w="1917" w:type="dxa"/>
            <w:vAlign w:val="center"/>
          </w:tcPr>
          <w:p w:rsidR="00CA2F1C" w:rsidRDefault="008318CA">
            <w:pPr>
              <w:jc w:val="center"/>
              <w:rPr>
                <w:rFonts w:ascii="仿宋_GB2312" w:eastAsia="仿宋_GB2312" w:hAnsi="Times New Roman"/>
                <w:sz w:val="28"/>
                <w:szCs w:val="28"/>
              </w:rPr>
            </w:pPr>
            <w:r>
              <w:rPr>
                <w:rFonts w:ascii="仿宋_GB2312" w:eastAsia="仿宋_GB2312" w:hAnsi="Times New Roman" w:hint="eastAsia"/>
                <w:sz w:val="28"/>
                <w:szCs w:val="28"/>
              </w:rPr>
              <w:t>备注</w:t>
            </w:r>
          </w:p>
        </w:tc>
      </w:tr>
      <w:tr w:rsidR="00CA2F1C">
        <w:trPr>
          <w:trHeight w:val="881"/>
        </w:trPr>
        <w:tc>
          <w:tcPr>
            <w:tcW w:w="788"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1</w:t>
            </w:r>
          </w:p>
        </w:tc>
        <w:tc>
          <w:tcPr>
            <w:tcW w:w="1504"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P01</w:t>
            </w:r>
          </w:p>
        </w:tc>
        <w:tc>
          <w:tcPr>
            <w:tcW w:w="2602"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大同镇新民村</w:t>
            </w:r>
          </w:p>
        </w:tc>
        <w:tc>
          <w:tcPr>
            <w:tcW w:w="1373"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8887</w:t>
            </w:r>
          </w:p>
        </w:tc>
        <w:tc>
          <w:tcPr>
            <w:tcW w:w="2009" w:type="dxa"/>
            <w:vAlign w:val="center"/>
          </w:tcPr>
          <w:p w:rsidR="00CA2F1C" w:rsidRDefault="008318CA">
            <w:pPr>
              <w:spacing w:line="320" w:lineRule="exact"/>
              <w:jc w:val="center"/>
              <w:rPr>
                <w:rFonts w:ascii="仿宋_GB2312" w:eastAsia="仿宋_GB2312" w:hAnsi="Times New Roman"/>
                <w:sz w:val="28"/>
                <w:szCs w:val="28"/>
              </w:rPr>
            </w:pPr>
            <w:bookmarkStart w:id="71" w:name="OLE_LINK8"/>
            <w:r>
              <w:rPr>
                <w:rFonts w:ascii="仿宋_GB2312" w:eastAsia="仿宋_GB2312" w:hAnsi="Times New Roman" w:hint="eastAsia"/>
                <w:sz w:val="28"/>
                <w:szCs w:val="28"/>
              </w:rPr>
              <w:t>商品住宅用地</w:t>
            </w:r>
            <w:bookmarkEnd w:id="71"/>
          </w:p>
        </w:tc>
        <w:tc>
          <w:tcPr>
            <w:tcW w:w="14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一季度</w:t>
            </w: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r w:rsidR="00CA2F1C">
        <w:trPr>
          <w:trHeight w:val="881"/>
        </w:trPr>
        <w:tc>
          <w:tcPr>
            <w:tcW w:w="788"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2</w:t>
            </w:r>
          </w:p>
        </w:tc>
        <w:tc>
          <w:tcPr>
            <w:tcW w:w="1504"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P02</w:t>
            </w:r>
          </w:p>
        </w:tc>
        <w:tc>
          <w:tcPr>
            <w:tcW w:w="2602"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大同镇新民村</w:t>
            </w:r>
          </w:p>
        </w:tc>
        <w:tc>
          <w:tcPr>
            <w:tcW w:w="1373"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15621</w:t>
            </w:r>
          </w:p>
        </w:tc>
        <w:tc>
          <w:tcPr>
            <w:tcW w:w="20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一季度</w:t>
            </w: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r w:rsidR="00CA2F1C">
        <w:trPr>
          <w:trHeight w:val="881"/>
        </w:trPr>
        <w:tc>
          <w:tcPr>
            <w:tcW w:w="788"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3</w:t>
            </w:r>
          </w:p>
        </w:tc>
        <w:tc>
          <w:tcPr>
            <w:tcW w:w="1504"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P03</w:t>
            </w:r>
          </w:p>
        </w:tc>
        <w:tc>
          <w:tcPr>
            <w:tcW w:w="2602"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大同镇罗坊村</w:t>
            </w:r>
          </w:p>
        </w:tc>
        <w:tc>
          <w:tcPr>
            <w:tcW w:w="1373"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35100</w:t>
            </w:r>
          </w:p>
        </w:tc>
        <w:tc>
          <w:tcPr>
            <w:tcW w:w="20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二、三季度</w:t>
            </w: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r w:rsidR="00CA2F1C">
        <w:trPr>
          <w:trHeight w:val="881"/>
        </w:trPr>
        <w:tc>
          <w:tcPr>
            <w:tcW w:w="788"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4</w:t>
            </w:r>
          </w:p>
        </w:tc>
        <w:tc>
          <w:tcPr>
            <w:tcW w:w="1504"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P04</w:t>
            </w:r>
          </w:p>
        </w:tc>
        <w:tc>
          <w:tcPr>
            <w:tcW w:w="2602"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大同镇南里村</w:t>
            </w:r>
          </w:p>
        </w:tc>
        <w:tc>
          <w:tcPr>
            <w:tcW w:w="1373"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6</w:t>
            </w:r>
            <w:r>
              <w:rPr>
                <w:rFonts w:ascii="仿宋_GB2312" w:eastAsia="仿宋_GB2312" w:hAnsi="Times New Roman"/>
                <w:sz w:val="28"/>
                <w:szCs w:val="28"/>
              </w:rPr>
              <w:t>2000</w:t>
            </w:r>
          </w:p>
        </w:tc>
        <w:tc>
          <w:tcPr>
            <w:tcW w:w="20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三、四季度</w:t>
            </w: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r w:rsidR="00CA2F1C">
        <w:trPr>
          <w:trHeight w:val="881"/>
        </w:trPr>
        <w:tc>
          <w:tcPr>
            <w:tcW w:w="788"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5</w:t>
            </w:r>
          </w:p>
        </w:tc>
        <w:tc>
          <w:tcPr>
            <w:tcW w:w="1504"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P05</w:t>
            </w:r>
          </w:p>
        </w:tc>
        <w:tc>
          <w:tcPr>
            <w:tcW w:w="2602"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大同镇东街村</w:t>
            </w:r>
          </w:p>
        </w:tc>
        <w:tc>
          <w:tcPr>
            <w:tcW w:w="1373"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6</w:t>
            </w:r>
            <w:r>
              <w:rPr>
                <w:rFonts w:ascii="仿宋_GB2312" w:eastAsia="仿宋_GB2312" w:hAnsi="Times New Roman"/>
                <w:sz w:val="28"/>
                <w:szCs w:val="28"/>
              </w:rPr>
              <w:t>0100</w:t>
            </w:r>
          </w:p>
        </w:tc>
        <w:tc>
          <w:tcPr>
            <w:tcW w:w="20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CA2F1C" w:rsidRDefault="008318CA">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四季度</w:t>
            </w: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r w:rsidR="00CA2F1C">
        <w:trPr>
          <w:trHeight w:val="881"/>
        </w:trPr>
        <w:tc>
          <w:tcPr>
            <w:tcW w:w="788" w:type="dxa"/>
            <w:vAlign w:val="center"/>
          </w:tcPr>
          <w:p w:rsidR="00CA2F1C" w:rsidRDefault="00CA2F1C">
            <w:pPr>
              <w:spacing w:line="320" w:lineRule="exact"/>
              <w:jc w:val="center"/>
              <w:rPr>
                <w:rFonts w:ascii="仿宋_GB2312" w:eastAsia="仿宋_GB2312" w:hAnsi="Times New Roman"/>
                <w:sz w:val="28"/>
                <w:szCs w:val="28"/>
              </w:rPr>
            </w:pPr>
          </w:p>
        </w:tc>
        <w:tc>
          <w:tcPr>
            <w:tcW w:w="1504" w:type="dxa"/>
            <w:vAlign w:val="center"/>
          </w:tcPr>
          <w:p w:rsidR="00CA2F1C" w:rsidRDefault="00CA2F1C">
            <w:pPr>
              <w:spacing w:line="320" w:lineRule="exact"/>
              <w:jc w:val="center"/>
              <w:rPr>
                <w:rFonts w:ascii="仿宋_GB2312" w:eastAsia="仿宋_GB2312" w:hAnsi="Times New Roman"/>
                <w:sz w:val="28"/>
                <w:szCs w:val="28"/>
              </w:rPr>
            </w:pPr>
          </w:p>
        </w:tc>
        <w:tc>
          <w:tcPr>
            <w:tcW w:w="2602" w:type="dxa"/>
            <w:vAlign w:val="center"/>
          </w:tcPr>
          <w:p w:rsidR="00CA2F1C" w:rsidRDefault="00CA2F1C">
            <w:pPr>
              <w:spacing w:line="320" w:lineRule="exact"/>
              <w:jc w:val="center"/>
              <w:rPr>
                <w:rFonts w:ascii="仿宋_GB2312" w:eastAsia="仿宋_GB2312" w:hAnsi="Times New Roman"/>
                <w:sz w:val="28"/>
                <w:szCs w:val="28"/>
              </w:rPr>
            </w:pPr>
          </w:p>
        </w:tc>
        <w:tc>
          <w:tcPr>
            <w:tcW w:w="1373" w:type="dxa"/>
            <w:vAlign w:val="center"/>
          </w:tcPr>
          <w:p w:rsidR="00CA2F1C" w:rsidRDefault="00CA2F1C">
            <w:pPr>
              <w:spacing w:line="320" w:lineRule="exact"/>
              <w:jc w:val="center"/>
              <w:rPr>
                <w:rFonts w:ascii="仿宋_GB2312" w:eastAsia="仿宋_GB2312" w:hAnsi="Times New Roman"/>
                <w:sz w:val="28"/>
                <w:szCs w:val="28"/>
              </w:rPr>
            </w:pPr>
            <w:r>
              <w:rPr>
                <w:rFonts w:ascii="仿宋_GB2312" w:eastAsia="仿宋_GB2312" w:hAnsi="Times New Roman"/>
                <w:sz w:val="28"/>
                <w:szCs w:val="28"/>
              </w:rPr>
              <w:fldChar w:fldCharType="begin"/>
            </w:r>
            <w:r w:rsidR="008318CA">
              <w:rPr>
                <w:rFonts w:ascii="仿宋_GB2312" w:eastAsia="仿宋_GB2312" w:hAnsi="Times New Roman" w:hint="eastAsia"/>
                <w:sz w:val="28"/>
                <w:szCs w:val="28"/>
              </w:rPr>
              <w:instrText>=SUM(ABOVE)</w:instrText>
            </w:r>
            <w:r>
              <w:rPr>
                <w:rFonts w:ascii="仿宋_GB2312" w:eastAsia="仿宋_GB2312" w:hAnsi="Times New Roman"/>
                <w:sz w:val="28"/>
                <w:szCs w:val="28"/>
              </w:rPr>
              <w:fldChar w:fldCharType="separate"/>
            </w:r>
            <w:r w:rsidR="008318CA">
              <w:rPr>
                <w:rFonts w:ascii="仿宋_GB2312" w:eastAsia="仿宋_GB2312" w:hAnsi="Times New Roman"/>
                <w:sz w:val="28"/>
                <w:szCs w:val="28"/>
              </w:rPr>
              <w:t>181708</w:t>
            </w:r>
            <w:r>
              <w:rPr>
                <w:rFonts w:ascii="仿宋_GB2312" w:eastAsia="仿宋_GB2312" w:hAnsi="Times New Roman"/>
                <w:sz w:val="28"/>
                <w:szCs w:val="28"/>
              </w:rPr>
              <w:fldChar w:fldCharType="end"/>
            </w:r>
          </w:p>
        </w:tc>
        <w:tc>
          <w:tcPr>
            <w:tcW w:w="2009" w:type="dxa"/>
            <w:vAlign w:val="center"/>
          </w:tcPr>
          <w:p w:rsidR="00CA2F1C" w:rsidRDefault="00CA2F1C">
            <w:pPr>
              <w:spacing w:line="320" w:lineRule="exact"/>
              <w:jc w:val="center"/>
              <w:rPr>
                <w:rFonts w:ascii="仿宋_GB2312" w:eastAsia="仿宋_GB2312" w:hAnsi="Times New Roman"/>
                <w:sz w:val="28"/>
                <w:szCs w:val="28"/>
              </w:rPr>
            </w:pPr>
          </w:p>
        </w:tc>
        <w:tc>
          <w:tcPr>
            <w:tcW w:w="1409" w:type="dxa"/>
            <w:vAlign w:val="center"/>
          </w:tcPr>
          <w:p w:rsidR="00CA2F1C" w:rsidRDefault="00CA2F1C">
            <w:pPr>
              <w:spacing w:line="320" w:lineRule="exact"/>
              <w:jc w:val="center"/>
              <w:rPr>
                <w:rFonts w:ascii="仿宋_GB2312" w:eastAsia="仿宋_GB2312" w:hAnsi="Times New Roman"/>
                <w:sz w:val="28"/>
                <w:szCs w:val="28"/>
              </w:rPr>
            </w:pPr>
          </w:p>
        </w:tc>
        <w:tc>
          <w:tcPr>
            <w:tcW w:w="1916" w:type="dxa"/>
            <w:vAlign w:val="center"/>
          </w:tcPr>
          <w:p w:rsidR="00CA2F1C" w:rsidRDefault="00CA2F1C">
            <w:pPr>
              <w:spacing w:line="320" w:lineRule="exact"/>
              <w:jc w:val="center"/>
              <w:rPr>
                <w:rFonts w:ascii="仿宋_GB2312" w:eastAsia="仿宋_GB2312" w:hAnsi="Times New Roman"/>
                <w:sz w:val="28"/>
                <w:szCs w:val="28"/>
              </w:rPr>
            </w:pPr>
          </w:p>
        </w:tc>
        <w:tc>
          <w:tcPr>
            <w:tcW w:w="1917" w:type="dxa"/>
            <w:vAlign w:val="center"/>
          </w:tcPr>
          <w:p w:rsidR="00CA2F1C" w:rsidRDefault="00CA2F1C">
            <w:pPr>
              <w:spacing w:line="320" w:lineRule="exact"/>
              <w:jc w:val="center"/>
              <w:rPr>
                <w:rFonts w:ascii="仿宋_GB2312" w:eastAsia="仿宋_GB2312" w:hAnsi="Times New Roman"/>
                <w:sz w:val="28"/>
                <w:szCs w:val="28"/>
              </w:rPr>
            </w:pPr>
          </w:p>
        </w:tc>
      </w:tr>
    </w:tbl>
    <w:bookmarkEnd w:id="67"/>
    <w:bookmarkEnd w:id="68"/>
    <w:p w:rsidR="00CA2F1C" w:rsidRDefault="008318CA">
      <w:pPr>
        <w:spacing w:line="320" w:lineRule="exact"/>
        <w:jc w:val="right"/>
        <w:rPr>
          <w:sz w:val="24"/>
        </w:rPr>
        <w:sectPr w:rsidR="00CA2F1C">
          <w:pgSz w:w="16838" w:h="11906" w:orient="landscape"/>
          <w:pgMar w:top="1440" w:right="1800" w:bottom="1440" w:left="1800" w:header="851" w:footer="992" w:gutter="0"/>
          <w:pgNumType w:fmt="numberInDash"/>
          <w:cols w:space="720"/>
          <w:docGrid w:type="lines" w:linePitch="312"/>
        </w:sectPr>
      </w:pPr>
      <w:r>
        <w:rPr>
          <w:rFonts w:hint="eastAsia"/>
          <w:sz w:val="24"/>
        </w:rPr>
        <w:t>单位：平方米</w:t>
      </w:r>
    </w:p>
    <w:p w:rsidR="00CA2F1C" w:rsidRDefault="00CA2F1C">
      <w:pPr>
        <w:widowControl/>
        <w:jc w:val="left"/>
      </w:pPr>
    </w:p>
    <w:p w:rsidR="00CA2F1C" w:rsidRDefault="008318CA">
      <w:pPr>
        <w:pStyle w:val="2"/>
        <w:spacing w:line="240" w:lineRule="auto"/>
      </w:pPr>
      <w:bookmarkStart w:id="72" w:name="_Toc1535"/>
      <w:r>
        <w:rPr>
          <w:rFonts w:hint="eastAsia"/>
        </w:rPr>
        <w:t>附表</w:t>
      </w:r>
      <w:r>
        <w:t>3</w:t>
      </w:r>
      <w:r>
        <w:rPr>
          <w:rFonts w:hint="eastAsia"/>
        </w:rPr>
        <w:t>：</w:t>
      </w:r>
      <w:bookmarkStart w:id="73" w:name="_GoBack"/>
      <w:bookmarkEnd w:id="72"/>
      <w:bookmarkEnd w:id="73"/>
    </w:p>
    <w:p w:rsidR="00CA2F1C" w:rsidRDefault="008318CA">
      <w:pPr>
        <w:pStyle w:val="2"/>
        <w:spacing w:line="240" w:lineRule="auto"/>
        <w:rPr>
          <w:b w:val="0"/>
          <w:bCs w:val="0"/>
        </w:rPr>
      </w:pPr>
      <w:bookmarkStart w:id="74" w:name="_Toc1503"/>
      <w:r>
        <w:rPr>
          <w:rFonts w:hint="eastAsia"/>
        </w:rPr>
        <w:t>长汀县</w:t>
      </w:r>
      <w:r>
        <w:rPr>
          <w:rFonts w:hint="eastAsia"/>
        </w:rPr>
        <w:t>202</w:t>
      </w:r>
      <w:r>
        <w:t>3</w:t>
      </w:r>
      <w:r>
        <w:rPr>
          <w:rFonts w:hint="eastAsia"/>
        </w:rPr>
        <w:t>年度</w:t>
      </w:r>
      <w:r>
        <w:t>其他用地供应计划</w:t>
      </w:r>
      <w:bookmarkEnd w:id="74"/>
    </w:p>
    <w:p w:rsidR="00CA2F1C" w:rsidRDefault="008318CA">
      <w:pPr>
        <w:jc w:val="right"/>
        <w:rPr>
          <w:sz w:val="24"/>
        </w:rPr>
      </w:pPr>
      <w:r>
        <w:rPr>
          <w:rFonts w:hint="eastAsia"/>
          <w:sz w:val="24"/>
        </w:rPr>
        <w:t>单位：公顷</w:t>
      </w:r>
    </w:p>
    <w:tbl>
      <w:tblPr>
        <w:tblW w:w="13966" w:type="dxa"/>
        <w:tblInd w:w="113" w:type="dxa"/>
        <w:tblLook w:val="04A0"/>
      </w:tblPr>
      <w:tblGrid>
        <w:gridCol w:w="929"/>
        <w:gridCol w:w="3005"/>
        <w:gridCol w:w="2292"/>
        <w:gridCol w:w="1470"/>
        <w:gridCol w:w="3135"/>
        <w:gridCol w:w="3135"/>
      </w:tblGrid>
      <w:tr w:rsidR="00CA2F1C">
        <w:trPr>
          <w:trHeight w:val="688"/>
        </w:trPr>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b/>
                <w:bCs/>
                <w:kern w:val="0"/>
                <w:sz w:val="24"/>
              </w:rPr>
            </w:pPr>
            <w:bookmarkStart w:id="75" w:name="OLE_LINK11"/>
            <w:r>
              <w:rPr>
                <w:rFonts w:ascii="宋体" w:hAnsi="宋体" w:cs="宋体" w:hint="eastAsia"/>
                <w:b/>
                <w:bCs/>
                <w:kern w:val="0"/>
                <w:sz w:val="24"/>
              </w:rPr>
              <w:t>序号</w:t>
            </w:r>
          </w:p>
        </w:tc>
        <w:tc>
          <w:tcPr>
            <w:tcW w:w="3005" w:type="dxa"/>
            <w:tcBorders>
              <w:top w:val="single" w:sz="4" w:space="0" w:color="auto"/>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b/>
                <w:bCs/>
                <w:kern w:val="0"/>
                <w:sz w:val="24"/>
              </w:rPr>
            </w:pPr>
            <w:r>
              <w:rPr>
                <w:rFonts w:ascii="宋体" w:hAnsi="宋体" w:cs="宋体" w:hint="eastAsia"/>
                <w:b/>
                <w:bCs/>
                <w:kern w:val="0"/>
                <w:sz w:val="24"/>
              </w:rPr>
              <w:t>项目名称</w:t>
            </w:r>
          </w:p>
        </w:tc>
        <w:tc>
          <w:tcPr>
            <w:tcW w:w="2292" w:type="dxa"/>
            <w:tcBorders>
              <w:top w:val="single" w:sz="4" w:space="0" w:color="auto"/>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b/>
                <w:bCs/>
                <w:kern w:val="0"/>
                <w:sz w:val="24"/>
              </w:rPr>
            </w:pPr>
            <w:r>
              <w:rPr>
                <w:rFonts w:ascii="宋体" w:hAnsi="宋体" w:cs="宋体" w:hint="eastAsia"/>
                <w:b/>
                <w:bCs/>
                <w:kern w:val="0"/>
                <w:sz w:val="24"/>
              </w:rPr>
              <w:t>地点</w:t>
            </w:r>
          </w:p>
        </w:tc>
        <w:tc>
          <w:tcPr>
            <w:tcW w:w="1470" w:type="dxa"/>
            <w:tcBorders>
              <w:top w:val="single" w:sz="4" w:space="0" w:color="auto"/>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b/>
                <w:bCs/>
                <w:kern w:val="0"/>
                <w:sz w:val="24"/>
              </w:rPr>
            </w:pPr>
            <w:r>
              <w:rPr>
                <w:rFonts w:ascii="宋体" w:hAnsi="宋体" w:cs="宋体" w:hint="eastAsia"/>
                <w:b/>
                <w:bCs/>
                <w:kern w:val="0"/>
                <w:sz w:val="24"/>
              </w:rPr>
              <w:t>面积</w:t>
            </w:r>
          </w:p>
        </w:tc>
        <w:tc>
          <w:tcPr>
            <w:tcW w:w="3135" w:type="dxa"/>
            <w:tcBorders>
              <w:top w:val="single" w:sz="4" w:space="0" w:color="auto"/>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b/>
                <w:bCs/>
                <w:kern w:val="0"/>
                <w:sz w:val="24"/>
              </w:rPr>
            </w:pPr>
            <w:r>
              <w:rPr>
                <w:rFonts w:ascii="宋体" w:hAnsi="宋体" w:cs="宋体" w:hint="eastAsia"/>
                <w:b/>
                <w:bCs/>
                <w:kern w:val="0"/>
                <w:sz w:val="24"/>
              </w:rPr>
              <w:t>用途</w:t>
            </w:r>
          </w:p>
        </w:tc>
        <w:tc>
          <w:tcPr>
            <w:tcW w:w="3135" w:type="dxa"/>
            <w:tcBorders>
              <w:top w:val="single" w:sz="4" w:space="0" w:color="auto"/>
              <w:left w:val="nil"/>
              <w:bottom w:val="single" w:sz="4" w:space="0" w:color="auto"/>
              <w:right w:val="single" w:sz="4" w:space="0" w:color="auto"/>
            </w:tcBorders>
            <w:vAlign w:val="center"/>
          </w:tcPr>
          <w:p w:rsidR="00CA2F1C" w:rsidRDefault="008318CA">
            <w:pPr>
              <w:widowControl/>
              <w:jc w:val="center"/>
              <w:rPr>
                <w:rFonts w:ascii="宋体" w:hAnsi="宋体" w:cs="宋体"/>
                <w:b/>
                <w:bCs/>
                <w:kern w:val="0"/>
                <w:sz w:val="24"/>
              </w:rPr>
            </w:pPr>
            <w:r>
              <w:rPr>
                <w:rFonts w:ascii="宋体" w:hAnsi="宋体" w:cs="宋体" w:hint="eastAsia"/>
                <w:b/>
                <w:bCs/>
                <w:kern w:val="0"/>
                <w:sz w:val="24"/>
              </w:rPr>
              <w:t>计划供应时间</w:t>
            </w:r>
          </w:p>
        </w:tc>
      </w:tr>
      <w:tr w:rsidR="00CA2F1C">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1</w:t>
            </w:r>
          </w:p>
        </w:tc>
        <w:tc>
          <w:tcPr>
            <w:tcW w:w="300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工业投资项目</w:t>
            </w:r>
          </w:p>
        </w:tc>
        <w:tc>
          <w:tcPr>
            <w:tcW w:w="2292"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各园区</w:t>
            </w:r>
          </w:p>
        </w:tc>
        <w:tc>
          <w:tcPr>
            <w:tcW w:w="1470"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kern w:val="0"/>
                <w:sz w:val="24"/>
              </w:rPr>
              <w:t>30</w:t>
            </w:r>
          </w:p>
        </w:tc>
        <w:tc>
          <w:tcPr>
            <w:tcW w:w="313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工业用地</w:t>
            </w:r>
          </w:p>
        </w:tc>
        <w:tc>
          <w:tcPr>
            <w:tcW w:w="3135" w:type="dxa"/>
            <w:tcBorders>
              <w:top w:val="nil"/>
              <w:left w:val="nil"/>
              <w:bottom w:val="single" w:sz="4" w:space="0" w:color="auto"/>
              <w:right w:val="single" w:sz="4" w:space="0" w:color="auto"/>
            </w:tcBorders>
            <w:vAlign w:val="center"/>
          </w:tcPr>
          <w:p w:rsidR="00CA2F1C" w:rsidRDefault="008318CA">
            <w:pPr>
              <w:widowControl/>
              <w:jc w:val="center"/>
              <w:rPr>
                <w:rFonts w:ascii="宋体" w:hAnsi="宋体" w:cs="宋体"/>
                <w:kern w:val="0"/>
                <w:sz w:val="24"/>
              </w:rPr>
            </w:pPr>
            <w:bookmarkStart w:id="76" w:name="OLE_LINK5"/>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bookmarkEnd w:id="76"/>
          </w:p>
        </w:tc>
      </w:tr>
      <w:tr w:rsidR="00CA2F1C">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2</w:t>
            </w:r>
          </w:p>
        </w:tc>
        <w:tc>
          <w:tcPr>
            <w:tcW w:w="300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商服项目</w:t>
            </w:r>
          </w:p>
        </w:tc>
        <w:tc>
          <w:tcPr>
            <w:tcW w:w="2292"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城市规划区</w:t>
            </w:r>
          </w:p>
        </w:tc>
        <w:tc>
          <w:tcPr>
            <w:tcW w:w="1470"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kern w:val="0"/>
                <w:sz w:val="24"/>
              </w:rPr>
              <w:t>2</w:t>
            </w:r>
          </w:p>
        </w:tc>
        <w:tc>
          <w:tcPr>
            <w:tcW w:w="313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商服用地</w:t>
            </w:r>
          </w:p>
        </w:tc>
        <w:tc>
          <w:tcPr>
            <w:tcW w:w="3135" w:type="dxa"/>
            <w:tcBorders>
              <w:top w:val="nil"/>
              <w:left w:val="nil"/>
              <w:bottom w:val="single" w:sz="4" w:space="0" w:color="auto"/>
              <w:right w:val="single" w:sz="4" w:space="0" w:color="auto"/>
            </w:tcBorders>
            <w:vAlign w:val="center"/>
          </w:tcPr>
          <w:p w:rsidR="00CA2F1C" w:rsidRDefault="008318CA">
            <w:pPr>
              <w:widowControl/>
              <w:jc w:val="center"/>
              <w:rPr>
                <w:rFonts w:ascii="宋体" w:hAnsi="宋体" w:cs="宋体"/>
                <w:kern w:val="0"/>
                <w:sz w:val="24"/>
              </w:rPr>
            </w:pPr>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p>
        </w:tc>
      </w:tr>
      <w:tr w:rsidR="00CA2F1C">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3</w:t>
            </w:r>
          </w:p>
        </w:tc>
        <w:tc>
          <w:tcPr>
            <w:tcW w:w="300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公建民生项目</w:t>
            </w:r>
          </w:p>
        </w:tc>
        <w:tc>
          <w:tcPr>
            <w:tcW w:w="2292"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各乡镇</w:t>
            </w:r>
          </w:p>
        </w:tc>
        <w:tc>
          <w:tcPr>
            <w:tcW w:w="1470"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kern w:val="0"/>
                <w:sz w:val="24"/>
              </w:rPr>
              <w:t>55</w:t>
            </w:r>
          </w:p>
        </w:tc>
        <w:tc>
          <w:tcPr>
            <w:tcW w:w="313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公共管理与公共服务用地</w:t>
            </w:r>
          </w:p>
        </w:tc>
        <w:tc>
          <w:tcPr>
            <w:tcW w:w="3135" w:type="dxa"/>
            <w:tcBorders>
              <w:top w:val="nil"/>
              <w:left w:val="nil"/>
              <w:bottom w:val="single" w:sz="4" w:space="0" w:color="auto"/>
              <w:right w:val="single" w:sz="4" w:space="0" w:color="auto"/>
            </w:tcBorders>
            <w:vAlign w:val="center"/>
          </w:tcPr>
          <w:p w:rsidR="00CA2F1C" w:rsidRDefault="008318CA">
            <w:pPr>
              <w:widowControl/>
              <w:jc w:val="center"/>
              <w:rPr>
                <w:rFonts w:ascii="宋体" w:hAnsi="宋体" w:cs="宋体"/>
                <w:kern w:val="0"/>
                <w:sz w:val="24"/>
              </w:rPr>
            </w:pPr>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p>
        </w:tc>
      </w:tr>
      <w:tr w:rsidR="00CA2F1C">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 xml:space="preserve">　</w:t>
            </w:r>
          </w:p>
        </w:tc>
        <w:tc>
          <w:tcPr>
            <w:tcW w:w="300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合计</w:t>
            </w:r>
          </w:p>
        </w:tc>
        <w:tc>
          <w:tcPr>
            <w:tcW w:w="2292"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 xml:space="preserve">　</w:t>
            </w:r>
          </w:p>
        </w:tc>
        <w:tc>
          <w:tcPr>
            <w:tcW w:w="1470" w:type="dxa"/>
            <w:tcBorders>
              <w:top w:val="nil"/>
              <w:left w:val="nil"/>
              <w:bottom w:val="single" w:sz="4" w:space="0" w:color="auto"/>
              <w:right w:val="single" w:sz="4" w:space="0" w:color="auto"/>
            </w:tcBorders>
            <w:shd w:val="clear" w:color="auto" w:fill="auto"/>
            <w:vAlign w:val="center"/>
          </w:tcPr>
          <w:p w:rsidR="00CA2F1C" w:rsidRDefault="00CA2F1C">
            <w:pPr>
              <w:widowControl/>
              <w:jc w:val="center"/>
              <w:rPr>
                <w:rFonts w:ascii="宋体" w:hAnsi="宋体" w:cs="宋体"/>
                <w:kern w:val="0"/>
                <w:sz w:val="24"/>
              </w:rPr>
            </w:pPr>
            <w:r>
              <w:rPr>
                <w:rFonts w:ascii="宋体" w:hAnsi="宋体" w:cs="宋体"/>
                <w:kern w:val="0"/>
                <w:sz w:val="24"/>
              </w:rPr>
              <w:fldChar w:fldCharType="begin"/>
            </w:r>
            <w:r w:rsidR="008318CA">
              <w:rPr>
                <w:rFonts w:ascii="宋体" w:hAnsi="宋体" w:cs="宋体"/>
                <w:kern w:val="0"/>
                <w:sz w:val="24"/>
              </w:rPr>
              <w:instrText xml:space="preserve"> =SUM(ABOVE) </w:instrText>
            </w:r>
            <w:r>
              <w:rPr>
                <w:rFonts w:ascii="宋体" w:hAnsi="宋体" w:cs="宋体"/>
                <w:kern w:val="0"/>
                <w:sz w:val="24"/>
              </w:rPr>
              <w:fldChar w:fldCharType="separate"/>
            </w:r>
            <w:r w:rsidR="008318CA">
              <w:rPr>
                <w:rFonts w:ascii="宋体" w:hAnsi="宋体" w:cs="宋体"/>
                <w:kern w:val="0"/>
                <w:sz w:val="24"/>
              </w:rPr>
              <w:t>87</w:t>
            </w:r>
            <w:r>
              <w:rPr>
                <w:rFonts w:ascii="宋体" w:hAnsi="宋体" w:cs="宋体"/>
                <w:kern w:val="0"/>
                <w:sz w:val="24"/>
              </w:rPr>
              <w:fldChar w:fldCharType="end"/>
            </w:r>
          </w:p>
        </w:tc>
        <w:tc>
          <w:tcPr>
            <w:tcW w:w="3135" w:type="dxa"/>
            <w:tcBorders>
              <w:top w:val="nil"/>
              <w:left w:val="nil"/>
              <w:bottom w:val="single" w:sz="4" w:space="0" w:color="auto"/>
              <w:right w:val="single" w:sz="4" w:space="0" w:color="auto"/>
            </w:tcBorders>
            <w:shd w:val="clear" w:color="auto" w:fill="auto"/>
            <w:vAlign w:val="center"/>
          </w:tcPr>
          <w:p w:rsidR="00CA2F1C" w:rsidRDefault="008318CA">
            <w:pPr>
              <w:widowControl/>
              <w:jc w:val="center"/>
              <w:rPr>
                <w:rFonts w:ascii="宋体" w:hAnsi="宋体" w:cs="宋体"/>
                <w:kern w:val="0"/>
                <w:sz w:val="24"/>
              </w:rPr>
            </w:pPr>
            <w:r>
              <w:rPr>
                <w:rFonts w:ascii="宋体" w:hAnsi="宋体" w:cs="宋体" w:hint="eastAsia"/>
                <w:kern w:val="0"/>
                <w:sz w:val="24"/>
              </w:rPr>
              <w:t xml:space="preserve">　</w:t>
            </w:r>
          </w:p>
        </w:tc>
        <w:tc>
          <w:tcPr>
            <w:tcW w:w="3135" w:type="dxa"/>
            <w:tcBorders>
              <w:top w:val="nil"/>
              <w:left w:val="nil"/>
              <w:bottom w:val="single" w:sz="4" w:space="0" w:color="auto"/>
              <w:right w:val="single" w:sz="4" w:space="0" w:color="auto"/>
            </w:tcBorders>
            <w:vAlign w:val="center"/>
          </w:tcPr>
          <w:p w:rsidR="00CA2F1C" w:rsidRDefault="00CA2F1C">
            <w:pPr>
              <w:widowControl/>
              <w:jc w:val="center"/>
              <w:rPr>
                <w:rFonts w:ascii="宋体" w:hAnsi="宋体" w:cs="宋体"/>
                <w:kern w:val="0"/>
                <w:sz w:val="24"/>
              </w:rPr>
            </w:pPr>
          </w:p>
        </w:tc>
      </w:tr>
      <w:bookmarkEnd w:id="0"/>
      <w:bookmarkEnd w:id="75"/>
    </w:tbl>
    <w:p w:rsidR="00CA2F1C" w:rsidRDefault="00CA2F1C">
      <w:pPr>
        <w:ind w:firstLineChars="200" w:firstLine="600"/>
        <w:rPr>
          <w:sz w:val="30"/>
          <w:szCs w:val="30"/>
        </w:rPr>
      </w:pPr>
    </w:p>
    <w:sectPr w:rsidR="00CA2F1C" w:rsidSect="00CA2F1C">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8CA" w:rsidRDefault="008318CA" w:rsidP="00CA2F1C">
      <w:r>
        <w:separator/>
      </w:r>
    </w:p>
  </w:endnote>
  <w:endnote w:type="continuationSeparator" w:id="1">
    <w:p w:rsidR="008318CA" w:rsidRDefault="008318CA" w:rsidP="00CA2F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embedRegular r:id="rId1" w:subsetted="1" w:fontKey="{7BA98C1B-F47E-4C23-AFCF-14790087A4DF}"/>
  </w:font>
  <w:font w:name="Cambria">
    <w:panose1 w:val="02040503050406030204"/>
    <w:charset w:val="00"/>
    <w:family w:val="roman"/>
    <w:pitch w:val="variable"/>
    <w:sig w:usb0="A00002EF" w:usb1="4000004B" w:usb2="00000000" w:usb3="00000000" w:csb0="0000009F" w:csb1="00000000"/>
    <w:embedRegular r:id="rId2" w:subsetted="1" w:fontKey="{2D967057-7172-43AE-A9E7-B7600BC4913D}"/>
    <w:embedBold r:id="rId3" w:subsetted="1" w:fontKey="{5836EADF-016A-4049-810D-5A8CAEA7F00A}"/>
  </w:font>
  <w:font w:name="黑体">
    <w:altName w:val="SimHei"/>
    <w:panose1 w:val="02010609060101010101"/>
    <w:charset w:val="86"/>
    <w:family w:val="modern"/>
    <w:pitch w:val="fixed"/>
    <w:sig w:usb0="800002BF" w:usb1="38CF7CFA" w:usb2="00000016" w:usb3="00000000" w:csb0="00040001" w:csb1="00000000"/>
    <w:embedRegular r:id="rId4" w:subsetted="1" w:fontKey="{38331F67-7163-4C20-9529-6DB54659A268}"/>
  </w:font>
  <w:font w:name="仿宋_GB2312">
    <w:charset w:val="86"/>
    <w:family w:val="modern"/>
    <w:pitch w:val="default"/>
    <w:sig w:usb0="00000001" w:usb1="080E0000" w:usb2="00000000" w:usb3="00000000" w:csb0="00040000" w:csb1="00000000"/>
    <w:embedRegular r:id="rId5" w:subsetted="1" w:fontKey="{93A7ADB3-059E-4B75-A754-B1CE6487FEFC}"/>
    <w:embedBold r:id="rId6" w:subsetted="1" w:fontKey="{A24E9122-24DC-4F8C-810D-7EBA5AEACB72}"/>
  </w:font>
  <w:font w:name="方正仿宋简体">
    <w:altName w:val="微软雅黑"/>
    <w:charset w:val="86"/>
    <w:family w:val="auto"/>
    <w:pitch w:val="default"/>
    <w:sig w:usb0="00000000" w:usb1="00000000" w:usb2="00000012"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F1C" w:rsidRDefault="008318CA">
    <w:pPr>
      <w:pStyle w:val="a4"/>
    </w:pP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F1C" w:rsidRDefault="00CA2F1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F1C" w:rsidRDefault="00CA2F1C">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CA2F1C" w:rsidRDefault="00CA2F1C">
                <w:pPr>
                  <w:pStyle w:val="a4"/>
                  <w:rPr>
                    <w:sz w:val="30"/>
                    <w:szCs w:val="30"/>
                  </w:rPr>
                </w:pPr>
                <w:r>
                  <w:rPr>
                    <w:rFonts w:hint="eastAsia"/>
                    <w:sz w:val="30"/>
                    <w:szCs w:val="30"/>
                  </w:rPr>
                  <w:fldChar w:fldCharType="begin"/>
                </w:r>
                <w:r w:rsidR="008318CA">
                  <w:rPr>
                    <w:rFonts w:hint="eastAsia"/>
                    <w:sz w:val="30"/>
                    <w:szCs w:val="30"/>
                  </w:rPr>
                  <w:instrText xml:space="preserve"> PAGE  \* MERGEFORMAT </w:instrText>
                </w:r>
                <w:r>
                  <w:rPr>
                    <w:rFonts w:hint="eastAsia"/>
                    <w:sz w:val="30"/>
                    <w:szCs w:val="30"/>
                  </w:rPr>
                  <w:fldChar w:fldCharType="separate"/>
                </w:r>
                <w:r w:rsidR="00172C7E">
                  <w:rPr>
                    <w:noProof/>
                    <w:sz w:val="30"/>
                    <w:szCs w:val="30"/>
                  </w:rPr>
                  <w:t>- 2 -</w:t>
                </w:r>
                <w:r>
                  <w:rPr>
                    <w:rFonts w:hint="eastAsia"/>
                    <w:sz w:val="30"/>
                    <w:szCs w:val="30"/>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8CA" w:rsidRDefault="008318CA" w:rsidP="00CA2F1C">
      <w:r>
        <w:separator/>
      </w:r>
    </w:p>
  </w:footnote>
  <w:footnote w:type="continuationSeparator" w:id="1">
    <w:p w:rsidR="008318CA" w:rsidRDefault="008318CA" w:rsidP="00CA2F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stylePaneFormatFilter w:val="3F01"/>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681A4A72"/>
    <w:rsid w:val="00000E7F"/>
    <w:rsid w:val="00125017"/>
    <w:rsid w:val="00133A1B"/>
    <w:rsid w:val="00166FA1"/>
    <w:rsid w:val="00172C7E"/>
    <w:rsid w:val="00176384"/>
    <w:rsid w:val="001A5F62"/>
    <w:rsid w:val="001D2E88"/>
    <w:rsid w:val="002202EC"/>
    <w:rsid w:val="00224E8A"/>
    <w:rsid w:val="002325DD"/>
    <w:rsid w:val="00241D3F"/>
    <w:rsid w:val="00280861"/>
    <w:rsid w:val="00283815"/>
    <w:rsid w:val="002B7255"/>
    <w:rsid w:val="00302501"/>
    <w:rsid w:val="003243D5"/>
    <w:rsid w:val="00337A3F"/>
    <w:rsid w:val="00352D41"/>
    <w:rsid w:val="00363EF2"/>
    <w:rsid w:val="003A220F"/>
    <w:rsid w:val="003C3656"/>
    <w:rsid w:val="003C4222"/>
    <w:rsid w:val="003E63DA"/>
    <w:rsid w:val="003F7FB4"/>
    <w:rsid w:val="00430ED4"/>
    <w:rsid w:val="00460AFE"/>
    <w:rsid w:val="00472340"/>
    <w:rsid w:val="00473EA0"/>
    <w:rsid w:val="00490B0E"/>
    <w:rsid w:val="004D53EE"/>
    <w:rsid w:val="004E6FDB"/>
    <w:rsid w:val="004F047A"/>
    <w:rsid w:val="0051748C"/>
    <w:rsid w:val="00524A40"/>
    <w:rsid w:val="00530148"/>
    <w:rsid w:val="005B428E"/>
    <w:rsid w:val="005C2275"/>
    <w:rsid w:val="0065293D"/>
    <w:rsid w:val="006A687C"/>
    <w:rsid w:val="0077526E"/>
    <w:rsid w:val="007C6F2D"/>
    <w:rsid w:val="007E17C6"/>
    <w:rsid w:val="00822D3D"/>
    <w:rsid w:val="008318CA"/>
    <w:rsid w:val="0083288E"/>
    <w:rsid w:val="00846E2D"/>
    <w:rsid w:val="008953DC"/>
    <w:rsid w:val="00906158"/>
    <w:rsid w:val="00944577"/>
    <w:rsid w:val="009818ED"/>
    <w:rsid w:val="009A1D66"/>
    <w:rsid w:val="009A3CE7"/>
    <w:rsid w:val="009B31CA"/>
    <w:rsid w:val="009D31A4"/>
    <w:rsid w:val="009F2B88"/>
    <w:rsid w:val="00A2171D"/>
    <w:rsid w:val="00A46821"/>
    <w:rsid w:val="00A64792"/>
    <w:rsid w:val="00A72447"/>
    <w:rsid w:val="00A841FF"/>
    <w:rsid w:val="00A85C66"/>
    <w:rsid w:val="00AC29CF"/>
    <w:rsid w:val="00AC4496"/>
    <w:rsid w:val="00AD0A02"/>
    <w:rsid w:val="00AD1636"/>
    <w:rsid w:val="00B05AB4"/>
    <w:rsid w:val="00B1520D"/>
    <w:rsid w:val="00B56F97"/>
    <w:rsid w:val="00B63900"/>
    <w:rsid w:val="00B84232"/>
    <w:rsid w:val="00BA47D8"/>
    <w:rsid w:val="00C024D2"/>
    <w:rsid w:val="00CA2F1C"/>
    <w:rsid w:val="00CA5B6B"/>
    <w:rsid w:val="00CC553D"/>
    <w:rsid w:val="00CC79AB"/>
    <w:rsid w:val="00D21FAE"/>
    <w:rsid w:val="00D24335"/>
    <w:rsid w:val="00D57370"/>
    <w:rsid w:val="00D76FD3"/>
    <w:rsid w:val="00D9052F"/>
    <w:rsid w:val="00DA767C"/>
    <w:rsid w:val="00DB7E7F"/>
    <w:rsid w:val="00DC3863"/>
    <w:rsid w:val="00E3533D"/>
    <w:rsid w:val="00E35516"/>
    <w:rsid w:val="00E576A9"/>
    <w:rsid w:val="00E61B70"/>
    <w:rsid w:val="00E708F0"/>
    <w:rsid w:val="00E73E36"/>
    <w:rsid w:val="00E74A38"/>
    <w:rsid w:val="00ED5C9F"/>
    <w:rsid w:val="00EF0842"/>
    <w:rsid w:val="00F001F0"/>
    <w:rsid w:val="00F24913"/>
    <w:rsid w:val="00F26CB8"/>
    <w:rsid w:val="00F273E2"/>
    <w:rsid w:val="00F37AEC"/>
    <w:rsid w:val="00F649A6"/>
    <w:rsid w:val="00F87DD9"/>
    <w:rsid w:val="00FE75C4"/>
    <w:rsid w:val="05FB1819"/>
    <w:rsid w:val="06C65EB8"/>
    <w:rsid w:val="07EB3251"/>
    <w:rsid w:val="0BC3546F"/>
    <w:rsid w:val="0C5C66D0"/>
    <w:rsid w:val="1DEF3386"/>
    <w:rsid w:val="1E321314"/>
    <w:rsid w:val="1FBD7E16"/>
    <w:rsid w:val="24D516C8"/>
    <w:rsid w:val="251C645D"/>
    <w:rsid w:val="273D4330"/>
    <w:rsid w:val="2A740C84"/>
    <w:rsid w:val="2ADB54BD"/>
    <w:rsid w:val="32FC7F19"/>
    <w:rsid w:val="36351749"/>
    <w:rsid w:val="3FA47EBF"/>
    <w:rsid w:val="4750596E"/>
    <w:rsid w:val="4ACE62D6"/>
    <w:rsid w:val="4AD54AB1"/>
    <w:rsid w:val="4E0D5926"/>
    <w:rsid w:val="4E8C2FA7"/>
    <w:rsid w:val="51E41FDE"/>
    <w:rsid w:val="54351348"/>
    <w:rsid w:val="543D74BF"/>
    <w:rsid w:val="5A467E78"/>
    <w:rsid w:val="5E994242"/>
    <w:rsid w:val="600475AE"/>
    <w:rsid w:val="624B15BE"/>
    <w:rsid w:val="667D6B7E"/>
    <w:rsid w:val="681A4A72"/>
    <w:rsid w:val="68DC1BE4"/>
    <w:rsid w:val="71274ADD"/>
    <w:rsid w:val="74EB5091"/>
    <w:rsid w:val="77291298"/>
    <w:rsid w:val="79DB77BF"/>
    <w:rsid w:val="7E476B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F1C"/>
    <w:pPr>
      <w:widowControl w:val="0"/>
      <w:jc w:val="both"/>
    </w:pPr>
    <w:rPr>
      <w:rFonts w:ascii="Calibri" w:hAnsi="Calibri"/>
      <w:kern w:val="2"/>
      <w:sz w:val="21"/>
      <w:szCs w:val="24"/>
    </w:rPr>
  </w:style>
  <w:style w:type="paragraph" w:styleId="1">
    <w:name w:val="heading 1"/>
    <w:basedOn w:val="a"/>
    <w:next w:val="a"/>
    <w:link w:val="1Char"/>
    <w:qFormat/>
    <w:rsid w:val="00CA2F1C"/>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CA2F1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rsid w:val="00CA2F1C"/>
    <w:pPr>
      <w:widowControl/>
      <w:spacing w:after="100" w:line="259" w:lineRule="auto"/>
      <w:ind w:left="440"/>
      <w:jc w:val="left"/>
    </w:pPr>
    <w:rPr>
      <w:rFonts w:asciiTheme="minorHAnsi" w:eastAsiaTheme="minorEastAsia" w:hAnsiTheme="minorHAnsi"/>
      <w:kern w:val="0"/>
      <w:sz w:val="22"/>
      <w:szCs w:val="22"/>
    </w:rPr>
  </w:style>
  <w:style w:type="paragraph" w:styleId="a3">
    <w:name w:val="Balloon Text"/>
    <w:basedOn w:val="a"/>
    <w:link w:val="Char"/>
    <w:qFormat/>
    <w:rsid w:val="00CA2F1C"/>
    <w:rPr>
      <w:sz w:val="18"/>
      <w:szCs w:val="18"/>
    </w:rPr>
  </w:style>
  <w:style w:type="paragraph" w:styleId="a4">
    <w:name w:val="footer"/>
    <w:basedOn w:val="a"/>
    <w:qFormat/>
    <w:rsid w:val="00CA2F1C"/>
    <w:pPr>
      <w:tabs>
        <w:tab w:val="center" w:pos="4153"/>
        <w:tab w:val="right" w:pos="8306"/>
      </w:tabs>
      <w:snapToGrid w:val="0"/>
      <w:jc w:val="left"/>
    </w:pPr>
    <w:rPr>
      <w:sz w:val="18"/>
    </w:rPr>
  </w:style>
  <w:style w:type="paragraph" w:styleId="a5">
    <w:name w:val="header"/>
    <w:basedOn w:val="a"/>
    <w:qFormat/>
    <w:rsid w:val="00CA2F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rsid w:val="00CA2F1C"/>
    <w:pPr>
      <w:widowControl/>
      <w:spacing w:after="100" w:line="259" w:lineRule="auto"/>
      <w:jc w:val="left"/>
    </w:pPr>
    <w:rPr>
      <w:rFonts w:asciiTheme="minorHAnsi" w:eastAsiaTheme="minorEastAsia" w:hAnsiTheme="minorHAnsi"/>
      <w:kern w:val="0"/>
      <w:sz w:val="22"/>
      <w:szCs w:val="22"/>
    </w:rPr>
  </w:style>
  <w:style w:type="paragraph" w:styleId="20">
    <w:name w:val="toc 2"/>
    <w:basedOn w:val="a"/>
    <w:next w:val="a"/>
    <w:uiPriority w:val="39"/>
    <w:unhideWhenUsed/>
    <w:qFormat/>
    <w:rsid w:val="00CA2F1C"/>
    <w:pPr>
      <w:widowControl/>
      <w:spacing w:after="100" w:line="259" w:lineRule="auto"/>
      <w:ind w:left="220"/>
      <w:jc w:val="left"/>
    </w:pPr>
    <w:rPr>
      <w:rFonts w:asciiTheme="minorHAnsi" w:eastAsiaTheme="minorEastAsia" w:hAnsiTheme="minorHAnsi"/>
      <w:kern w:val="0"/>
      <w:sz w:val="22"/>
      <w:szCs w:val="22"/>
    </w:rPr>
  </w:style>
  <w:style w:type="paragraph" w:styleId="a6">
    <w:name w:val="Normal (Web)"/>
    <w:basedOn w:val="a"/>
    <w:qFormat/>
    <w:rsid w:val="00CA2F1C"/>
    <w:rPr>
      <w:sz w:val="24"/>
    </w:rPr>
  </w:style>
  <w:style w:type="table" w:styleId="a7">
    <w:name w:val="Table Grid"/>
    <w:basedOn w:val="a1"/>
    <w:qFormat/>
    <w:rsid w:val="00CA2F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CA2F1C"/>
    <w:rPr>
      <w:b/>
    </w:rPr>
  </w:style>
  <w:style w:type="character" w:styleId="a9">
    <w:name w:val="FollowedHyperlink"/>
    <w:basedOn w:val="a0"/>
    <w:qFormat/>
    <w:rsid w:val="00CA2F1C"/>
    <w:rPr>
      <w:color w:val="333333"/>
      <w:u w:val="none"/>
    </w:rPr>
  </w:style>
  <w:style w:type="character" w:styleId="aa">
    <w:name w:val="Hyperlink"/>
    <w:basedOn w:val="a0"/>
    <w:uiPriority w:val="99"/>
    <w:qFormat/>
    <w:rsid w:val="00CA2F1C"/>
    <w:rPr>
      <w:color w:val="333333"/>
      <w:u w:val="none"/>
    </w:rPr>
  </w:style>
  <w:style w:type="paragraph" w:customStyle="1" w:styleId="WPSOffice1">
    <w:name w:val="WPSOffice手动目录 1"/>
    <w:qFormat/>
    <w:rsid w:val="00CA2F1C"/>
  </w:style>
  <w:style w:type="paragraph" w:customStyle="1" w:styleId="WPSOffice2">
    <w:name w:val="WPSOffice手动目录 2"/>
    <w:qFormat/>
    <w:rsid w:val="00CA2F1C"/>
    <w:pPr>
      <w:ind w:leftChars="200" w:left="200"/>
    </w:pPr>
  </w:style>
  <w:style w:type="paragraph" w:customStyle="1" w:styleId="WPSOffice3">
    <w:name w:val="WPSOffice手动目录 3"/>
    <w:qFormat/>
    <w:rsid w:val="00CA2F1C"/>
    <w:pPr>
      <w:ind w:leftChars="400" w:left="400"/>
    </w:pPr>
  </w:style>
  <w:style w:type="character" w:customStyle="1" w:styleId="Char">
    <w:name w:val="批注框文本 Char"/>
    <w:basedOn w:val="a0"/>
    <w:link w:val="a3"/>
    <w:qFormat/>
    <w:rsid w:val="00CA2F1C"/>
    <w:rPr>
      <w:rFonts w:ascii="Calibri" w:hAnsi="Calibri"/>
      <w:kern w:val="2"/>
      <w:sz w:val="18"/>
      <w:szCs w:val="18"/>
    </w:rPr>
  </w:style>
  <w:style w:type="character" w:customStyle="1" w:styleId="1Char">
    <w:name w:val="标题 1 Char"/>
    <w:basedOn w:val="a0"/>
    <w:link w:val="1"/>
    <w:qFormat/>
    <w:rsid w:val="00CA2F1C"/>
    <w:rPr>
      <w:rFonts w:ascii="Calibri" w:hAnsi="Calibri"/>
      <w:b/>
      <w:bCs/>
      <w:kern w:val="44"/>
      <w:sz w:val="44"/>
      <w:szCs w:val="44"/>
    </w:rPr>
  </w:style>
  <w:style w:type="paragraph" w:customStyle="1" w:styleId="TOC1">
    <w:name w:val="TOC 标题1"/>
    <w:basedOn w:val="1"/>
    <w:next w:val="a"/>
    <w:uiPriority w:val="39"/>
    <w:unhideWhenUsed/>
    <w:qFormat/>
    <w:rsid w:val="00CA2F1C"/>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Char">
    <w:name w:val="标题 2 Char"/>
    <w:basedOn w:val="a0"/>
    <w:link w:val="2"/>
    <w:semiHidden/>
    <w:qFormat/>
    <w:rsid w:val="00CA2F1C"/>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enwen.soso.com/z/Search.e?sp=S%E7%BB%93%E6%9E%84%E8%B0%83%E6%95%B4&amp;ch=w.search.intlink" TargetMode="Externa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06C0510-41A9-46E3-9AD5-A60ED327FC2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1209</Words>
  <Characters>6893</Characters>
  <Application>Microsoft Office Word</Application>
  <DocSecurity>0</DocSecurity>
  <Lines>57</Lines>
  <Paragraphs>16</Paragraphs>
  <ScaleCrop>false</ScaleCrop>
  <Company>Microsoft</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chenxf</cp:lastModifiedBy>
  <cp:revision>56</cp:revision>
  <cp:lastPrinted>2022-04-18T09:17:00Z</cp:lastPrinted>
  <dcterms:created xsi:type="dcterms:W3CDTF">2016-11-16T02:05:00Z</dcterms:created>
  <dcterms:modified xsi:type="dcterms:W3CDTF">2025-01-13T01:44:00Z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5A835F5496C74B3081A5A5C207B557BD</vt:lpwstr>
  </property>
</Properties>
</file>